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农林牧渔机械零配件项目招商引资报告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646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_Toc7646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val="en-US"/>
          </w:rPr>
          <w:t>一、工艺技术分析</w:t>
        </w:r>
        <w:r>
          <w:tab/>
        </w:r>
        <w:r>
          <w:fldChar w:fldCharType="begin"/>
        </w:r>
        <w:r>
          <w:instrText xml:space="preserve"> PAGEREF _Toc29291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_Toc21527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val="en-US"/>
          </w:rPr>
          <w:t>(二)、农林牧渔机械零配件项目技术工艺简要分析</w:t>
        </w:r>
        <w:r>
          <w:tab/>
        </w:r>
        <w:r>
          <w:fldChar w:fldCharType="begin"/>
        </w:r>
        <w:r>
          <w:instrText xml:space="preserve"> PAGEREF _Toc14797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8" w:history="1">
        <w:r>
          <w:rPr>
            <w:rFonts w:ascii="仿宋" w:eastAsia="仿宋" w:hAnsi="仿宋" w:cs="仿宋" w:hint="eastAsia"/>
            <w:lang w:val="en-US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_Toc11888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val="en-US"/>
          </w:rPr>
          <w:t>(四)、农林牧渔机械零配件项目技术流程简述</w:t>
        </w:r>
        <w:r>
          <w:tab/>
        </w:r>
        <w:r>
          <w:fldChar w:fldCharType="begin"/>
        </w:r>
        <w:r>
          <w:instrText xml:space="preserve"> PAGEREF _Toc19813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5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_Toc28505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val="en-US"/>
          </w:rPr>
          <w:t>二、农林牧渔机械零配件项目建设背景及必要性分析</w:t>
        </w:r>
        <w:r>
          <w:tab/>
        </w:r>
        <w:r>
          <w:fldChar w:fldCharType="begin"/>
        </w:r>
        <w:r>
          <w:instrText xml:space="preserve"> PAGEREF _Toc27825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7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_Toc27647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_Toc25925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6" w:history="1">
        <w:r>
          <w:rPr>
            <w:rFonts w:ascii="仿宋" w:eastAsia="仿宋" w:hAnsi="仿宋" w:cs="仿宋" w:hint="eastAsia"/>
            <w:lang w:val="en-US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_Toc15446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_Toc13612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_Toc15481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1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_Toc19791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val="en-US"/>
          </w:rPr>
          <w:t>四、项目管理与团队协作</w:t>
        </w:r>
        <w:r>
          <w:tab/>
        </w:r>
        <w:r>
          <w:fldChar w:fldCharType="begin"/>
        </w:r>
        <w:r>
          <w:instrText xml:space="preserve"> PAGEREF _Toc29194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val="en-US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_Toc23509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val="en-US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_Toc15726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val="en-US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_Toc1766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val="en-US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_Toc15904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val="en-US"/>
          </w:rPr>
          <w:t>五、背景和必要性研究</w:t>
        </w:r>
        <w:r>
          <w:tab/>
        </w:r>
        <w:r>
          <w:fldChar w:fldCharType="begin"/>
        </w:r>
        <w:r>
          <w:instrText xml:space="preserve"> PAGEREF _Toc574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val="en-US"/>
          </w:rPr>
          <w:t>(一)、农林牧渔机械零配件项目承办单位背景分析</w:t>
        </w:r>
        <w:r>
          <w:tab/>
        </w:r>
        <w:r>
          <w:fldChar w:fldCharType="begin"/>
        </w:r>
        <w:r>
          <w:instrText xml:space="preserve"> PAGEREF _Toc19059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9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_Toc32349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_Toc7792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val="en-US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_Toc9837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val="en-US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_Toc17092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55" w:history="1">
        <w:r>
          <w:rPr>
            <w:rFonts w:ascii="仿宋" w:eastAsia="仿宋" w:hAnsi="仿宋" w:cs="仿宋" w:hint="eastAsia"/>
            <w:lang w:val="en-US"/>
          </w:rPr>
          <w:t>(六)、农林牧渔机械零配件项目必要性分析</w:t>
        </w:r>
        <w:r>
          <w:tab/>
        </w:r>
        <w:r>
          <w:fldChar w:fldCharType="begin"/>
        </w:r>
        <w:r>
          <w:instrText xml:space="preserve"> PAGEREF _Toc18955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val="en-US"/>
          </w:rPr>
          <w:t>六、选址分析</w:t>
        </w:r>
        <w:r>
          <w:tab/>
        </w:r>
        <w:r>
          <w:fldChar w:fldCharType="begin"/>
        </w:r>
        <w:r>
          <w:instrText xml:space="preserve"> PAGEREF _Toc29639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val="en-US"/>
          </w:rPr>
          <w:t>(一)、农林牧渔机械零配件项目选址原则</w:t>
        </w:r>
        <w:r>
          <w:tab/>
        </w:r>
        <w:r>
          <w:fldChar w:fldCharType="begin"/>
        </w:r>
        <w:r>
          <w:instrText xml:space="preserve"> PAGEREF _Toc31376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_Toc21037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7" w:history="1">
        <w:r>
          <w:rPr>
            <w:rFonts w:ascii="仿宋" w:eastAsia="仿宋" w:hAnsi="仿宋" w:cs="仿宋" w:hint="eastAsia"/>
            <w:lang w:val="en-US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_Toc24477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_Toc12774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val="en-US"/>
          </w:rPr>
          <w:t>(五)、农林牧渔机械零配件项目选址综合评价</w:t>
        </w:r>
        <w:r>
          <w:tab/>
        </w:r>
        <w:r>
          <w:fldChar w:fldCharType="begin"/>
        </w:r>
        <w:r>
          <w:instrText xml:space="preserve"> PAGEREF _Toc25836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val="en-US"/>
          </w:rPr>
          <w:t>七、农林牧渔机械零配件企业概貌</w:t>
        </w:r>
        <w:r>
          <w:tab/>
        </w:r>
        <w:r>
          <w:fldChar w:fldCharType="begin"/>
        </w:r>
        <w:r>
          <w:instrText xml:space="preserve"> PAGEREF _Toc16682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val="en-US"/>
          </w:rPr>
          <w:t>(一)、农林牧渔机械零配件企业基础信息</w:t>
        </w:r>
        <w:r>
          <w:tab/>
        </w:r>
        <w:r>
          <w:fldChar w:fldCharType="begin"/>
        </w:r>
        <w:r>
          <w:instrText xml:space="preserve"> PAGEREF _Toc13232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val="en-US"/>
          </w:rPr>
          <w:t>(二)、农林牧渔机械零配件企业简要介绍</w:t>
        </w:r>
        <w:r>
          <w:tab/>
        </w:r>
        <w:r>
          <w:fldChar w:fldCharType="begin"/>
        </w:r>
        <w:r>
          <w:instrText xml:space="preserve"> PAGEREF _Toc20685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val="en-US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_Toc15383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3" w:history="1">
        <w:r>
          <w:rPr>
            <w:rFonts w:ascii="仿宋" w:eastAsia="仿宋" w:hAnsi="仿宋" w:cs="仿宋" w:hint="eastAsia"/>
            <w:lang w:val="en-US"/>
          </w:rPr>
          <w:t>(四)、农林牧渔机械零配件企业财务数据要略</w:t>
        </w:r>
        <w:r>
          <w:tab/>
        </w:r>
        <w:r>
          <w:fldChar w:fldCharType="begin"/>
        </w:r>
        <w:r>
          <w:instrText xml:space="preserve"> PAGEREF _Toc4173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val="en-US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_Toc30624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1" w:history="1">
        <w:r>
          <w:rPr>
            <w:rFonts w:ascii="仿宋" w:eastAsia="仿宋" w:hAnsi="仿宋" w:cs="仿宋" w:hint="eastAsia"/>
            <w:lang w:val="en-US"/>
          </w:rPr>
          <w:t>(六)、农林牧渔机械零配件企业经营宗旨阐述</w:t>
        </w:r>
        <w:r>
          <w:tab/>
        </w:r>
        <w:r>
          <w:fldChar w:fldCharType="begin"/>
        </w:r>
        <w:r>
          <w:instrText xml:space="preserve"> PAGEREF _Toc25401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val="en-US"/>
          </w:rPr>
          <w:t>(七)、农林牧渔机械零配件企业未来发展规划</w:t>
        </w:r>
        <w:r>
          <w:tab/>
        </w:r>
        <w:r>
          <w:fldChar w:fldCharType="begin"/>
        </w:r>
        <w:r>
          <w:instrText xml:space="preserve"> PAGEREF _Toc4967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val="en-US"/>
          </w:rPr>
          <w:t>八、农林牧渔机械零配件项目投资方案分析</w:t>
        </w:r>
        <w:r>
          <w:tab/>
        </w:r>
        <w:r>
          <w:fldChar w:fldCharType="begin"/>
        </w:r>
        <w:r>
          <w:instrText xml:space="preserve"> PAGEREF _Toc25312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val="en-US"/>
          </w:rPr>
          <w:t>(一)、农林牧渔机械零配件项目估算说明</w:t>
        </w:r>
        <w:r>
          <w:tab/>
        </w:r>
        <w:r>
          <w:fldChar w:fldCharType="begin"/>
        </w:r>
        <w:r>
          <w:instrText xml:space="preserve"> PAGEREF _Toc27034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val="en-US"/>
          </w:rPr>
          <w:t>(二)、农林牧渔机械零配件项目总投资估算</w:t>
        </w:r>
        <w:r>
          <w:tab/>
        </w:r>
        <w:r>
          <w:fldChar w:fldCharType="begin"/>
        </w:r>
        <w:r>
          <w:instrText xml:space="preserve"> PAGEREF _Toc30315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_Toc11178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val="en-US"/>
          </w:rPr>
          <w:t>九、市场与供应链管理</w:t>
        </w:r>
        <w:r>
          <w:tab/>
        </w:r>
        <w:r>
          <w:fldChar w:fldCharType="begin"/>
        </w:r>
        <w:r>
          <w:instrText xml:space="preserve"> PAGEREF _Toc31948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val="en-US"/>
          </w:rPr>
          <w:t>(一)、供应链策略</w:t>
        </w:r>
        <w:r>
          <w:tab/>
        </w:r>
        <w:r>
          <w:fldChar w:fldCharType="begin"/>
        </w:r>
        <w:r>
          <w:instrText xml:space="preserve"> PAGEREF _Toc27385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9" w:history="1">
        <w:r>
          <w:rPr>
            <w:rFonts w:ascii="仿宋" w:eastAsia="仿宋" w:hAnsi="仿宋" w:cs="仿宋" w:hint="eastAsia"/>
            <w:lang w:val="en-US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_Toc7979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val="en-US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_Toc23575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7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_Toc22457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val="en-US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_Toc20687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val="en-US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_Toc22541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_Toc1925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_Toc4983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897" w:history="1">
        <w:r>
          <w:rPr>
            <w:rFonts w:ascii="仿宋" w:eastAsia="仿宋" w:hAnsi="仿宋" w:cs="仿宋" w:hint="eastAsia"/>
            <w:lang w:val="en-US"/>
          </w:rPr>
          <w:t>十一、企业技术创新的内部组织模式</w:t>
        </w:r>
        <w:r>
          <w:tab/>
        </w:r>
        <w:r>
          <w:fldChar w:fldCharType="begin"/>
        </w:r>
        <w:r>
          <w:instrText xml:space="preserve"> PAGEREF _Toc8897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3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_Toc5363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_Toc29147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_Toc17820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val="en-US"/>
          </w:rPr>
          <w:t>十二、第二十八章公司与员工法律关系</w:t>
        </w:r>
        <w:r>
          <w:tab/>
        </w:r>
        <w:r>
          <w:fldChar w:fldCharType="begin"/>
        </w:r>
        <w:r>
          <w:instrText xml:space="preserve"> PAGEREF _Toc15385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val="en-US"/>
          </w:rPr>
          <w:t>(一)、劳动合同管理</w:t>
        </w:r>
        <w:r>
          <w:tab/>
        </w:r>
        <w:r>
          <w:fldChar w:fldCharType="begin"/>
        </w:r>
        <w:r>
          <w:instrText xml:space="preserve"> PAGEREF _Toc12243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val="en-US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_Toc2504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val="en-US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_Toc27759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val="en-US"/>
          </w:rPr>
          <w:t>十三、农林牧渔机械零配件行业竞争对选址的影响</w:t>
        </w:r>
        <w:r>
          <w:tab/>
        </w:r>
        <w:r>
          <w:fldChar w:fldCharType="begin"/>
        </w:r>
        <w:r>
          <w:instrText xml:space="preserve"> PAGEREF _Toc790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4" w:history="1">
        <w:r>
          <w:rPr>
            <w:rFonts w:ascii="仿宋" w:eastAsia="仿宋" w:hAnsi="仿宋" w:cs="仿宋" w:hint="eastAsia"/>
            <w:lang w:val="en-US"/>
          </w:rPr>
          <w:t>(一)、地理位置分析</w:t>
        </w:r>
        <w:r>
          <w:tab/>
        </w:r>
        <w:r>
          <w:fldChar w:fldCharType="begin"/>
        </w:r>
        <w:r>
          <w:instrText xml:space="preserve"> PAGEREF _Toc4794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val="en-US"/>
          </w:rPr>
          <w:t>(二)、供应链优势</w:t>
        </w:r>
        <w:r>
          <w:tab/>
        </w:r>
        <w:r>
          <w:fldChar w:fldCharType="begin"/>
        </w:r>
        <w:r>
          <w:instrText xml:space="preserve"> PAGEREF _Toc31412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val="en-US"/>
          </w:rPr>
          <w:t>(三)、人才资源</w:t>
        </w:r>
        <w:r>
          <w:tab/>
        </w:r>
        <w:r>
          <w:fldChar w:fldCharType="begin"/>
        </w:r>
        <w:r>
          <w:instrText xml:space="preserve"> PAGEREF _Toc2309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val="en-US"/>
          </w:rPr>
          <w:t>(四)、政策支持</w:t>
        </w:r>
        <w:r>
          <w:tab/>
        </w:r>
        <w:r>
          <w:fldChar w:fldCharType="begin"/>
        </w:r>
        <w:r>
          <w:instrText xml:space="preserve"> PAGEREF _Toc10886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val="en-US"/>
          </w:rPr>
          <w:t>十四、经济效益分析</w:t>
        </w:r>
        <w:r>
          <w:tab/>
        </w:r>
        <w:r>
          <w:fldChar w:fldCharType="begin"/>
        </w:r>
        <w:r>
          <w:instrText xml:space="preserve"> PAGEREF _Toc17169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_Toc6902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6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_Toc9386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5" w:history="1">
        <w:r>
          <w:rPr>
            <w:rFonts w:ascii="仿宋" w:eastAsia="仿宋" w:hAnsi="仿宋" w:cs="仿宋" w:hint="eastAsia"/>
            <w:lang w:val="en-US"/>
          </w:rPr>
          <w:t>(三)、农林牧渔机械零配件项目盈利能力分析</w:t>
        </w:r>
        <w:r>
          <w:tab/>
        </w:r>
        <w:r>
          <w:fldChar w:fldCharType="begin"/>
        </w:r>
        <w:r>
          <w:instrText xml:space="preserve"> PAGEREF _Toc12695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val="en-US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_Toc12832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_Toc2631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5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_Toc17795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val="en-US"/>
          </w:rPr>
          <w:t>十六、农林牧渔机械零配件项目可行性风险分析</w:t>
        </w:r>
        <w:r>
          <w:tab/>
        </w:r>
        <w:r>
          <w:fldChar w:fldCharType="begin"/>
        </w:r>
        <w:r>
          <w:instrText xml:space="preserve"> PAGEREF _Toc5611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val="en-US"/>
          </w:rPr>
          <w:t>(一)、农林牧渔机械零配件项目风险识别</w:t>
        </w:r>
        <w:r>
          <w:tab/>
        </w:r>
        <w:r>
          <w:fldChar w:fldCharType="begin"/>
        </w:r>
        <w:r>
          <w:instrText xml:space="preserve"> PAGEREF _Toc30416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8" w:history="1">
        <w:r>
          <w:rPr>
            <w:rFonts w:ascii="仿宋" w:eastAsia="仿宋" w:hAnsi="仿宋" w:cs="仿宋" w:hint="eastAsia"/>
            <w:lang w:val="en-US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_Toc5238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val="en-US"/>
          </w:rPr>
          <w:t>(三)、风险管理计划</w:t>
        </w:r>
        <w:r>
          <w:tab/>
        </w:r>
        <w:r>
          <w:fldChar w:fldCharType="begin"/>
        </w:r>
        <w:r>
          <w:instrText xml:space="preserve"> PAGEREF _Toc5745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val="en-US"/>
          </w:rPr>
          <w:t>(四)、风险缓解策略</w:t>
        </w:r>
        <w:r>
          <w:tab/>
        </w:r>
        <w:r>
          <w:fldChar w:fldCharType="begin"/>
        </w:r>
        <w:r>
          <w:instrText xml:space="preserve"> PAGEREF _Toc27626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val="en-US"/>
          </w:rPr>
          <w:t>十七、利益相关者分析与沟通计划</w:t>
        </w:r>
        <w:r>
          <w:tab/>
        </w:r>
        <w:r>
          <w:fldChar w:fldCharType="begin"/>
        </w:r>
        <w:r>
          <w:instrText xml:space="preserve"> PAGEREF _Toc21685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_Toc11358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_Toc17975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828" w:history="1">
        <w:r>
          <w:rPr>
            <w:rFonts w:ascii="仿宋" w:eastAsia="仿宋" w:hAnsi="仿宋" w:cs="仿宋" w:hint="eastAsia"/>
            <w:lang w:val="en-US"/>
          </w:rPr>
          <w:t>十八、农林牧渔机械零配件项目监督与评估</w:t>
        </w:r>
        <w:r>
          <w:tab/>
        </w:r>
        <w:r>
          <w:fldChar w:fldCharType="begin"/>
        </w:r>
        <w:r>
          <w:instrText xml:space="preserve"> PAGEREF _Toc20828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_Toc13387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_Toc4886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_Toc25056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_Toc28215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val="en-US"/>
          </w:rPr>
          <w:t>十九、农林牧渔机械零配件项目进度计划</w:t>
        </w:r>
        <w:r>
          <w:tab/>
        </w:r>
        <w:r>
          <w:fldChar w:fldCharType="begin"/>
        </w:r>
        <w:r>
          <w:instrText xml:space="preserve"> PAGEREF _Toc28800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val="en-US"/>
          </w:rPr>
          <w:t>(一)、农林牧渔机械零配件项目进度安排</w:t>
        </w:r>
        <w:r>
          <w:tab/>
        </w:r>
        <w:r>
          <w:fldChar w:fldCharType="begin"/>
        </w:r>
        <w:r>
          <w:instrText xml:space="preserve"> PAGEREF _Toc32615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val="en-US"/>
          </w:rPr>
          <w:t>(二)、农林牧渔机械零配件项目实施保障措施</w:t>
        </w:r>
        <w:r>
          <w:tab/>
        </w:r>
        <w:r>
          <w:fldChar w:fldCharType="begin"/>
        </w:r>
        <w:r>
          <w:instrText xml:space="preserve"> PAGEREF _Toc11867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val="en-US"/>
          </w:rPr>
          <w:t>二十、生产控制的方式</w:t>
        </w:r>
        <w:r>
          <w:tab/>
        </w:r>
        <w:r>
          <w:fldChar w:fldCharType="begin"/>
        </w:r>
        <w:r>
          <w:instrText xml:space="preserve"> PAGEREF _Toc30645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val="en-US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_Toc7539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val="en-US"/>
          </w:rPr>
          <w:t>二十一、环境保护管理措施</w:t>
        </w:r>
        <w:r>
          <w:tab/>
        </w:r>
        <w:r>
          <w:fldChar w:fldCharType="begin"/>
        </w:r>
        <w:r>
          <w:instrText xml:space="preserve"> PAGEREF _Toc22915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9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_Toc17769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0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_Toc27050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_Toc11388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https://d.book118.com/498021010130006046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农林牧渔机械零配件项目招商引资报告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农林牧渔机械零配件项目招商引资报告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农林牧渔机械零配件项目招商引资报告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农林牧渔机械零配件项目招商引资报告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农林牧渔机械零配件项目招商引资报告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6F568F"/>
    <w:rsid w:val="1F6F56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98021010130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2024-03-17T22:57:00Z</dcterms:created>
  <dcterms:modified xsi:type="dcterms:W3CDTF">2024-03-17T22:57:57Z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