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622B2" w:rsidP="00F622B2">
      <w:pPr>
        <w:spacing w:before="48" w:beforeLines="20" w:after="360" w:afterLines="150" w:line="360" w:lineRule="auto"/>
        <w:jc w:val="center"/>
        <w:rPr>
          <w:rFonts w:ascii="华文中宋" w:eastAsia="华文中宋" w:hAnsi="华文中宋"/>
          <w:b/>
          <w:sz w:val="30"/>
        </w:rPr>
      </w:pPr>
      <w:r w:rsidRPr="00F622B2">
        <w:rPr>
          <w:rFonts w:ascii="华文中宋" w:eastAsia="华文中宋" w:hAnsi="华文中宋"/>
          <w:b/>
          <w:sz w:val="30"/>
        </w:rPr>
        <w:t>2023</w:t>
      </w:r>
      <w:r w:rsidRPr="00F622B2">
        <w:rPr>
          <w:rFonts w:ascii="华文中宋" w:eastAsia="华文中宋" w:hAnsi="华文中宋"/>
          <w:b/>
          <w:sz w:val="30"/>
        </w:rPr>
        <w:t>年国家能源集团河北公司人员招聘考试试题及答案解析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遇到困难切莫一味</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、逃避</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、逃逸</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、回避</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、远离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“逃避”意为逃走避开</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躲开不愿意或不敢接触的事物，与题干中的“困难”为固定搭配。“逃逸”有逃跑之意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“回避”常表示设法躲避、逃避</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如责任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“远离”指远远离开。三者均与句意不符。故选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如何理解人和看待人的存在问题</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马克思主义的创始人对此有明确的论述。马克思在《</w:t>
      </w:r>
      <w:r w:rsidRPr="003F588C">
        <w:rPr>
          <w:rFonts w:ascii="Times New Roman" w:eastAsia="微软雅黑" w:hAnsi="微软雅黑" w:cs="宋体" w:hint="eastAsia"/>
          <w:szCs w:val="18"/>
        </w:rPr>
        <w:t>1844</w:t>
      </w:r>
      <w:r w:rsidRPr="003F588C">
        <w:rPr>
          <w:rFonts w:ascii="Times New Roman" w:eastAsia="微软雅黑" w:hAnsi="微软雅黑" w:cs="宋体" w:hint="eastAsia"/>
          <w:szCs w:val="18"/>
        </w:rPr>
        <w:t>年经济学哲学手稿》中说：“有意识的生命活动把人同动物的生命活动直接区别开来。正是由于这一点，人才是类存在物。”在《关于费尔巴哈的提纲》中，马克思批评费尔巴哈“没有把人的活动本身理解为客观的活动”“不是把它们当作感性的人的感性活动，当作实践去理解，不是从主观方面去理解”。同时指出，“人的本</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质并不是单个人所固有的抽象物在其现实性上。它是一切社会关系的总和”。在《关于费尔巴哈的提纲》中，马克思和恩格斯又把人的存在理解为人的“现实生活过程”。马克思主义的人学理论为正确理解人和看待人的存在提供了坚实的理论基础。</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根据上述材料，下列表述错误的一项是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、马克思主义的人学理论有效吸收了费尔巴哈人学理论的主要观点</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、马克思主义的人学理论揭示了人作为“类存在物”的主要原因和根据</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、马克思主义的人学理论肯定了人作为“社会关系的总和”的“现实性”和作为“现实生活过程”的承担者的客体性质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、马克思主义的人学理论强调了人的实践的主体性质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第一步，分析文段，将选项与文段一一对应。第二步，辨析选项。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项对应“马克思批评费尔巴哈‘没有把人的活动本身理解为客观的活动’……同时指出……又把人的存在理解为……”，可知马克思并不赞同费尔巴哈的观点，没有吸收其观点，属于曲解文意，当选。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项对应“有意识的生命活动把人同动物的生命活动直接区别开来。正是由于这一点，人才是类存在物”，揭示了其原因和依据，符合原文，排除。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项对应“人的本质……是一切社会关系的总和”“马克思和恩格斯又把人的存在理解为人的‘现实生活过程’”，符合原文，排除。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项对应“不是把它们当作感性的人的感性活动，当作实践去理解”，符合原文，排除。故选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研究中国文化的</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我们称之为“国学”，而外国人在外国研究中国文化则谓之“汉学”。当下已经形成以“国学”为主干，以“汉学”与“国外汉学研究”为枝叶的研究中国文化的</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，枝叶与主干相辅相成。</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依次填入画横线部分最恰当的一项是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、学问</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格局</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、意义</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条件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、传统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途径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、科目</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模式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首先看第二空，应该是“形成以……为主干，以……为枝叶”的“格局”或“模式”，“条件”“途径”与语境不符，排除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两项。再看第一空，“学问”指系统的知识</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“科目”</w:t>
      </w:r>
      <w:r w:rsidRPr="00E0697D">
        <w:rPr>
          <w:rFonts w:ascii="Times New Roman" w:eastAsia="微软雅黑" w:hAnsi="微软雅黑" w:cs="宋体" w:hint="eastAsia"/>
          <w:szCs w:val="18"/>
        </w:rPr>
        <w:t>一般指教学中按逻辑程序组织的一定知识和技能范围的单位。国学是一个文化范畴，故第一空填入“学问”更合适。故选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随着智能手机的功能不断增加，手机电池有限的续航能力已不能满足待机需要，充电宝顺理成章地成为高频应用。而共享充电准入门槛低，线下布局容易，只要抓住“流量”和“刚需”，共享充电几乎是一桩可以看得见盈利的生意。随着标准的最后敲定，</w:t>
      </w:r>
      <w:r w:rsidRPr="00E0697D">
        <w:rPr>
          <w:rFonts w:ascii="Times New Roman" w:eastAsia="微软雅黑" w:hAnsi="微软雅黑" w:cs="宋体" w:hint="eastAsia"/>
          <w:szCs w:val="18"/>
        </w:rPr>
        <w:t>5G</w:t>
      </w:r>
      <w:r w:rsidRPr="00E0697D">
        <w:rPr>
          <w:rFonts w:ascii="Times New Roman" w:eastAsia="微软雅黑" w:hAnsi="微软雅黑" w:cs="宋体" w:hint="eastAsia"/>
          <w:szCs w:val="18"/>
        </w:rPr>
        <w:t>时代或在</w:t>
      </w:r>
      <w:r w:rsidRPr="00E0697D">
        <w:rPr>
          <w:rFonts w:ascii="Times New Roman" w:eastAsia="微软雅黑" w:hAnsi="微软雅黑" w:cs="宋体" w:hint="eastAsia"/>
          <w:szCs w:val="18"/>
        </w:rPr>
        <w:t>2019~2020</w:t>
      </w:r>
      <w:r w:rsidRPr="00E0697D">
        <w:rPr>
          <w:rFonts w:ascii="Times New Roman" w:eastAsia="微软雅黑" w:hAnsi="微软雅黑" w:cs="宋体" w:hint="eastAsia"/>
          <w:szCs w:val="18"/>
        </w:rPr>
        <w:t>年到来。进入</w:t>
      </w:r>
      <w:r w:rsidRPr="00E0697D">
        <w:rPr>
          <w:rFonts w:ascii="Times New Roman" w:eastAsia="微软雅黑" w:hAnsi="微软雅黑" w:cs="宋体" w:hint="eastAsia"/>
          <w:szCs w:val="18"/>
        </w:rPr>
        <w:t>5G</w:t>
      </w:r>
      <w:r w:rsidRPr="00E0697D">
        <w:rPr>
          <w:rFonts w:ascii="Times New Roman" w:eastAsia="微软雅黑" w:hAnsi="微软雅黑" w:cs="宋体" w:hint="eastAsia"/>
          <w:szCs w:val="18"/>
        </w:rPr>
        <w:t>时代，视频内容、视频电话、视频直播、高清网络游戏等都将考验手机电池的续航能力，成熟的共享充电场景或将消除这一顾虑。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这段文字主</w:t>
      </w:r>
      <w:r w:rsidRPr="00E0697D">
        <w:rPr>
          <w:rFonts w:ascii="Times New Roman" w:eastAsia="微软雅黑" w:hAnsi="微软雅黑" w:cs="宋体" w:hint="eastAsia"/>
          <w:szCs w:val="18"/>
        </w:rPr>
        <w:t>要介绍了共享充电的</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https://d.book118.com/498021036046006025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2B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22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F622B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622B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2B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2B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22B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2B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622B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2B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2B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22B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2B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622B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2B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2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2B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2B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2B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2B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2B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2B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2B2">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22B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CA2A55"/>
    <w:rsid w:val="00E0697D"/>
    <w:rsid w:val="00E44D38"/>
    <w:rsid w:val="00F622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10FAC0"/>
  <w15:docId w15:val="{40D1C5C3-7256-4F6E-A7C4-2E2B0CBF9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unhideWhenUsed/>
    <w:rsid w:val="00F622B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622B2"/>
    <w:rPr>
      <w:sz w:val="18"/>
      <w:szCs w:val="18"/>
    </w:rPr>
  </w:style>
  <w:style w:type="paragraph" w:styleId="Footer">
    <w:name w:val="footer"/>
    <w:basedOn w:val="Normal"/>
    <w:link w:val="a0"/>
    <w:unhideWhenUsed/>
    <w:rsid w:val="00F622B2"/>
    <w:pPr>
      <w:tabs>
        <w:tab w:val="center" w:pos="4153"/>
        <w:tab w:val="right" w:pos="8306"/>
      </w:tabs>
      <w:snapToGrid w:val="0"/>
    </w:pPr>
    <w:rPr>
      <w:sz w:val="18"/>
      <w:szCs w:val="18"/>
    </w:rPr>
  </w:style>
  <w:style w:type="character" w:customStyle="1" w:styleId="a0">
    <w:name w:val="页脚 字符"/>
    <w:basedOn w:val="DefaultParagraphFont"/>
    <w:link w:val="Footer"/>
    <w:rsid w:val="00F622B2"/>
    <w:rPr>
      <w:sz w:val="18"/>
      <w:szCs w:val="18"/>
    </w:rPr>
  </w:style>
  <w:style w:type="character" w:styleId="PageNumber">
    <w:name w:val="page number"/>
    <w:basedOn w:val="DefaultParagraphFont"/>
    <w:semiHidden/>
    <w:unhideWhenUsed/>
    <w:rsid w:val="00F622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98021036046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4283</Words>
  <Characters>24415</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2024-01-11T10:24:00Z</dcterms:created>
  <dcterms:modified xsi:type="dcterms:W3CDTF">2024-01-11T10:24:00Z</dcterms:modified>
</cp:coreProperties>
</file>