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2018-2023年长春医学高等专科学校高职单招（数学／语文／英语）历年常考试题库含答案解析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在先秦诸子中，文风以想象丰富、词藻瑰丽、汪洋恣肆著称的是（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下列关于作家、作品搭配错误的是（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A.鲁迅——《灯下漫笔》、《论毅力》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B.茅盾——《子夜》、《香市》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C.巴金——《爱尔克的灯光》、《家》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D.曹禺——《雷雨》、《日出》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曹禺的代表作是（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A.《雷雨》、《日出》、《北京人》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B.《茶馆》、《屈原》、《北京人》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C.《茶馆》、《雷雨》、《日出》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D.《屈原》、《茶馆》、《雷雨》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下列诗句运用了比兴方法的是（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A.自我徂尔，三岁食贫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B.女也不爽，士贰其行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《张中丞传后叙》写张巡“就戮”时，“颜色不乱，阳阳如平常”，这种人物描写方法是（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B.行为描写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C.言语描写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下列句中加点的词属意动用法的是（　　）.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2562494" cy="140984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62494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被鲁迅誉为“改造文章的祖师”的是（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B.曹丕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冯谖为孟尝君“焚券市义”行为中蕴含着（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A.道家思想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B.法家思想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下列关于作者艺术风格的评论，错误的是（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A.艾青在诗歌形式上追求节的匀称和句的均齐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B.冰心的散文文笔清丽，意蕴隽永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C.沈从文的小说具有鲜明的地方色彩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D.朱自清的散文结构严谨，笔触细致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北宋婉约派的开创者是（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D.姜夔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《郑伯克段于鄢》中郑庄公的性格特征是（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A.贪婪狂妄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B.老谋深算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C.褊狭昏聩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D.恪守孝悌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侯方域是明末清初著名的（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https://d.book118.com/498030000135006040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498030000135006040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