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2018-2023年四川机电职业技术学院高职单招（数学／语文／英语）历年常考试题库含答案解析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从内容上说，《氓》是一首（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A.战争诗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B.劳动诗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C.祭祀诗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D.弃妇诗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在《答司马谏议书》一文中，司马光强加给王安石变法的罪名是（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A.在位久，未能助上大有为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B.不恤国事，同俗自媚于众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C.侵官、生事、征利、拒谏、以致天下怨谤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D.一切不事事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中唐新乐府运动的倡导者是（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“赋”作为一种文体，成熟于（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C.唐代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D.宋代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下列句子中，运用侧面描写渲染演出效果的是（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A.引商刻羽，抗坠疾徐，并称善也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B.或大呼命酒，或移坐更进之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C.我闻今相国顾秉谦者，严相国俦也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D.以分宜教分宜，安得不工哉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冰心在《往事》一文中，用什么形象的特征象征人的品格（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A.灯光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B.大海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C.道路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D.蜜蜂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下列属于曹操的作品是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A.《长歌行》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D.《兵车行》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曹禺的代表作是（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A.《雷雨》、《日出》、《北京人》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B.《茶馆》、《屈原》、《北京人》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C.《茶馆》、《雷雨》、《日出》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D.《屈原》、《茶馆》、《雷雨》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《谏逐客书》贯穿始终的论证方法是（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A.由个别到一般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B.由一般到个别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C.在某些方面相反或对立的不同事物之间的比较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D.在某些方面相同或相近的不同事物之间的比较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《声声慢》（寻寻觅觅）中体现家破人亡之痛的词句是（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A.三杯两盏淡酒，怎敌他、晚来风急。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D.梧桐更兼细雨，到黄昏、点点滴滴。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对这首词有关词句的理解不正确的一项是（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A.“断鸿”指快要断气的孤雁。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B.“江南游子”是作者自称。因作者早年在北方起义抗金，失败后南归，故以游子自称。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C.“无人会，登临意”指没人能理解作者登楼远眺时的心情。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D.“可惜流年，忧愁风雨”指时光飞逝，国势仍风雨飘摇，令人不胜忧愁。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《论快乐》一文驳斥了这样的观点，即把快乐分成（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A.感性的和理性的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B.苦和乐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C.肉体的和精神的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D.短暂的和永恒的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找出下列运用比兴手法的诗句（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A.淇则有岸，隰则有泮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B.来归相怨怒，但坐观罗敷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C.周公吐哺，天下归心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D.长风破浪会有时，直挂云帆济沧海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https://d.book118.com/498050007132006040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98050007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