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ind w:left="0"/>
        <w:rPr>
          <w:rFonts w:ascii="Times New Roman"/>
          <w:sz w:val="20"/>
        </w:rPr>
      </w:pPr>
    </w:p>
    <w:p>
      <w:pPr>
        <w:pStyle w:val="BodyText"/>
        <w:spacing w:before="2"/>
        <w:ind w:left="0"/>
        <w:rPr>
          <w:rFonts w:ascii="Times New Roman"/>
          <w:sz w:val="20"/>
        </w:rPr>
      </w:pPr>
    </w:p>
    <w:p>
      <w:pPr>
        <w:spacing w:before="0"/>
        <w:ind w:left="2008" w:right="0" w:firstLine="0"/>
        <w:jc w:val="left"/>
        <w:rPr>
          <w:b/>
          <w:sz w:val="21"/>
        </w:rPr>
      </w:pPr>
      <w:r>
        <w:rPr>
          <w:b/>
          <w:w w:val="95"/>
          <w:sz w:val="21"/>
        </w:rPr>
        <w:t>2023</w:t>
      </w:r>
      <w:r>
        <w:rPr>
          <w:b/>
          <w:spacing w:val="171"/>
          <w:sz w:val="21"/>
        </w:rPr>
        <w:t xml:space="preserve"> </w:t>
      </w:r>
      <w:r>
        <w:rPr>
          <w:b/>
          <w:w w:val="95"/>
          <w:sz w:val="21"/>
        </w:rPr>
        <w:t>年监理工程师《基本理论和相关法规》真题及解析（完整版）</w:t>
      </w:r>
    </w:p>
    <w:p>
      <w:pPr>
        <w:spacing w:before="132"/>
        <w:ind w:left="220" w:right="0" w:firstLine="0"/>
        <w:jc w:val="left"/>
        <w:rPr>
          <w:b/>
          <w:sz w:val="21"/>
        </w:rPr>
      </w:pPr>
      <w:r>
        <w:rPr>
          <w:b/>
          <w:w w:val="95"/>
          <w:sz w:val="21"/>
        </w:rPr>
        <w:t>一、单选题</w:t>
      </w:r>
    </w:p>
    <w:p>
      <w:pPr>
        <w:pStyle w:val="ListParagraph"/>
        <w:numPr>
          <w:ilvl w:val="0"/>
          <w:numId w:val="1"/>
        </w:numPr>
        <w:tabs>
          <w:tab w:val="left" w:pos="432"/>
        </w:tabs>
        <w:spacing w:before="132" w:after="0" w:line="357" w:lineRule="auto"/>
        <w:ind w:left="220" w:right="116" w:firstLine="0"/>
        <w:jc w:val="both"/>
        <w:rPr>
          <w:sz w:val="21"/>
        </w:rPr>
      </w:pPr>
      <w:r>
        <w:rPr>
          <w:spacing w:val="17"/>
          <w:w w:val="95"/>
          <w:sz w:val="21"/>
        </w:rPr>
        <w:t xml:space="preserve">应用 </w:t>
      </w:r>
      <w:r>
        <w:rPr>
          <w:w w:val="95"/>
          <w:sz w:val="21"/>
        </w:rPr>
        <w:t>BIM</w:t>
      </w:r>
      <w:r>
        <w:rPr>
          <w:spacing w:val="1"/>
          <w:w w:val="95"/>
          <w:sz w:val="21"/>
        </w:rPr>
        <w:t xml:space="preserve"> 技术事先对工程运营阶段火灾发生时人员疏散等紧急情况进行仿真分析，体现了 </w:t>
      </w:r>
      <w:r>
        <w:rPr>
          <w:w w:val="95"/>
          <w:sz w:val="21"/>
        </w:rPr>
        <w:t>BIM</w:t>
      </w:r>
      <w:r>
        <w:rPr>
          <w:spacing w:val="10"/>
          <w:w w:val="95"/>
          <w:sz w:val="21"/>
        </w:rPr>
        <w:t xml:space="preserve"> 技术的</w:t>
      </w:r>
      <w:r>
        <w:rPr>
          <w:w w:val="95"/>
          <w:sz w:val="21"/>
        </w:rPr>
        <w:t>（）</w:t>
      </w:r>
      <w:r>
        <w:rPr>
          <w:spacing w:val="-97"/>
          <w:w w:val="95"/>
          <w:sz w:val="21"/>
        </w:rPr>
        <w:t xml:space="preserve"> </w:t>
      </w:r>
      <w:r>
        <w:rPr>
          <w:sz w:val="21"/>
        </w:rPr>
        <w:t>特点。</w:t>
      </w:r>
    </w:p>
    <w:p>
      <w:pPr>
        <w:pStyle w:val="BodyText"/>
        <w:spacing w:line="357" w:lineRule="auto"/>
        <w:ind w:right="9126"/>
        <w:jc w:val="both"/>
      </w:pPr>
      <w:r>
        <w:rPr>
          <w:spacing w:val="-1"/>
        </w:rPr>
        <w:t>A.可视化B.协调性C.优化性</w:t>
      </w:r>
      <w:r>
        <w:rPr>
          <w:w w:val="95"/>
        </w:rPr>
        <w:t>D.模拟性</w:t>
      </w:r>
    </w:p>
    <w:p>
      <w:pPr>
        <w:pStyle w:val="BodyText"/>
        <w:spacing w:line="266" w:lineRule="exact"/>
      </w:pPr>
      <w:r>
        <w:rPr>
          <w:w w:val="95"/>
        </w:rPr>
        <w:t>【答案】</w:t>
      </w:r>
    </w:p>
    <w:p>
      <w:pPr>
        <w:pStyle w:val="BodyText"/>
        <w:spacing w:before="129"/>
      </w:pPr>
      <w:r>
        <w:t>【解析】D</w:t>
      </w:r>
    </w:p>
    <w:p>
      <w:pPr>
        <w:pStyle w:val="BodyText"/>
        <w:spacing w:before="129"/>
        <w:ind w:left="640"/>
      </w:pPr>
      <w:r>
        <w:t>⒊模拟性</w:t>
      </w:r>
    </w:p>
    <w:p>
      <w:pPr>
        <w:pStyle w:val="BodyText"/>
        <w:spacing w:before="132"/>
        <w:ind w:left="640"/>
      </w:pPr>
      <w:r>
        <w:rPr>
          <w:w w:val="95"/>
        </w:rPr>
        <w:t>应用</w:t>
      </w:r>
      <w:r>
        <w:rPr>
          <w:spacing w:val="99"/>
        </w:rPr>
        <w:t xml:space="preserve"> </w:t>
      </w:r>
      <w:r>
        <w:rPr>
          <w:w w:val="95"/>
        </w:rPr>
        <w:t>BIM 技术，在工程设计阶段可对节能、紧急疏散、日照、热能传导等进行模拟；</w:t>
      </w:r>
    </w:p>
    <w:p>
      <w:pPr>
        <w:spacing w:before="132" w:line="355" w:lineRule="auto"/>
        <w:ind w:left="220" w:right="220" w:firstLine="420"/>
        <w:jc w:val="left"/>
        <w:rPr>
          <w:sz w:val="21"/>
        </w:rPr>
      </w:pPr>
      <w:r>
        <w:rPr>
          <w:w w:val="95"/>
          <w:sz w:val="21"/>
        </w:rPr>
        <w:t>在工程施工阶段可</w:t>
      </w:r>
      <w:r>
        <w:rPr>
          <w:b/>
          <w:spacing w:val="2"/>
          <w:w w:val="95"/>
          <w:sz w:val="21"/>
        </w:rPr>
        <w:t xml:space="preserve">根据施工组织设计将 </w:t>
      </w:r>
      <w:r>
        <w:rPr>
          <w:b/>
          <w:w w:val="95"/>
          <w:sz w:val="21"/>
        </w:rPr>
        <w:t>3D</w:t>
      </w:r>
      <w:r>
        <w:rPr>
          <w:b/>
          <w:spacing w:val="109"/>
          <w:sz w:val="21"/>
        </w:rPr>
        <w:t xml:space="preserve"> </w:t>
      </w:r>
      <w:r>
        <w:rPr>
          <w:b/>
          <w:w w:val="95"/>
          <w:sz w:val="21"/>
        </w:rPr>
        <w:t>模型加施工进度(4D)模拟实际施工</w:t>
      </w:r>
      <w:r>
        <w:rPr>
          <w:w w:val="95"/>
          <w:sz w:val="21"/>
        </w:rPr>
        <w:t>，从而通过</w:t>
      </w:r>
      <w:r>
        <w:rPr>
          <w:b/>
          <w:w w:val="95"/>
          <w:sz w:val="21"/>
        </w:rPr>
        <w:t>确定合理的施工方案</w:t>
      </w:r>
      <w:r>
        <w:rPr>
          <w:spacing w:val="-4"/>
          <w:w w:val="95"/>
          <w:sz w:val="21"/>
        </w:rPr>
        <w:t xml:space="preserve">指导实际施工，还可进行 </w:t>
      </w:r>
      <w:r>
        <w:rPr>
          <w:b/>
          <w:w w:val="95"/>
          <w:sz w:val="21"/>
        </w:rPr>
        <w:t>5D</w:t>
      </w:r>
      <w:r>
        <w:rPr>
          <w:b/>
          <w:spacing w:val="-7"/>
          <w:w w:val="95"/>
          <w:sz w:val="21"/>
        </w:rPr>
        <w:t xml:space="preserve"> 模拟，实现造价控制</w:t>
      </w:r>
      <w:r>
        <w:rPr>
          <w:w w:val="95"/>
          <w:sz w:val="21"/>
        </w:rPr>
        <w:t>；</w:t>
      </w:r>
    </w:p>
    <w:p>
      <w:pPr>
        <w:pStyle w:val="BodyText"/>
        <w:spacing w:before="3"/>
        <w:ind w:left="640"/>
      </w:pPr>
      <w:r>
        <w:t>在运营阶段，可对日常紧急情况的处理进行模拟，如地震人员逃生模拟及消防人员疏散模拟等。</w:t>
      </w:r>
    </w:p>
    <w:p>
      <w:pPr>
        <w:pStyle w:val="BodyText"/>
        <w:spacing w:before="131"/>
      </w:pPr>
      <w:r>
        <w:rPr>
          <w:spacing w:val="-3"/>
        </w:rPr>
        <w:t>【考点来源】第八章 建设工程监理工作内容和主要方式 第三节 建设工程监理信息化</w:t>
      </w:r>
    </w:p>
    <w:p>
      <w:pPr>
        <w:pStyle w:val="BodyText"/>
        <w:ind w:left="0"/>
        <w:rPr>
          <w:sz w:val="20"/>
        </w:rPr>
      </w:pPr>
    </w:p>
    <w:p>
      <w:pPr>
        <w:pStyle w:val="BodyText"/>
        <w:spacing w:before="5"/>
        <w:ind w:left="0"/>
      </w:pPr>
    </w:p>
    <w:p>
      <w:pPr>
        <w:pStyle w:val="ListParagraph"/>
        <w:numPr>
          <w:ilvl w:val="0"/>
          <w:numId w:val="1"/>
        </w:numPr>
        <w:tabs>
          <w:tab w:val="left" w:pos="432"/>
        </w:tabs>
        <w:spacing w:before="0" w:after="0" w:line="357" w:lineRule="auto"/>
        <w:ind w:left="220" w:right="1568" w:firstLine="0"/>
        <w:jc w:val="both"/>
        <w:rPr>
          <w:sz w:val="21"/>
        </w:rPr>
      </w:pPr>
      <w:r>
        <w:rPr>
          <w:spacing w:val="3"/>
          <w:w w:val="95"/>
          <w:sz w:val="21"/>
        </w:rPr>
        <w:t xml:space="preserve">对工程咨询公司而言，提供 </w:t>
      </w:r>
      <w:r>
        <w:rPr>
          <w:w w:val="95"/>
          <w:sz w:val="21"/>
        </w:rPr>
        <w:t>Project</w:t>
      </w:r>
      <w:r>
        <w:rPr>
          <w:spacing w:val="78"/>
          <w:w w:val="95"/>
          <w:sz w:val="21"/>
        </w:rPr>
        <w:t xml:space="preserve"> </w:t>
      </w:r>
      <w:r>
        <w:rPr>
          <w:w w:val="95"/>
          <w:sz w:val="21"/>
        </w:rPr>
        <w:t>Controlling 与工程项目管理服务的相同点是（）。</w:t>
      </w:r>
      <w:r>
        <w:rPr>
          <w:sz w:val="21"/>
        </w:rPr>
        <w:t>A.两者地位相同</w:t>
      </w:r>
    </w:p>
    <w:p>
      <w:pPr>
        <w:pStyle w:val="BodyText"/>
        <w:spacing w:line="357" w:lineRule="auto"/>
        <w:ind w:right="8077"/>
        <w:jc w:val="both"/>
      </w:pPr>
      <w:r>
        <w:rPr>
          <w:spacing w:val="-1"/>
        </w:rPr>
        <w:t>B.两者工作内容相同C.两者工作属性相同</w:t>
      </w:r>
      <w:r>
        <w:t>D.两者权利相同</w:t>
      </w:r>
    </w:p>
    <w:p>
      <w:pPr>
        <w:pStyle w:val="BodyText"/>
        <w:spacing w:line="266" w:lineRule="exact"/>
      </w:pPr>
      <w:r>
        <w:t>【答案】C</w:t>
      </w:r>
    </w:p>
    <w:p>
      <w:pPr>
        <w:pStyle w:val="BodyText"/>
        <w:spacing w:before="129"/>
      </w:pPr>
      <w:r>
        <w:rPr>
          <w:w w:val="95"/>
        </w:rPr>
        <w:t>【解析】</w:t>
      </w:r>
    </w:p>
    <w:p>
      <w:pPr>
        <w:pStyle w:val="BodyText"/>
        <w:spacing w:before="132" w:line="355" w:lineRule="auto"/>
        <w:ind w:right="4771"/>
      </w:pPr>
      <w:r>
        <w:rPr>
          <w:w w:val="95"/>
        </w:rPr>
        <w:t>㈢Project</w:t>
      </w:r>
      <w:r>
        <w:rPr>
          <w:spacing w:val="50"/>
          <w:w w:val="95"/>
        </w:rPr>
        <w:t xml:space="preserve"> </w:t>
      </w:r>
      <w:r>
        <w:rPr>
          <w:w w:val="95"/>
        </w:rPr>
        <w:t>Controlling 模式与工程项目管理服务的比较</w:t>
      </w:r>
      <w:r>
        <w:t>相同点：</w:t>
      </w:r>
    </w:p>
    <w:p>
      <w:pPr>
        <w:pStyle w:val="BodyText"/>
        <w:spacing w:before="3"/>
      </w:pPr>
      <w:r>
        <w:t>一是工作属性相同，都属于工程咨询服务；</w:t>
      </w:r>
    </w:p>
    <w:p>
      <w:pPr>
        <w:pStyle w:val="BodyText"/>
        <w:spacing w:before="131"/>
      </w:pPr>
      <w:r>
        <w:t>二是控制目标相同，都是控制项目的投资、进度和质量三大目标；</w:t>
      </w:r>
    </w:p>
    <w:p>
      <w:pPr>
        <w:pStyle w:val="BodyText"/>
        <w:spacing w:before="130" w:line="357" w:lineRule="auto"/>
        <w:ind w:right="1357"/>
      </w:pPr>
      <w:r>
        <w:rPr>
          <w:w w:val="95"/>
        </w:rPr>
        <w:t>三是控制原理相同，都是采用动态控制、主动控制与被动控制相结合并尽可能采用主动控制。</w:t>
      </w:r>
      <w:r>
        <w:rPr>
          <w:spacing w:val="119"/>
        </w:rPr>
        <w:t xml:space="preserve"> </w:t>
      </w:r>
      <w:r>
        <w:t>不同之处：</w:t>
      </w:r>
    </w:p>
    <w:p>
      <w:pPr>
        <w:pStyle w:val="BodyText"/>
        <w:spacing w:line="269" w:lineRule="exact"/>
      </w:pPr>
      <w:r>
        <w:t>⑴两者地位不同。</w:t>
      </w:r>
    </w:p>
    <w:p>
      <w:pPr>
        <w:spacing w:after="0" w:line="269" w:lineRule="exact"/>
        <w:rPr>
          <w:rFonts w:hint="eastAsia"/>
        </w:rPr>
        <w:sectPr>
          <w:type w:val="continuous"/>
          <w:pgSz w:w="11910" w:h="16840"/>
          <w:pgMar w:top="1820" w:right="860" w:bottom="280" w:left="860" w:header="1632" w:footer="0" w:gutter="0"/>
          <w:pgNumType w:start="1"/>
          <w:cols w:space="708"/>
        </w:sectPr>
      </w:pPr>
      <w:bookmarkStart w:id="0" w:name="_GoBack"/>
      <w:bookmarkEnd w:id="0"/>
    </w:p>
    <w:p>
      <w:pPr>
        <w:pStyle w:val="BodyText"/>
        <w:ind w:left="0"/>
        <w:rPr>
          <w:sz w:val="20"/>
        </w:rPr>
      </w:pPr>
    </w:p>
    <w:p>
      <w:pPr>
        <w:pStyle w:val="BodyText"/>
        <w:ind w:left="0"/>
        <w:rPr>
          <w:sz w:val="16"/>
        </w:rPr>
      </w:pPr>
    </w:p>
    <w:p>
      <w:pPr>
        <w:pStyle w:val="BodyText"/>
      </w:pPr>
      <w:r>
        <w:t>⑵两者服务时间不尽相同。</w:t>
      </w:r>
    </w:p>
    <w:p>
      <w:pPr>
        <w:pStyle w:val="BodyText"/>
        <w:spacing w:before="132"/>
      </w:pPr>
      <w:r>
        <w:t>⑶两者工作内容不同。</w:t>
      </w:r>
    </w:p>
    <w:p>
      <w:pPr>
        <w:pStyle w:val="BodyText"/>
        <w:spacing w:before="131"/>
      </w:pPr>
      <w:r>
        <w:t>⑷两者权力不同。</w:t>
      </w:r>
    </w:p>
    <w:p>
      <w:pPr>
        <w:pStyle w:val="BodyText"/>
        <w:spacing w:before="130"/>
      </w:pPr>
      <w:r>
        <w:rPr>
          <w:spacing w:val="-3"/>
        </w:rPr>
        <w:t>【考点来源】第十一章 国际工程咨询与实施组织模式 第二节 国际工程实施组织模式</w:t>
      </w:r>
    </w:p>
    <w:p>
      <w:pPr>
        <w:pStyle w:val="BodyText"/>
        <w:ind w:left="0"/>
        <w:rPr>
          <w:sz w:val="20"/>
        </w:rPr>
      </w:pPr>
    </w:p>
    <w:p>
      <w:pPr>
        <w:pStyle w:val="BodyText"/>
        <w:spacing w:before="7"/>
        <w:ind w:left="0"/>
      </w:pPr>
    </w:p>
    <w:p>
      <w:pPr>
        <w:pStyle w:val="ListParagraph"/>
        <w:numPr>
          <w:ilvl w:val="0"/>
          <w:numId w:val="1"/>
        </w:numPr>
        <w:tabs>
          <w:tab w:val="left" w:pos="432"/>
        </w:tabs>
        <w:spacing w:before="0" w:after="0" w:line="355" w:lineRule="auto"/>
        <w:ind w:left="220" w:right="5978" w:firstLine="0"/>
        <w:jc w:val="left"/>
        <w:rPr>
          <w:sz w:val="21"/>
        </w:rPr>
      </w:pPr>
      <w:r>
        <w:rPr>
          <w:w w:val="95"/>
          <w:sz w:val="21"/>
        </w:rPr>
        <w:t>建设工程监理与项目管理服务的相同点是</w:t>
      </w:r>
      <w:r>
        <w:rPr>
          <w:sz w:val="21"/>
        </w:rPr>
        <w:t>A.服务性质相同</w:t>
      </w:r>
    </w:p>
    <w:p>
      <w:pPr>
        <w:pStyle w:val="BodyText"/>
        <w:spacing w:before="3" w:line="357" w:lineRule="auto"/>
        <w:ind w:right="8286"/>
      </w:pPr>
      <w:r>
        <w:t>B.服务范围相同</w:t>
      </w:r>
      <w:r>
        <w:rPr>
          <w:spacing w:val="1"/>
        </w:rPr>
        <w:t xml:space="preserve"> </w:t>
      </w:r>
      <w:r>
        <w:rPr>
          <w:spacing w:val="-1"/>
        </w:rPr>
        <w:t>C.服务侧重点相同</w:t>
      </w:r>
    </w:p>
    <w:p>
      <w:pPr>
        <w:pStyle w:val="BodyText"/>
        <w:spacing w:line="266" w:lineRule="exact"/>
      </w:pPr>
      <w:r>
        <w:t>D.服务单位的社会化属性相同</w:t>
      </w:r>
    </w:p>
    <w:p>
      <w:pPr>
        <w:pStyle w:val="BodyText"/>
        <w:spacing w:before="131"/>
      </w:pPr>
      <w:r>
        <w:t>【答案】D</w:t>
      </w:r>
    </w:p>
    <w:p>
      <w:pPr>
        <w:pStyle w:val="BodyText"/>
        <w:spacing w:before="132" w:line="357" w:lineRule="auto"/>
        <w:ind w:right="223"/>
        <w:jc w:val="both"/>
      </w:pPr>
      <w:r>
        <w:rPr>
          <w:w w:val="95"/>
        </w:rPr>
        <w:t>【解析】项目管理服务是指具有工程项目管理服务能力的单位受建设单位委托，按照合同约定，对建设工</w:t>
      </w:r>
      <w:r>
        <w:rPr>
          <w:spacing w:val="266"/>
        </w:rPr>
        <w:t xml:space="preserve"> </w:t>
      </w:r>
      <w:r>
        <w:rPr>
          <w:w w:val="95"/>
        </w:rPr>
        <w:t>程项目组织实施进行全过程或若干阶段的管理服务。尽管工程监理与项目管理服务均是由社会化的专业单</w:t>
      </w:r>
      <w:r>
        <w:rPr>
          <w:spacing w:val="256"/>
        </w:rPr>
        <w:t xml:space="preserve"> </w:t>
      </w:r>
      <w:r>
        <w:t>位为建设单位(业主)提供服务，但在服务的性质、范围及侧重点等方面有着本质区别。</w:t>
      </w:r>
    </w:p>
    <w:p>
      <w:pPr>
        <w:pStyle w:val="BodyText"/>
        <w:spacing w:line="266" w:lineRule="exact"/>
      </w:pPr>
      <w:r>
        <w:t>【考点来源】</w:t>
      </w:r>
    </w:p>
    <w:p>
      <w:pPr>
        <w:pStyle w:val="BodyText"/>
        <w:ind w:left="0"/>
        <w:rPr>
          <w:sz w:val="20"/>
        </w:rPr>
      </w:pPr>
    </w:p>
    <w:p>
      <w:pPr>
        <w:pStyle w:val="BodyText"/>
        <w:spacing w:before="5"/>
        <w:ind w:left="0"/>
      </w:pPr>
    </w:p>
    <w:p>
      <w:pPr>
        <w:pStyle w:val="ListParagraph"/>
        <w:numPr>
          <w:ilvl w:val="0"/>
          <w:numId w:val="1"/>
        </w:numPr>
        <w:tabs>
          <w:tab w:val="left" w:pos="432"/>
        </w:tabs>
        <w:spacing w:before="0" w:after="0" w:line="357" w:lineRule="auto"/>
        <w:ind w:left="220" w:right="1988" w:firstLine="0"/>
        <w:jc w:val="left"/>
        <w:rPr>
          <w:sz w:val="21"/>
        </w:rPr>
      </w:pPr>
      <w:r>
        <w:rPr>
          <w:w w:val="95"/>
          <w:sz w:val="21"/>
        </w:rPr>
        <w:t>项目监理机构协助建设单位进行组织协调时，属于建设单位系统外部远外层协调关系</w:t>
      </w:r>
      <w:r>
        <w:rPr>
          <w:spacing w:val="80"/>
          <w:w w:val="95"/>
          <w:sz w:val="21"/>
        </w:rPr>
        <w:t xml:space="preserve"> </w:t>
      </w:r>
      <w:r>
        <w:rPr>
          <w:sz w:val="21"/>
        </w:rPr>
        <w:t>的是（）</w:t>
      </w:r>
    </w:p>
    <w:p>
      <w:pPr>
        <w:pStyle w:val="BodyText"/>
        <w:spacing w:line="357" w:lineRule="auto"/>
        <w:ind w:right="8130"/>
      </w:pPr>
      <w:r>
        <w:rPr>
          <w:w w:val="95"/>
        </w:rPr>
        <w:t>A</w:t>
      </w:r>
      <w:r>
        <w:rPr>
          <w:spacing w:val="-1"/>
          <w:w w:val="95"/>
        </w:rPr>
        <w:t xml:space="preserve"> 材料设备供应单位</w:t>
      </w:r>
      <w:r>
        <w:t>B.设计单位</w:t>
      </w:r>
    </w:p>
    <w:p>
      <w:pPr>
        <w:pStyle w:val="BodyText"/>
        <w:spacing w:line="355" w:lineRule="auto"/>
        <w:ind w:right="8497"/>
      </w:pPr>
      <w:r>
        <w:rPr>
          <w:spacing w:val="-1"/>
        </w:rPr>
        <w:t>C.施工分包单位</w:t>
      </w:r>
      <w:r>
        <w:t>D.施工总承包</w:t>
      </w:r>
    </w:p>
    <w:p>
      <w:pPr>
        <w:pStyle w:val="BodyText"/>
      </w:pPr>
      <w:r>
        <w:t>【答案】C</w:t>
      </w:r>
    </w:p>
    <w:p>
      <w:pPr>
        <w:pStyle w:val="BodyText"/>
        <w:spacing w:before="132"/>
      </w:pPr>
      <w:r>
        <w:t>【解析】</w:t>
      </w:r>
    </w:p>
    <w:p>
      <w:pPr>
        <w:pStyle w:val="BodyText"/>
        <w:spacing w:before="129"/>
        <w:ind w:left="640"/>
      </w:pPr>
      <w:r>
        <w:t>四、组织协调</w:t>
      </w:r>
    </w:p>
    <w:p>
      <w:pPr>
        <w:pStyle w:val="BodyText"/>
        <w:spacing w:before="132" w:after="21"/>
        <w:ind w:left="640"/>
      </w:pPr>
      <w:r>
        <w:t>㈠项目监理机构组织协调内容</w:t>
      </w:r>
    </w:p>
    <w:tbl>
      <w:tblPr>
        <w:tblStyle w:val="TableNormal"/>
        <w:tblW w:w="0" w:type="auto"/>
        <w:tblInd w:w="24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316"/>
        <w:gridCol w:w="1873"/>
        <w:gridCol w:w="1073"/>
      </w:tblGrid>
      <w:tr>
        <w:tblPrEx>
          <w:tblW w:w="0" w:type="auto"/>
          <w:tblInd w:w="24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00"/>
        </w:trPr>
        <w:tc>
          <w:tcPr>
            <w:tcW w:w="2316" w:type="dxa"/>
            <w:vMerge w:val="restart"/>
          </w:tcPr>
          <w:p>
            <w:pPr>
              <w:pStyle w:val="TableParagraph"/>
              <w:rPr>
                <w:sz w:val="20"/>
              </w:rPr>
            </w:pPr>
          </w:p>
          <w:p>
            <w:pPr>
              <w:pStyle w:val="TableParagraph"/>
              <w:spacing w:before="8"/>
              <w:rPr>
                <w:sz w:val="20"/>
              </w:rPr>
            </w:pPr>
          </w:p>
          <w:p>
            <w:pPr>
              <w:pStyle w:val="TableParagraph"/>
              <w:ind w:left="107"/>
              <w:rPr>
                <w:sz w:val="21"/>
              </w:rPr>
            </w:pPr>
            <w:r>
              <w:rPr>
                <w:sz w:val="21"/>
              </w:rPr>
              <w:t>项目监理机构组织协调</w:t>
            </w:r>
          </w:p>
        </w:tc>
        <w:tc>
          <w:tcPr>
            <w:tcW w:w="2946" w:type="dxa"/>
            <w:gridSpan w:val="2"/>
          </w:tcPr>
          <w:p>
            <w:pPr>
              <w:pStyle w:val="TableParagraph"/>
              <w:spacing w:before="110"/>
              <w:ind w:left="107"/>
              <w:rPr>
                <w:sz w:val="21"/>
              </w:rPr>
            </w:pPr>
            <w:r>
              <w:rPr>
                <w:sz w:val="21"/>
              </w:rPr>
              <w:t>系统内部(项目监理机构)协调</w:t>
            </w:r>
          </w:p>
        </w:tc>
      </w:tr>
      <w:tr>
        <w:tblPrEx>
          <w:tblW w:w="0" w:type="auto"/>
          <w:tblInd w:w="2467" w:type="dxa"/>
          <w:tblLayout w:type="fixed"/>
          <w:tblCellMar>
            <w:top w:w="0" w:type="dxa"/>
            <w:left w:w="0" w:type="dxa"/>
            <w:bottom w:w="0" w:type="dxa"/>
            <w:right w:w="0" w:type="dxa"/>
          </w:tblCellMar>
        </w:tblPrEx>
        <w:trPr>
          <w:trHeight w:val="400"/>
        </w:trPr>
        <w:tc>
          <w:tcPr>
            <w:tcW w:w="2316" w:type="dxa"/>
            <w:vMerge/>
            <w:tcBorders>
              <w:top w:val="nil"/>
            </w:tcBorders>
          </w:tcPr>
          <w:p>
            <w:pPr>
              <w:rPr>
                <w:sz w:val="2"/>
                <w:szCs w:val="2"/>
              </w:rPr>
            </w:pPr>
          </w:p>
        </w:tc>
        <w:tc>
          <w:tcPr>
            <w:tcW w:w="1873" w:type="dxa"/>
            <w:vMerge w:val="restart"/>
          </w:tcPr>
          <w:p>
            <w:pPr>
              <w:pStyle w:val="TableParagraph"/>
              <w:spacing w:before="7"/>
              <w:rPr>
                <w:sz w:val="24"/>
              </w:rPr>
            </w:pPr>
          </w:p>
          <w:p>
            <w:pPr>
              <w:pStyle w:val="TableParagraph"/>
              <w:ind w:left="107"/>
              <w:rPr>
                <w:sz w:val="21"/>
              </w:rPr>
            </w:pPr>
            <w:r>
              <w:rPr>
                <w:sz w:val="21"/>
              </w:rPr>
              <w:t>系统外部协调</w:t>
            </w:r>
          </w:p>
        </w:tc>
        <w:tc>
          <w:tcPr>
            <w:tcW w:w="1073" w:type="dxa"/>
          </w:tcPr>
          <w:p>
            <w:pPr>
              <w:pStyle w:val="TableParagraph"/>
              <w:spacing w:before="111"/>
              <w:ind w:left="108"/>
              <w:rPr>
                <w:sz w:val="21"/>
              </w:rPr>
            </w:pPr>
            <w:r>
              <w:rPr>
                <w:sz w:val="21"/>
              </w:rPr>
              <w:t>近外层</w:t>
            </w:r>
          </w:p>
        </w:tc>
      </w:tr>
      <w:tr>
        <w:tblPrEx>
          <w:tblW w:w="0" w:type="auto"/>
          <w:tblInd w:w="2467" w:type="dxa"/>
          <w:tblLayout w:type="fixed"/>
          <w:tblCellMar>
            <w:top w:w="0" w:type="dxa"/>
            <w:left w:w="0" w:type="dxa"/>
            <w:bottom w:w="0" w:type="dxa"/>
            <w:right w:w="0" w:type="dxa"/>
          </w:tblCellMar>
        </w:tblPrEx>
        <w:trPr>
          <w:trHeight w:val="400"/>
        </w:trPr>
        <w:tc>
          <w:tcPr>
            <w:tcW w:w="2316" w:type="dxa"/>
            <w:vMerge/>
            <w:tcBorders>
              <w:top w:val="nil"/>
            </w:tcBorders>
          </w:tcPr>
          <w:p>
            <w:pPr>
              <w:rPr>
                <w:sz w:val="2"/>
                <w:szCs w:val="2"/>
              </w:rPr>
            </w:pPr>
          </w:p>
        </w:tc>
        <w:tc>
          <w:tcPr>
            <w:tcW w:w="1873" w:type="dxa"/>
            <w:vMerge/>
            <w:tcBorders>
              <w:top w:val="nil"/>
            </w:tcBorders>
          </w:tcPr>
          <w:p>
            <w:pPr>
              <w:rPr>
                <w:sz w:val="2"/>
                <w:szCs w:val="2"/>
              </w:rPr>
            </w:pPr>
          </w:p>
        </w:tc>
        <w:tc>
          <w:tcPr>
            <w:tcW w:w="1073" w:type="dxa"/>
          </w:tcPr>
          <w:p>
            <w:pPr>
              <w:pStyle w:val="TableParagraph"/>
              <w:spacing w:before="111" w:line="269" w:lineRule="exact"/>
              <w:ind w:left="108"/>
              <w:rPr>
                <w:sz w:val="21"/>
              </w:rPr>
            </w:pPr>
            <w:r>
              <w:rPr>
                <w:sz w:val="21"/>
              </w:rPr>
              <w:t>远外层</w:t>
            </w:r>
          </w:p>
        </w:tc>
      </w:tr>
    </w:tbl>
    <w:p>
      <w:pPr>
        <w:pStyle w:val="BodyText"/>
        <w:spacing w:before="109" w:line="357" w:lineRule="auto"/>
        <w:ind w:right="308" w:firstLine="420"/>
      </w:pPr>
      <w:r>
        <w:rPr>
          <w:w w:val="95"/>
        </w:rPr>
        <w:t>近外层和远外层的主要区别：建设单位与近外层关联单位之间有合同关系，与远外层关联单位之间没</w:t>
      </w:r>
      <w:r>
        <w:rPr>
          <w:spacing w:val="150"/>
        </w:rPr>
        <w:t xml:space="preserve"> </w:t>
      </w:r>
      <w:r>
        <w:t>有合同关系。</w:t>
      </w:r>
    </w:p>
    <w:p>
      <w:pPr>
        <w:spacing w:after="0" w:line="357" w:lineRule="auto"/>
        <w:sectPr>
          <w:pgSz w:w="11910" w:h="16840"/>
          <w:pgMar w:top="1920" w:right="860" w:bottom="280" w:left="860" w:header="1632" w:footer="0" w:gutter="0"/>
          <w:pgNumType w:start="2"/>
          <w:cols w:space="708"/>
        </w:sectPr>
      </w:pPr>
    </w:p>
    <w:p>
      <w:pPr>
        <w:pStyle w:val="BodyText"/>
        <w:ind w:left="0"/>
        <w:rPr>
          <w:sz w:val="20"/>
        </w:rPr>
      </w:pPr>
    </w:p>
    <w:p>
      <w:pPr>
        <w:pStyle w:val="BodyText"/>
        <w:spacing w:before="7"/>
        <w:ind w:left="0"/>
        <w:rPr>
          <w:sz w:val="17"/>
        </w:rPr>
      </w:pPr>
    </w:p>
    <w:p>
      <w:pPr>
        <w:pStyle w:val="BodyText"/>
        <w:spacing w:before="70"/>
      </w:pPr>
      <w:r>
        <w:rPr>
          <w:spacing w:val="-3"/>
        </w:rPr>
        <w:t>【考点来源】第八章 建设工程监理工作内容和主要方式 第一节 建设工程监理工作内容</w:t>
      </w:r>
    </w:p>
    <w:p>
      <w:pPr>
        <w:pStyle w:val="BodyText"/>
        <w:ind w:left="0"/>
        <w:rPr>
          <w:sz w:val="20"/>
        </w:rPr>
      </w:pPr>
    </w:p>
    <w:p>
      <w:pPr>
        <w:pStyle w:val="BodyText"/>
        <w:spacing w:before="7"/>
        <w:ind w:left="0"/>
      </w:pPr>
    </w:p>
    <w:p>
      <w:pPr>
        <w:pStyle w:val="BodyText"/>
        <w:spacing w:line="355" w:lineRule="auto"/>
        <w:ind w:right="3773"/>
      </w:pPr>
      <w:r>
        <w:t>5</w:t>
      </w:r>
      <w:r>
        <w:rPr>
          <w:spacing w:val="-1"/>
        </w:rPr>
        <w:t>、根据必须招标的工程项目规定，下列工程中必须招标的是 (</w:t>
      </w:r>
      <w:r>
        <w:t>）。</w:t>
      </w:r>
      <w:r>
        <w:rPr>
          <w:w w:val="95"/>
        </w:rPr>
        <w:t>A</w:t>
      </w:r>
      <w:r>
        <w:rPr>
          <w:spacing w:val="-4"/>
          <w:w w:val="95"/>
        </w:rPr>
        <w:t xml:space="preserve">.监理单位合同估算价为 </w:t>
      </w:r>
      <w:r>
        <w:rPr>
          <w:w w:val="95"/>
        </w:rPr>
        <w:t>80</w:t>
      </w:r>
      <w:r>
        <w:rPr>
          <w:spacing w:val="-7"/>
          <w:w w:val="95"/>
        </w:rPr>
        <w:t xml:space="preserve"> 万元人民币的项目</w:t>
      </w:r>
    </w:p>
    <w:p>
      <w:pPr>
        <w:pStyle w:val="ListParagraph"/>
        <w:numPr>
          <w:ilvl w:val="0"/>
          <w:numId w:val="2"/>
        </w:numPr>
        <w:tabs>
          <w:tab w:val="left" w:pos="432"/>
        </w:tabs>
        <w:spacing w:before="3" w:after="0" w:line="240" w:lineRule="auto"/>
        <w:ind w:left="431" w:right="0" w:hanging="212"/>
        <w:jc w:val="left"/>
        <w:rPr>
          <w:sz w:val="21"/>
        </w:rPr>
      </w:pPr>
      <w:r>
        <w:rPr>
          <w:spacing w:val="1"/>
          <w:w w:val="95"/>
          <w:sz w:val="21"/>
        </w:rPr>
        <w:t xml:space="preserve">施工单项合同估算价为 </w:t>
      </w:r>
      <w:r>
        <w:rPr>
          <w:w w:val="95"/>
          <w:sz w:val="21"/>
        </w:rPr>
        <w:t>300 万元人民币的项目</w:t>
      </w:r>
    </w:p>
    <w:p>
      <w:pPr>
        <w:pStyle w:val="ListParagraph"/>
        <w:numPr>
          <w:ilvl w:val="0"/>
          <w:numId w:val="2"/>
        </w:numPr>
        <w:tabs>
          <w:tab w:val="left" w:pos="432"/>
        </w:tabs>
        <w:spacing w:before="132" w:after="0" w:line="240" w:lineRule="auto"/>
        <w:ind w:left="431" w:right="0" w:hanging="212"/>
        <w:jc w:val="left"/>
        <w:rPr>
          <w:sz w:val="21"/>
        </w:rPr>
      </w:pPr>
      <w:r>
        <w:rPr>
          <w:spacing w:val="2"/>
          <w:w w:val="95"/>
          <w:sz w:val="21"/>
        </w:rPr>
        <w:t xml:space="preserve">重要设备采购单项合同估算价为 </w:t>
      </w:r>
      <w:r>
        <w:rPr>
          <w:w w:val="95"/>
          <w:sz w:val="21"/>
        </w:rPr>
        <w:t>150 万元人民币的项目</w:t>
      </w:r>
    </w:p>
    <w:p>
      <w:pPr>
        <w:pStyle w:val="ListParagraph"/>
        <w:numPr>
          <w:ilvl w:val="0"/>
          <w:numId w:val="2"/>
        </w:numPr>
        <w:tabs>
          <w:tab w:val="left" w:pos="432"/>
        </w:tabs>
        <w:spacing w:before="129" w:after="0" w:line="240" w:lineRule="auto"/>
        <w:ind w:left="431" w:right="0" w:hanging="212"/>
        <w:jc w:val="left"/>
        <w:rPr>
          <w:sz w:val="21"/>
        </w:rPr>
      </w:pPr>
      <w:r>
        <w:rPr>
          <w:spacing w:val="2"/>
          <w:w w:val="95"/>
          <w:sz w:val="21"/>
        </w:rPr>
        <w:t xml:space="preserve">工程设计单位合同估算价为 </w:t>
      </w:r>
      <w:r>
        <w:rPr>
          <w:w w:val="95"/>
          <w:sz w:val="21"/>
        </w:rPr>
        <w:t>110 万元人民币的项目</w:t>
      </w:r>
    </w:p>
    <w:p>
      <w:pPr>
        <w:pStyle w:val="BodyText"/>
        <w:spacing w:before="132"/>
      </w:pPr>
      <w:r>
        <w:t>【答案】D</w:t>
      </w:r>
    </w:p>
    <w:p>
      <w:pPr>
        <w:pStyle w:val="BodyText"/>
        <w:spacing w:before="132"/>
      </w:pPr>
      <w:r>
        <w:t>【解析】</w:t>
      </w:r>
    </w:p>
    <w:p>
      <w:pPr>
        <w:spacing w:before="129"/>
        <w:ind w:left="640" w:right="0" w:firstLine="0"/>
        <w:jc w:val="left"/>
        <w:rPr>
          <w:b/>
          <w:sz w:val="21"/>
        </w:rPr>
      </w:pPr>
      <w:r>
        <w:rPr>
          <w:b/>
          <w:sz w:val="21"/>
        </w:rPr>
        <w:t>⑶必须招标的单项合同估算价标准。</w:t>
      </w:r>
    </w:p>
    <w:p>
      <w:pPr>
        <w:spacing w:before="132" w:line="357" w:lineRule="auto"/>
        <w:ind w:left="220" w:right="220" w:firstLine="420"/>
        <w:jc w:val="left"/>
        <w:rPr>
          <w:b/>
          <w:sz w:val="21"/>
        </w:rPr>
      </w:pPr>
      <w:r>
        <w:rPr>
          <w:w w:val="95"/>
          <w:sz w:val="21"/>
        </w:rPr>
        <w:t>根据《</w:t>
      </w:r>
      <w:r>
        <w:rPr>
          <w:b/>
          <w:w w:val="95"/>
          <w:sz w:val="21"/>
        </w:rPr>
        <w:t>必须招标的工程项目》</w:t>
      </w:r>
      <w:r>
        <w:rPr>
          <w:b/>
          <w:spacing w:val="226"/>
          <w:sz w:val="21"/>
        </w:rPr>
        <w:t xml:space="preserve"> </w:t>
      </w:r>
      <w:r>
        <w:rPr>
          <w:w w:val="95"/>
          <w:sz w:val="21"/>
        </w:rPr>
        <w:t>(国家发改委令第16号)，对上述规定范围内的项目，</w:t>
      </w:r>
      <w:r>
        <w:rPr>
          <w:b/>
          <w:w w:val="95"/>
          <w:sz w:val="21"/>
        </w:rPr>
        <w:t>其勘察、设计、施</w:t>
      </w:r>
      <w:r>
        <w:rPr>
          <w:b/>
          <w:sz w:val="21"/>
        </w:rPr>
        <w:t>工、监理以及与工程建设有关的重要设备、材料等的采购达到下列标准之一的，必须招标：</w:t>
      </w:r>
    </w:p>
    <w:p>
      <w:pPr>
        <w:spacing w:before="0" w:line="266" w:lineRule="exact"/>
        <w:ind w:left="640" w:right="0" w:firstLine="0"/>
        <w:jc w:val="left"/>
        <w:rPr>
          <w:b/>
          <w:sz w:val="21"/>
        </w:rPr>
      </w:pPr>
      <w:r>
        <w:rPr>
          <w:b/>
          <w:sz w:val="21"/>
        </w:rPr>
        <w:t>①施工单项合同估算价在400万元人民币以上；</w:t>
      </w:r>
    </w:p>
    <w:p>
      <w:pPr>
        <w:spacing w:before="131"/>
        <w:ind w:left="640" w:right="0" w:firstLine="0"/>
        <w:jc w:val="left"/>
        <w:rPr>
          <w:b/>
          <w:sz w:val="21"/>
        </w:rPr>
      </w:pPr>
      <w:r>
        <w:rPr>
          <w:b/>
          <w:w w:val="95"/>
          <w:sz w:val="21"/>
        </w:rPr>
        <w:t>②重要设备、材料等货物的采购，单项合同估算价在200万元人民币以上；</w:t>
      </w:r>
    </w:p>
    <w:p>
      <w:pPr>
        <w:spacing w:before="132"/>
        <w:ind w:left="640" w:right="0" w:firstLine="0"/>
        <w:jc w:val="left"/>
        <w:rPr>
          <w:b/>
          <w:sz w:val="21"/>
        </w:rPr>
      </w:pPr>
      <w:r>
        <w:rPr>
          <w:b/>
          <w:w w:val="95"/>
          <w:sz w:val="21"/>
        </w:rPr>
        <w:t>③勘察、设计、监理等服务的采购，单项合同估算价在100万元人民币以上。</w:t>
      </w:r>
    </w:p>
    <w:p>
      <w:pPr>
        <w:pStyle w:val="BodyText"/>
        <w:spacing w:before="129"/>
      </w:pPr>
      <w:r>
        <w:rPr>
          <w:spacing w:val="-3"/>
        </w:rPr>
        <w:t>【考点来源】第一章 建设工程监理制度 第二节 建设工程监理相关制度</w:t>
      </w:r>
    </w:p>
    <w:p>
      <w:pPr>
        <w:pStyle w:val="BodyText"/>
        <w:ind w:left="0"/>
        <w:rPr>
          <w:sz w:val="20"/>
        </w:rPr>
      </w:pPr>
    </w:p>
    <w:p>
      <w:pPr>
        <w:pStyle w:val="BodyText"/>
        <w:spacing w:before="8"/>
        <w:ind w:left="0"/>
      </w:pPr>
    </w:p>
    <w:p>
      <w:pPr>
        <w:pStyle w:val="BodyText"/>
        <w:spacing w:line="355" w:lineRule="auto"/>
        <w:ind w:right="221"/>
      </w:pPr>
      <w:r>
        <w:rPr>
          <w:w w:val="95"/>
        </w:rPr>
        <w:t>6、根据《建设工程监理规范》，见证取样是指项目监理机构对施工单位进行的涉及结构安全的试块，试件</w:t>
      </w:r>
      <w:r>
        <w:rPr>
          <w:spacing w:val="158"/>
        </w:rPr>
        <w:t xml:space="preserve"> </w:t>
      </w:r>
      <w:r>
        <w:t>及工程材料（）工作的监督活动。</w:t>
      </w:r>
    </w:p>
    <w:p>
      <w:pPr>
        <w:pStyle w:val="ListParagraph"/>
        <w:numPr>
          <w:ilvl w:val="0"/>
          <w:numId w:val="3"/>
        </w:numPr>
        <w:tabs>
          <w:tab w:val="left" w:pos="432"/>
        </w:tabs>
        <w:spacing w:before="2" w:after="0" w:line="240" w:lineRule="auto"/>
        <w:ind w:left="431" w:right="0" w:hanging="212"/>
        <w:jc w:val="left"/>
        <w:rPr>
          <w:sz w:val="21"/>
        </w:rPr>
      </w:pPr>
      <w:r>
        <w:rPr>
          <w:sz w:val="21"/>
        </w:rPr>
        <w:t>现场取样、试验</w:t>
      </w:r>
    </w:p>
    <w:p>
      <w:pPr>
        <w:pStyle w:val="ListParagraph"/>
        <w:numPr>
          <w:ilvl w:val="0"/>
          <w:numId w:val="3"/>
        </w:numPr>
        <w:tabs>
          <w:tab w:val="left" w:pos="432"/>
        </w:tabs>
        <w:spacing w:before="132" w:after="0" w:line="355" w:lineRule="auto"/>
        <w:ind w:left="220" w:right="7657" w:firstLine="0"/>
        <w:jc w:val="left"/>
        <w:rPr>
          <w:sz w:val="21"/>
        </w:rPr>
      </w:pPr>
      <w:r>
        <w:rPr>
          <w:spacing w:val="-1"/>
          <w:sz w:val="21"/>
        </w:rPr>
        <w:t>现场取样、封样、送检</w:t>
      </w:r>
      <w:r>
        <w:rPr>
          <w:sz w:val="21"/>
        </w:rPr>
        <w:t>C.现场取样、封样</w:t>
      </w:r>
    </w:p>
    <w:p>
      <w:pPr>
        <w:pStyle w:val="BodyText"/>
        <w:spacing w:before="3"/>
      </w:pPr>
      <w:r>
        <w:t>D.现场取样、送样试验</w:t>
      </w:r>
    </w:p>
    <w:p>
      <w:pPr>
        <w:pStyle w:val="BodyText"/>
        <w:spacing w:before="132"/>
      </w:pPr>
      <w:r>
        <w:t>【答案】B</w:t>
      </w:r>
    </w:p>
    <w:p>
      <w:pPr>
        <w:pStyle w:val="BodyText"/>
        <w:spacing w:before="129"/>
      </w:pPr>
      <w:r>
        <w:t>【解析】</w:t>
      </w:r>
    </w:p>
    <w:p>
      <w:pPr>
        <w:pStyle w:val="BodyText"/>
        <w:spacing w:before="132"/>
        <w:ind w:left="644"/>
      </w:pPr>
      <w:r>
        <w:t>四、见证取样</w:t>
      </w:r>
    </w:p>
    <w:p>
      <w:pPr>
        <w:spacing w:before="132" w:line="355" w:lineRule="auto"/>
        <w:ind w:left="220" w:right="114" w:firstLine="420"/>
        <w:jc w:val="left"/>
        <w:rPr>
          <w:sz w:val="21"/>
        </w:rPr>
      </w:pPr>
      <w:r>
        <w:rPr>
          <w:w w:val="95"/>
          <w:sz w:val="21"/>
        </w:rPr>
        <w:t>见证取样是指项目监理机构对施工单位进行的</w:t>
      </w:r>
      <w:r>
        <w:rPr>
          <w:b/>
          <w:w w:val="95"/>
          <w:sz w:val="21"/>
        </w:rPr>
        <w:t>涉及结构安全的试块、试件及工程材料</w:t>
      </w:r>
      <w:r>
        <w:rPr>
          <w:w w:val="95"/>
          <w:sz w:val="21"/>
        </w:rPr>
        <w:t>现场取样、封样、</w:t>
      </w:r>
      <w:r>
        <w:rPr>
          <w:spacing w:val="131"/>
          <w:sz w:val="21"/>
        </w:rPr>
        <w:t xml:space="preserve"> </w:t>
      </w:r>
      <w:r>
        <w:rPr>
          <w:sz w:val="21"/>
        </w:rPr>
        <w:t>送检工作的</w:t>
      </w:r>
      <w:r>
        <w:rPr>
          <w:b/>
          <w:sz w:val="21"/>
        </w:rPr>
        <w:t>监督</w:t>
      </w:r>
      <w:r>
        <w:rPr>
          <w:sz w:val="21"/>
        </w:rPr>
        <w:t>活动。</w:t>
      </w:r>
    </w:p>
    <w:p>
      <w:pPr>
        <w:pStyle w:val="BodyText"/>
        <w:spacing w:before="2" w:line="712" w:lineRule="auto"/>
        <w:ind w:right="1882"/>
      </w:pPr>
      <w:r>
        <w:rPr>
          <w:spacing w:val="-3"/>
        </w:rPr>
        <w:t>【考点来源】第八章 建设工程监理工作内容和主要方式 第二节 建设工程监理主要方式</w:t>
      </w:r>
      <w:r>
        <w:t>7.下列工作内容中，属于工程建设项目可行性研究内容的是（）。</w:t>
      </w:r>
    </w:p>
    <w:p>
      <w:pPr>
        <w:spacing w:after="0" w:line="712" w:lineRule="auto"/>
        <w:sectPr>
          <w:pgSz w:w="11910" w:h="16840"/>
          <w:pgMar w:top="1820" w:right="860" w:bottom="280" w:left="860" w:header="1620" w:footer="0" w:gutter="0"/>
          <w:pgNumType w:start="3"/>
          <w:cols w:space="708"/>
        </w:sectPr>
      </w:pPr>
    </w:p>
    <w:p>
      <w:pPr>
        <w:pStyle w:val="BodyText"/>
        <w:ind w:left="0"/>
        <w:rPr>
          <w:sz w:val="20"/>
        </w:rPr>
      </w:pPr>
    </w:p>
    <w:p>
      <w:pPr>
        <w:pStyle w:val="BodyText"/>
        <w:ind w:left="0"/>
        <w:rPr>
          <w:sz w:val="16"/>
        </w:rPr>
      </w:pPr>
    </w:p>
    <w:p>
      <w:pPr>
        <w:pStyle w:val="ListParagraph"/>
        <w:numPr>
          <w:ilvl w:val="0"/>
          <w:numId w:val="4"/>
        </w:numPr>
        <w:tabs>
          <w:tab w:val="left" w:pos="432"/>
        </w:tabs>
        <w:spacing w:before="0" w:after="0" w:line="240" w:lineRule="auto"/>
        <w:ind w:left="431" w:right="0" w:hanging="212"/>
        <w:jc w:val="left"/>
        <w:rPr>
          <w:sz w:val="21"/>
        </w:rPr>
      </w:pPr>
      <w:r>
        <w:rPr>
          <w:sz w:val="21"/>
        </w:rPr>
        <w:t>确定投资概算</w:t>
      </w:r>
    </w:p>
    <w:p>
      <w:pPr>
        <w:pStyle w:val="ListParagraph"/>
        <w:numPr>
          <w:ilvl w:val="0"/>
          <w:numId w:val="4"/>
        </w:numPr>
        <w:tabs>
          <w:tab w:val="left" w:pos="432"/>
        </w:tabs>
        <w:spacing w:before="132" w:after="0" w:line="357" w:lineRule="auto"/>
        <w:ind w:left="220" w:right="7657" w:firstLine="0"/>
        <w:jc w:val="left"/>
        <w:rPr>
          <w:sz w:val="21"/>
        </w:rPr>
      </w:pPr>
      <w:r>
        <w:rPr>
          <w:spacing w:val="-1"/>
          <w:sz w:val="21"/>
        </w:rPr>
        <w:t>进行工艺技术方案研究</w:t>
      </w:r>
      <w:r>
        <w:rPr>
          <w:sz w:val="21"/>
        </w:rPr>
        <w:t>C.确定发包方案</w:t>
      </w:r>
    </w:p>
    <w:p>
      <w:pPr>
        <w:pStyle w:val="BodyText"/>
        <w:spacing w:line="266" w:lineRule="exact"/>
      </w:pPr>
      <w:r>
        <w:t>D.提出拟建规模的初步设想</w:t>
      </w:r>
    </w:p>
    <w:p>
      <w:pPr>
        <w:pStyle w:val="BodyText"/>
        <w:spacing w:before="131"/>
      </w:pPr>
      <w:r>
        <w:t>【答案】B</w:t>
      </w:r>
    </w:p>
    <w:p>
      <w:pPr>
        <w:pStyle w:val="BodyText"/>
        <w:spacing w:before="132"/>
      </w:pPr>
      <w:r>
        <w:t>【解析】</w:t>
      </w:r>
    </w:p>
    <w:p>
      <w:pPr>
        <w:pStyle w:val="BodyText"/>
        <w:spacing w:before="129"/>
        <w:ind w:left="640"/>
      </w:pPr>
      <w:r>
        <w:rPr>
          <w:b/>
        </w:rPr>
        <w:t>㈠</w:t>
      </w:r>
      <w:r>
        <w:t>编报项目建议书</w:t>
      </w:r>
    </w:p>
    <w:p>
      <w:pPr>
        <w:spacing w:before="132"/>
        <w:ind w:left="640" w:right="0" w:firstLine="0"/>
        <w:jc w:val="left"/>
        <w:rPr>
          <w:b/>
          <w:sz w:val="21"/>
        </w:rPr>
      </w:pPr>
      <w:r>
        <w:rPr>
          <w:b/>
          <w:w w:val="95"/>
          <w:sz w:val="21"/>
        </w:rPr>
        <w:t>项目建议书一般应包括：⑴项目提出的必要性和依据；⑵产品方案、拟建规模和建设地点的初步设想；</w:t>
      </w:r>
    </w:p>
    <w:p>
      <w:pPr>
        <w:spacing w:before="132" w:line="355" w:lineRule="auto"/>
        <w:ind w:left="220" w:right="273" w:firstLine="0"/>
        <w:jc w:val="left"/>
        <w:rPr>
          <w:b/>
          <w:sz w:val="21"/>
        </w:rPr>
      </w:pPr>
      <w:r>
        <w:rPr>
          <w:b/>
          <w:w w:val="95"/>
          <w:sz w:val="21"/>
        </w:rPr>
        <w:t>⑶资源情况、建设条件、协作关系和设备技术引进国别、厂商的初步分析；⑷投资估算、资金筹措及还贷</w:t>
      </w:r>
      <w:r>
        <w:rPr>
          <w:b/>
          <w:spacing w:val="168"/>
          <w:sz w:val="21"/>
        </w:rPr>
        <w:t xml:space="preserve"> </w:t>
      </w:r>
      <w:r>
        <w:rPr>
          <w:b/>
          <w:sz w:val="21"/>
        </w:rPr>
        <w:t>方案设想；⑸项目进度安排；⑹经济效益和社会效益的初步估计；⑺环境影响的初步评价。</w:t>
      </w:r>
    </w:p>
    <w:p>
      <w:pPr>
        <w:pStyle w:val="BodyText"/>
        <w:spacing w:before="3"/>
        <w:ind w:left="640"/>
      </w:pPr>
      <w:r>
        <w:rPr>
          <w:b/>
        </w:rPr>
        <w:t>㈡</w:t>
      </w:r>
      <w:r>
        <w:t>编报可行性研究报告</w:t>
      </w:r>
    </w:p>
    <w:p>
      <w:pPr>
        <w:pStyle w:val="BodyText"/>
        <w:spacing w:before="131"/>
        <w:ind w:left="640"/>
      </w:pPr>
      <w:r>
        <w:t>可行性研究应完成以下工作内容：</w:t>
      </w:r>
    </w:p>
    <w:p>
      <w:pPr>
        <w:spacing w:before="130"/>
        <w:ind w:left="640" w:right="0" w:firstLine="0"/>
        <w:jc w:val="left"/>
        <w:rPr>
          <w:sz w:val="21"/>
        </w:rPr>
      </w:pPr>
      <w:r>
        <w:rPr>
          <w:sz w:val="21"/>
        </w:rPr>
        <w:t>⑴进行</w:t>
      </w:r>
      <w:r>
        <w:rPr>
          <w:b/>
          <w:sz w:val="21"/>
        </w:rPr>
        <w:t>市场研究</w:t>
      </w:r>
      <w:r>
        <w:rPr>
          <w:sz w:val="21"/>
        </w:rPr>
        <w:t>，以解决</w:t>
      </w:r>
      <w:r>
        <w:rPr>
          <w:b/>
          <w:sz w:val="21"/>
        </w:rPr>
        <w:t>工程建设的必要性</w:t>
      </w:r>
      <w:r>
        <w:rPr>
          <w:sz w:val="21"/>
        </w:rPr>
        <w:t>问题；</w:t>
      </w:r>
    </w:p>
    <w:p>
      <w:pPr>
        <w:spacing w:before="131"/>
        <w:ind w:left="640" w:right="0" w:firstLine="0"/>
        <w:jc w:val="left"/>
        <w:rPr>
          <w:sz w:val="21"/>
        </w:rPr>
      </w:pPr>
      <w:r>
        <w:rPr>
          <w:sz w:val="21"/>
        </w:rPr>
        <w:t>⑵进行</w:t>
      </w:r>
      <w:r>
        <w:rPr>
          <w:b/>
          <w:sz w:val="21"/>
        </w:rPr>
        <w:t>工艺技术方案研究</w:t>
      </w:r>
      <w:r>
        <w:rPr>
          <w:sz w:val="21"/>
        </w:rPr>
        <w:t>，以解决</w:t>
      </w:r>
      <w:r>
        <w:rPr>
          <w:b/>
          <w:sz w:val="21"/>
        </w:rPr>
        <w:t>工程建设的技术可行性</w:t>
      </w:r>
      <w:r>
        <w:rPr>
          <w:sz w:val="21"/>
        </w:rPr>
        <w:t>问题；</w:t>
      </w:r>
    </w:p>
    <w:p>
      <w:pPr>
        <w:spacing w:before="132"/>
        <w:ind w:left="640" w:right="0" w:firstLine="0"/>
        <w:jc w:val="left"/>
        <w:rPr>
          <w:sz w:val="21"/>
        </w:rPr>
      </w:pPr>
      <w:r>
        <w:rPr>
          <w:sz w:val="21"/>
        </w:rPr>
        <w:t>⑶进行</w:t>
      </w:r>
      <w:r>
        <w:rPr>
          <w:b/>
          <w:sz w:val="21"/>
        </w:rPr>
        <w:t>财务和经济分析</w:t>
      </w:r>
      <w:r>
        <w:rPr>
          <w:sz w:val="21"/>
        </w:rPr>
        <w:t>，以解决</w:t>
      </w:r>
      <w:r>
        <w:rPr>
          <w:b/>
          <w:sz w:val="21"/>
        </w:rPr>
        <w:t>工程建设的经济合理性</w:t>
      </w:r>
      <w:r>
        <w:rPr>
          <w:sz w:val="21"/>
        </w:rPr>
        <w:t>问题。</w:t>
      </w:r>
    </w:p>
    <w:p>
      <w:pPr>
        <w:pStyle w:val="BodyText"/>
        <w:spacing w:before="130"/>
      </w:pPr>
      <w:r>
        <w:rPr>
          <w:spacing w:val="-3"/>
        </w:rPr>
        <w:t>【考点来源】第二章 工程建设程序及组织实施模式 第一节 工程建设程序</w:t>
      </w:r>
    </w:p>
    <w:p>
      <w:pPr>
        <w:pStyle w:val="BodyText"/>
        <w:ind w:left="0"/>
        <w:rPr>
          <w:sz w:val="20"/>
        </w:rPr>
      </w:pPr>
    </w:p>
    <w:p>
      <w:pPr>
        <w:pStyle w:val="BodyText"/>
        <w:spacing w:before="7"/>
        <w:ind w:left="0"/>
      </w:pPr>
    </w:p>
    <w:p>
      <w:pPr>
        <w:pStyle w:val="BodyText"/>
        <w:spacing w:line="355" w:lineRule="auto"/>
        <w:ind w:right="1882"/>
      </w:pPr>
      <w:r>
        <w:rPr>
          <w:w w:val="95"/>
        </w:rPr>
        <w:t>8、根据《安全生产法》，生产经营单位的主要负责人对本单位安全生产工作负有的职责</w:t>
      </w:r>
      <w:r>
        <w:rPr>
          <w:spacing w:val="98"/>
          <w:w w:val="95"/>
        </w:rPr>
        <w:t xml:space="preserve"> </w:t>
      </w:r>
      <w:r>
        <w:t>是</w:t>
      </w:r>
    </w:p>
    <w:p>
      <w:pPr>
        <w:pStyle w:val="BodyText"/>
        <w:spacing w:before="3" w:line="357" w:lineRule="auto"/>
        <w:ind w:right="6818"/>
      </w:pPr>
      <w:r>
        <w:t>A.及时、如实报告生产安全事故</w:t>
      </w:r>
      <w:r>
        <w:rPr>
          <w:spacing w:val="1"/>
        </w:rPr>
        <w:t xml:space="preserve"> </w:t>
      </w:r>
      <w:r>
        <w:rPr>
          <w:spacing w:val="-1"/>
        </w:rPr>
        <w:t>B.组织或参与本单位应急救援演练</w:t>
      </w:r>
    </w:p>
    <w:p>
      <w:pPr>
        <w:pStyle w:val="BodyText"/>
        <w:spacing w:line="357" w:lineRule="auto"/>
        <w:ind w:right="6607"/>
      </w:pPr>
      <w:r>
        <w:rPr>
          <w:spacing w:val="-1"/>
        </w:rPr>
        <w:t>C.督促落实本单位安全生产整改措施</w:t>
      </w:r>
      <w:r>
        <w:t>D.组织开展危险源辨识和评估</w:t>
      </w:r>
    </w:p>
    <w:p>
      <w:pPr>
        <w:pStyle w:val="BodyText"/>
        <w:spacing w:line="269" w:lineRule="exact"/>
      </w:pPr>
      <w:r>
        <w:t>【答案】A</w:t>
      </w:r>
    </w:p>
    <w:p>
      <w:pPr>
        <w:pStyle w:val="BodyText"/>
        <w:spacing w:before="126"/>
      </w:pPr>
      <w:r>
        <w:t>【解析】</w:t>
      </w:r>
    </w:p>
    <w:p>
      <w:pPr>
        <w:spacing w:before="132"/>
        <w:ind w:left="640" w:right="0" w:firstLine="0"/>
        <w:jc w:val="left"/>
        <w:rPr>
          <w:b/>
          <w:sz w:val="21"/>
        </w:rPr>
      </w:pPr>
      <w:r>
        <w:rPr>
          <w:b/>
          <w:sz w:val="21"/>
        </w:rPr>
        <w:t>第二十一条 生产经营单位的主要负责人对本单位安全生产工作负有下列职责：</w:t>
      </w:r>
    </w:p>
    <w:p>
      <w:pPr>
        <w:spacing w:before="132"/>
        <w:ind w:left="640" w:right="0" w:firstLine="0"/>
        <w:jc w:val="left"/>
        <w:rPr>
          <w:b/>
          <w:sz w:val="21"/>
        </w:rPr>
      </w:pPr>
      <w:r>
        <w:rPr>
          <w:b/>
          <w:w w:val="95"/>
          <w:sz w:val="21"/>
        </w:rPr>
        <w:t>㈠建立、健全并落实本单位全员安全生产责任制</w:t>
      </w:r>
      <w:r>
        <w:rPr>
          <w:w w:val="95"/>
          <w:sz w:val="21"/>
        </w:rPr>
        <w:t>，</w:t>
      </w:r>
      <w:r>
        <w:rPr>
          <w:b/>
          <w:w w:val="95"/>
          <w:sz w:val="21"/>
        </w:rPr>
        <w:t>加强安全生产标准化建设；</w:t>
      </w:r>
    </w:p>
    <w:p>
      <w:pPr>
        <w:spacing w:before="129"/>
        <w:ind w:left="640" w:right="0" w:firstLine="0"/>
        <w:jc w:val="left"/>
        <w:rPr>
          <w:b/>
          <w:sz w:val="21"/>
        </w:rPr>
      </w:pPr>
      <w:r>
        <w:rPr>
          <w:b/>
          <w:w w:val="95"/>
          <w:sz w:val="21"/>
        </w:rPr>
        <w:t>㈡组织制定并实施本单位安全生产规章制度和操作规程；</w:t>
      </w:r>
    </w:p>
    <w:p>
      <w:pPr>
        <w:spacing w:before="132"/>
        <w:ind w:left="640" w:right="0" w:firstLine="0"/>
        <w:jc w:val="left"/>
        <w:rPr>
          <w:b/>
          <w:sz w:val="21"/>
        </w:rPr>
      </w:pPr>
      <w:r>
        <w:rPr>
          <w:b/>
          <w:w w:val="95"/>
          <w:sz w:val="21"/>
        </w:rPr>
        <w:t>㈢组织制定并实施本单位安全生产教育和培训计划；</w:t>
      </w:r>
    </w:p>
    <w:p>
      <w:pPr>
        <w:spacing w:before="132"/>
        <w:ind w:left="640" w:right="0" w:firstLine="0"/>
        <w:jc w:val="left"/>
        <w:rPr>
          <w:b/>
          <w:sz w:val="21"/>
        </w:rPr>
      </w:pPr>
      <w:r>
        <w:rPr>
          <w:b/>
          <w:w w:val="95"/>
          <w:sz w:val="21"/>
        </w:rPr>
        <w:t>㈣保证本单位安全生产投入的有效实施；</w:t>
      </w:r>
    </w:p>
    <w:p>
      <w:pPr>
        <w:spacing w:before="129"/>
        <w:ind w:left="640" w:right="0" w:firstLine="0"/>
        <w:jc w:val="left"/>
        <w:rPr>
          <w:b/>
          <w:sz w:val="21"/>
        </w:rPr>
      </w:pPr>
      <w:r>
        <w:rPr>
          <w:b/>
          <w:w w:val="95"/>
          <w:sz w:val="21"/>
        </w:rPr>
        <w:t>㈤组织建立并落实安全风险分级管控和隐患排查治理双重预防工作机制，督促、检查本单位的安全生</w:t>
      </w:r>
    </w:p>
    <w:p>
      <w:pPr>
        <w:spacing w:after="0"/>
        <w:jc w:val="left"/>
        <w:rPr>
          <w:sz w:val="21"/>
        </w:rPr>
        <w:sectPr>
          <w:pgSz w:w="11910" w:h="16840"/>
          <w:pgMar w:top="1920" w:right="860" w:bottom="280" w:left="860" w:header="1632" w:footer="0" w:gutter="0"/>
          <w:pgNumType w:start="4"/>
          <w:cols w:space="708"/>
        </w:sectPr>
      </w:pPr>
    </w:p>
    <w:p>
      <w:pPr>
        <w:pStyle w:val="BodyText"/>
        <w:ind w:left="0"/>
        <w:rPr>
          <w:b/>
          <w:sz w:val="20"/>
        </w:rPr>
      </w:pPr>
    </w:p>
    <w:p>
      <w:pPr>
        <w:pStyle w:val="BodyText"/>
        <w:spacing w:before="7"/>
        <w:ind w:left="0"/>
        <w:rPr>
          <w:b/>
          <w:sz w:val="17"/>
        </w:rPr>
      </w:pPr>
    </w:p>
    <w:p>
      <w:pPr>
        <w:spacing w:before="70"/>
        <w:ind w:left="220" w:right="0" w:firstLine="0"/>
        <w:jc w:val="left"/>
        <w:rPr>
          <w:b/>
          <w:sz w:val="21"/>
        </w:rPr>
      </w:pPr>
      <w:r>
        <w:rPr>
          <w:b/>
          <w:w w:val="95"/>
          <w:sz w:val="21"/>
        </w:rPr>
        <w:t>产工作，及时消除生产安全事故隐患：</w:t>
      </w:r>
    </w:p>
    <w:p>
      <w:pPr>
        <w:spacing w:before="132"/>
        <w:ind w:left="640" w:right="0" w:firstLine="0"/>
        <w:jc w:val="left"/>
        <w:rPr>
          <w:b/>
          <w:sz w:val="21"/>
        </w:rPr>
      </w:pPr>
      <w:r>
        <w:rPr>
          <w:b/>
          <w:w w:val="95"/>
          <w:sz w:val="21"/>
        </w:rPr>
        <w:t>㈥组织制定并实施本单位的生产安全事故应急救援预案；</w:t>
      </w:r>
    </w:p>
    <w:p>
      <w:pPr>
        <w:spacing w:before="132"/>
        <w:ind w:left="640" w:right="0" w:firstLine="0"/>
        <w:jc w:val="left"/>
        <w:rPr>
          <w:b/>
          <w:sz w:val="21"/>
        </w:rPr>
      </w:pPr>
      <w:r>
        <w:rPr>
          <w:b/>
          <w:w w:val="95"/>
          <w:sz w:val="21"/>
        </w:rPr>
        <w:t>㈦及时、如实报告生产安全事故。</w:t>
      </w:r>
    </w:p>
    <w:p>
      <w:pPr>
        <w:spacing w:before="129"/>
        <w:ind w:left="640" w:right="0" w:firstLine="0"/>
        <w:jc w:val="left"/>
        <w:rPr>
          <w:b/>
          <w:sz w:val="21"/>
        </w:rPr>
      </w:pPr>
      <w:r>
        <w:rPr>
          <w:b/>
          <w:sz w:val="21"/>
        </w:rPr>
        <w:t>第二十五条 生产经营单位的安全生产管理机构以及安全生产管理人员履行下列职责：</w:t>
      </w:r>
    </w:p>
    <w:p>
      <w:pPr>
        <w:spacing w:before="132"/>
        <w:ind w:left="640" w:right="0" w:firstLine="0"/>
        <w:jc w:val="left"/>
        <w:rPr>
          <w:b/>
          <w:sz w:val="21"/>
        </w:rPr>
      </w:pPr>
      <w:r>
        <w:rPr>
          <w:b/>
          <w:w w:val="95"/>
          <w:sz w:val="21"/>
        </w:rPr>
        <w:t>㈠组织或者参与拟订本单位安全生产规章制度、操作规程和生产安全事故应急救援预案；</w:t>
      </w:r>
    </w:p>
    <w:p>
      <w:pPr>
        <w:spacing w:before="131"/>
        <w:ind w:left="640" w:right="0" w:firstLine="0"/>
        <w:jc w:val="left"/>
        <w:rPr>
          <w:b/>
          <w:sz w:val="21"/>
        </w:rPr>
      </w:pPr>
      <w:r>
        <w:rPr>
          <w:b/>
          <w:w w:val="95"/>
          <w:sz w:val="21"/>
        </w:rPr>
        <w:t>㈡组织或者参与本单位安全生产教育和培训，如实记录安全生产教育和培训情况；</w:t>
      </w:r>
    </w:p>
    <w:p>
      <w:pPr>
        <w:spacing w:before="130"/>
        <w:ind w:left="640" w:right="0" w:firstLine="0"/>
        <w:jc w:val="left"/>
        <w:rPr>
          <w:b/>
          <w:sz w:val="21"/>
        </w:rPr>
      </w:pPr>
      <w:r>
        <w:rPr>
          <w:b/>
          <w:w w:val="95"/>
          <w:sz w:val="21"/>
        </w:rPr>
        <w:t>㈢组织开展危险源辨识和评估，督促落实本单位重大危险源的安全管理措施；</w:t>
      </w:r>
    </w:p>
    <w:p>
      <w:pPr>
        <w:spacing w:before="131"/>
        <w:ind w:left="640" w:right="0" w:firstLine="0"/>
        <w:jc w:val="left"/>
        <w:rPr>
          <w:b/>
          <w:sz w:val="21"/>
        </w:rPr>
      </w:pPr>
      <w:r>
        <w:rPr>
          <w:b/>
          <w:w w:val="95"/>
          <w:sz w:val="21"/>
        </w:rPr>
        <w:t>㈣组织或者参与本单位应急救援演练；</w:t>
      </w:r>
    </w:p>
    <w:p>
      <w:pPr>
        <w:spacing w:before="132"/>
        <w:ind w:left="640" w:right="0" w:firstLine="0"/>
        <w:jc w:val="left"/>
        <w:rPr>
          <w:b/>
          <w:sz w:val="21"/>
        </w:rPr>
      </w:pPr>
      <w:r>
        <w:rPr>
          <w:b/>
          <w:w w:val="95"/>
          <w:sz w:val="21"/>
        </w:rPr>
        <w:t>㈤检查本单位的安全生产状况，及时排查生产安全事故隐患，提出改进安全生产管理的建议；</w:t>
      </w:r>
    </w:p>
    <w:p>
      <w:pPr>
        <w:spacing w:before="129"/>
        <w:ind w:left="640" w:right="0" w:firstLine="0"/>
        <w:jc w:val="left"/>
        <w:rPr>
          <w:b/>
          <w:sz w:val="21"/>
        </w:rPr>
      </w:pPr>
      <w:r>
        <w:rPr>
          <w:b/>
          <w:w w:val="95"/>
          <w:sz w:val="21"/>
        </w:rPr>
        <w:t>㈥制止和纠正违章指挥、强令冒险作业、违反操作规程的行为；</w:t>
      </w:r>
    </w:p>
    <w:p>
      <w:pPr>
        <w:spacing w:before="132"/>
        <w:ind w:left="640" w:right="0" w:firstLine="0"/>
        <w:jc w:val="left"/>
        <w:rPr>
          <w:b/>
          <w:sz w:val="21"/>
        </w:rPr>
      </w:pPr>
      <w:r>
        <w:rPr>
          <w:b/>
          <w:w w:val="95"/>
          <w:sz w:val="21"/>
        </w:rPr>
        <w:t>㈦督促落实本单位安全生产整改措施。</w:t>
      </w:r>
    </w:p>
    <w:p>
      <w:pPr>
        <w:pStyle w:val="BodyText"/>
        <w:spacing w:before="132"/>
      </w:pPr>
      <w:r>
        <w:rPr>
          <w:spacing w:val="-3"/>
        </w:rPr>
        <w:t>【考点来源】第三章 建设工程监理相关法律法规及标准 第一节 建设工程监理相关法律及行政法规</w:t>
      </w:r>
    </w:p>
    <w:p>
      <w:pPr>
        <w:pStyle w:val="BodyText"/>
        <w:ind w:left="0"/>
        <w:rPr>
          <w:sz w:val="20"/>
        </w:rPr>
      </w:pPr>
    </w:p>
    <w:p>
      <w:pPr>
        <w:pStyle w:val="BodyText"/>
        <w:spacing w:before="5"/>
        <w:ind w:left="0"/>
      </w:pPr>
    </w:p>
    <w:p>
      <w:pPr>
        <w:pStyle w:val="BodyText"/>
      </w:pPr>
      <w:r>
        <w:t>9、根据《建筑法》在建筑工程因故中止施工的减少单位应当自中止施工之日期（）月内向发证机关报告。</w:t>
      </w:r>
    </w:p>
    <w:p>
      <w:pPr>
        <w:pStyle w:val="BodyText"/>
        <w:spacing w:before="132"/>
      </w:pPr>
      <w:r>
        <w:rPr>
          <w:w w:val="95"/>
        </w:rPr>
        <w:t>A.3</w:t>
      </w:r>
      <w:r>
        <w:rPr>
          <w:spacing w:val="-6"/>
          <w:w w:val="95"/>
        </w:rPr>
        <w:t xml:space="preserve"> 个月</w:t>
      </w:r>
    </w:p>
    <w:p>
      <w:pPr>
        <w:pStyle w:val="BodyText"/>
        <w:spacing w:before="129"/>
      </w:pPr>
      <w:r>
        <w:rPr>
          <w:w w:val="95"/>
        </w:rPr>
        <w:t>B.2</w:t>
      </w:r>
      <w:r>
        <w:rPr>
          <w:spacing w:val="-6"/>
          <w:w w:val="95"/>
        </w:rPr>
        <w:t xml:space="preserve"> 个月</w:t>
      </w:r>
    </w:p>
    <w:p>
      <w:pPr>
        <w:pStyle w:val="BodyText"/>
        <w:spacing w:before="132"/>
      </w:pPr>
      <w:r>
        <w:rPr>
          <w:w w:val="95"/>
        </w:rPr>
        <w:t>C.1</w:t>
      </w:r>
      <w:r>
        <w:rPr>
          <w:spacing w:val="-6"/>
          <w:w w:val="95"/>
        </w:rPr>
        <w:t xml:space="preserve"> 个月</w:t>
      </w:r>
    </w:p>
    <w:p>
      <w:pPr>
        <w:pStyle w:val="BodyText"/>
        <w:spacing w:before="131"/>
      </w:pPr>
      <w:r>
        <w:t>D.15</w:t>
      </w:r>
      <w:r>
        <w:rPr>
          <w:spacing w:val="-27"/>
        </w:rPr>
        <w:t xml:space="preserve"> 日</w:t>
      </w:r>
    </w:p>
    <w:p>
      <w:pPr>
        <w:pStyle w:val="BodyText"/>
        <w:spacing w:before="130"/>
      </w:pPr>
      <w:r>
        <w:t>【答案】C</w:t>
      </w:r>
    </w:p>
    <w:p>
      <w:pPr>
        <w:pStyle w:val="BodyText"/>
        <w:spacing w:before="131"/>
      </w:pPr>
      <w:r>
        <w:t>【解析】</w:t>
      </w:r>
    </w:p>
    <w:p>
      <w:pPr>
        <w:spacing w:before="132" w:line="355" w:lineRule="auto"/>
        <w:ind w:left="220" w:right="273" w:firstLine="420"/>
        <w:jc w:val="left"/>
        <w:rPr>
          <w:b/>
          <w:sz w:val="21"/>
        </w:rPr>
      </w:pPr>
      <w:r>
        <w:rPr>
          <w:b/>
          <w:w w:val="95"/>
          <w:sz w:val="21"/>
        </w:rPr>
        <w:t>第十条</w:t>
      </w:r>
      <w:r>
        <w:rPr>
          <w:b/>
          <w:spacing w:val="281"/>
          <w:sz w:val="21"/>
        </w:rPr>
        <w:t xml:space="preserve"> </w:t>
      </w:r>
      <w:r>
        <w:rPr>
          <w:b/>
          <w:w w:val="95"/>
          <w:sz w:val="21"/>
        </w:rPr>
        <w:t>在建的建筑工程因故中止施工的，建设单位应当自中止施工之日起 1 个月内，向发证机关报</w:t>
      </w:r>
      <w:r>
        <w:rPr>
          <w:b/>
          <w:sz w:val="21"/>
        </w:rPr>
        <w:t>告，并按照规定做好建筑工程的维护管理工作。</w:t>
      </w:r>
    </w:p>
    <w:p>
      <w:pPr>
        <w:spacing w:before="3" w:line="357" w:lineRule="auto"/>
        <w:ind w:left="220" w:right="273" w:firstLine="420"/>
        <w:jc w:val="left"/>
        <w:rPr>
          <w:b/>
          <w:sz w:val="21"/>
        </w:rPr>
      </w:pPr>
      <w:r>
        <w:rPr>
          <w:b/>
          <w:spacing w:val="1"/>
          <w:w w:val="95"/>
          <w:sz w:val="21"/>
        </w:rPr>
        <w:t xml:space="preserve">建筑工程恢复施工时，应当向发证机关报告；中止施工满 </w:t>
      </w:r>
      <w:r>
        <w:rPr>
          <w:b/>
          <w:w w:val="95"/>
          <w:sz w:val="21"/>
        </w:rPr>
        <w:t>1</w:t>
      </w:r>
      <w:r>
        <w:rPr>
          <w:b/>
          <w:spacing w:val="138"/>
          <w:sz w:val="21"/>
        </w:rPr>
        <w:t xml:space="preserve"> </w:t>
      </w:r>
      <w:r>
        <w:rPr>
          <w:b/>
          <w:w w:val="95"/>
          <w:sz w:val="21"/>
        </w:rPr>
        <w:t>年的工程恢复施工前，建设单位应当报发</w:t>
      </w:r>
      <w:r>
        <w:rPr>
          <w:b/>
          <w:sz w:val="21"/>
        </w:rPr>
        <w:t>证机关核验施工许可证。</w:t>
      </w:r>
    </w:p>
    <w:p>
      <w:pPr>
        <w:pStyle w:val="BodyText"/>
        <w:spacing w:line="266" w:lineRule="exact"/>
      </w:pPr>
      <w:r>
        <w:rPr>
          <w:spacing w:val="-3"/>
        </w:rPr>
        <w:t>【考点来源】第三章 建设工程监理相关法律法规及标准 第一节 建设工程监理相关法律及行政法规</w:t>
      </w:r>
    </w:p>
    <w:p>
      <w:pPr>
        <w:pStyle w:val="BodyText"/>
        <w:ind w:left="0"/>
        <w:rPr>
          <w:sz w:val="20"/>
        </w:rPr>
      </w:pPr>
    </w:p>
    <w:p>
      <w:pPr>
        <w:pStyle w:val="BodyText"/>
        <w:spacing w:before="7"/>
        <w:ind w:left="0"/>
      </w:pPr>
    </w:p>
    <w:p>
      <w:pPr>
        <w:pStyle w:val="BodyText"/>
        <w:spacing w:line="355" w:lineRule="auto"/>
        <w:ind w:right="6187"/>
      </w:pPr>
      <w:r>
        <w:rPr>
          <w:w w:val="95"/>
        </w:rPr>
        <w:t>10、监理现场巡视交底的依据是什么？。</w:t>
      </w:r>
      <w:r>
        <w:t>A.规划，细则</w:t>
      </w:r>
    </w:p>
    <w:p>
      <w:pPr>
        <w:pStyle w:val="BodyText"/>
        <w:spacing w:before="3" w:line="357" w:lineRule="auto"/>
        <w:ind w:right="8706"/>
      </w:pPr>
      <w:r>
        <w:rPr>
          <w:spacing w:val="-1"/>
        </w:rPr>
        <w:t>B.细则，方案</w:t>
      </w:r>
      <w:r>
        <w:rPr>
          <w:w w:val="95"/>
        </w:rPr>
        <w:t>C.图纸，方案</w:t>
      </w:r>
    </w:p>
    <w:p>
      <w:pPr>
        <w:pStyle w:val="BodyText"/>
        <w:spacing w:line="266" w:lineRule="exact"/>
      </w:pPr>
      <w:r>
        <w:t>【答案】A</w:t>
      </w:r>
    </w:p>
    <w:p>
      <w:pPr>
        <w:spacing w:after="0" w:line="266" w:lineRule="exact"/>
        <w:sectPr>
          <w:pgSz w:w="11910" w:h="16840"/>
          <w:pgMar w:top="1820" w:right="860" w:bottom="280" w:left="860" w:header="1620" w:footer="0" w:gutter="0"/>
          <w:pgNumType w:start="5"/>
          <w:cols w:space="708"/>
        </w:sectPr>
      </w:pPr>
    </w:p>
    <w:p>
      <w:pPr>
        <w:pStyle w:val="BodyText"/>
        <w:ind w:left="0"/>
        <w:rPr>
          <w:sz w:val="20"/>
        </w:rPr>
      </w:pPr>
    </w:p>
    <w:p>
      <w:pPr>
        <w:pStyle w:val="BodyText"/>
        <w:ind w:left="0"/>
        <w:rPr>
          <w:sz w:val="16"/>
        </w:rPr>
      </w:pPr>
    </w:p>
    <w:p>
      <w:pPr>
        <w:pStyle w:val="BodyText"/>
      </w:pPr>
      <w:r>
        <w:t>【解析】</w:t>
      </w:r>
    </w:p>
    <w:p>
      <w:pPr>
        <w:pStyle w:val="BodyText"/>
        <w:spacing w:before="132"/>
        <w:ind w:left="640"/>
      </w:pPr>
      <w:r>
        <w:t>㈡巡视工作内容和职责</w:t>
      </w:r>
    </w:p>
    <w:p>
      <w:pPr>
        <w:spacing w:before="131" w:line="357" w:lineRule="auto"/>
        <w:ind w:left="220" w:right="220" w:firstLine="420"/>
        <w:jc w:val="both"/>
        <w:rPr>
          <w:sz w:val="21"/>
        </w:rPr>
      </w:pPr>
      <w:r>
        <w:rPr>
          <w:b/>
          <w:w w:val="95"/>
          <w:sz w:val="21"/>
        </w:rPr>
        <w:t>总监理工程师</w:t>
      </w:r>
      <w:r>
        <w:rPr>
          <w:w w:val="95"/>
          <w:sz w:val="21"/>
        </w:rPr>
        <w:t>应根据</w:t>
      </w:r>
      <w:r>
        <w:rPr>
          <w:b/>
          <w:w w:val="95"/>
          <w:sz w:val="21"/>
        </w:rPr>
        <w:t>经审核批准的监理规划和监理实施细则对现场监理人员进行交底</w:t>
      </w:r>
      <w:r>
        <w:rPr>
          <w:w w:val="95"/>
          <w:sz w:val="21"/>
        </w:rPr>
        <w:t>，</w:t>
      </w:r>
      <w:r>
        <w:rPr>
          <w:b/>
          <w:w w:val="95"/>
          <w:sz w:val="21"/>
        </w:rPr>
        <w:t>明确巡视检查</w:t>
      </w:r>
      <w:r>
        <w:rPr>
          <w:b/>
          <w:spacing w:val="215"/>
          <w:sz w:val="21"/>
        </w:rPr>
        <w:t xml:space="preserve"> </w:t>
      </w:r>
      <w:r>
        <w:rPr>
          <w:b/>
          <w:w w:val="95"/>
          <w:sz w:val="21"/>
        </w:rPr>
        <w:t>要点、巡视频率和采取措施及采用的巡视检查记录表；合理安排监理人员进行巡视检查工作</w:t>
      </w:r>
      <w:r>
        <w:rPr>
          <w:w w:val="95"/>
          <w:sz w:val="21"/>
        </w:rPr>
        <w:t>；督促监理人</w:t>
      </w:r>
      <w:r>
        <w:rPr>
          <w:spacing w:val="238"/>
          <w:sz w:val="21"/>
        </w:rPr>
        <w:t xml:space="preserve"> </w:t>
      </w:r>
      <w:r>
        <w:rPr>
          <w:w w:val="95"/>
          <w:sz w:val="21"/>
        </w:rPr>
        <w:t>员按照监理规划及监理实施细则的要求开展现场巡视检查工作;</w:t>
      </w:r>
      <w:r>
        <w:rPr>
          <w:b/>
          <w:w w:val="95"/>
          <w:sz w:val="21"/>
        </w:rPr>
        <w:t>总监理工程师应检查监理人员巡视的工作</w:t>
      </w:r>
      <w:r>
        <w:rPr>
          <w:b/>
          <w:spacing w:val="118"/>
          <w:sz w:val="21"/>
        </w:rPr>
        <w:t xml:space="preserve"> </w:t>
      </w:r>
      <w:r>
        <w:rPr>
          <w:b/>
          <w:spacing w:val="119"/>
          <w:sz w:val="21"/>
        </w:rPr>
        <w:t xml:space="preserve"> </w:t>
      </w:r>
      <w:r>
        <w:rPr>
          <w:b/>
          <w:sz w:val="21"/>
        </w:rPr>
        <w:t>成果</w:t>
      </w:r>
      <w:r>
        <w:rPr>
          <w:sz w:val="21"/>
        </w:rPr>
        <w:t>，与监理人员就当日巡视检查工作进行沟通，对发现的问题及时采取相应处理措施。</w:t>
      </w:r>
    </w:p>
    <w:p>
      <w:pPr>
        <w:pStyle w:val="BodyText"/>
        <w:spacing w:line="264" w:lineRule="exact"/>
        <w:jc w:val="both"/>
      </w:pPr>
      <w:r>
        <w:rPr>
          <w:spacing w:val="-3"/>
        </w:rPr>
        <w:t>【考点来源】第八章 建设工程监理工作内容和主要方式 第二节 建设工程监理主要方式</w:t>
      </w:r>
    </w:p>
    <w:p>
      <w:pPr>
        <w:pStyle w:val="BodyText"/>
        <w:ind w:left="0"/>
        <w:rPr>
          <w:sz w:val="20"/>
        </w:rPr>
      </w:pPr>
    </w:p>
    <w:p>
      <w:pPr>
        <w:pStyle w:val="BodyText"/>
        <w:spacing w:before="7"/>
        <w:ind w:left="0"/>
      </w:pPr>
    </w:p>
    <w:p>
      <w:pPr>
        <w:pStyle w:val="BodyText"/>
        <w:spacing w:before="1" w:line="355" w:lineRule="auto"/>
        <w:ind w:right="223"/>
      </w:pPr>
      <w:r>
        <w:rPr>
          <w:w w:val="95"/>
        </w:rPr>
        <w:t>11、根据《招标投标法》，招标人和中标人应当自中标通知书发出之日起（）日内，按照招标文件和中标</w:t>
      </w:r>
      <w:r>
        <w:rPr>
          <w:spacing w:val="256"/>
        </w:rPr>
        <w:t xml:space="preserve"> </w:t>
      </w:r>
      <w:r>
        <w:t>人的投标文件订立书面合同。</w:t>
      </w:r>
    </w:p>
    <w:p>
      <w:pPr>
        <w:pStyle w:val="BodyText"/>
        <w:spacing w:before="2" w:line="357" w:lineRule="auto"/>
        <w:ind w:right="9542"/>
        <w:jc w:val="both"/>
      </w:pPr>
      <w:r>
        <w:t>A.30</w:t>
      </w:r>
      <w:r>
        <w:rPr>
          <w:spacing w:val="-103"/>
        </w:rPr>
        <w:t xml:space="preserve"> </w:t>
      </w:r>
      <w:r>
        <w:t>B.15</w:t>
      </w:r>
      <w:r>
        <w:rPr>
          <w:spacing w:val="-103"/>
        </w:rPr>
        <w:t xml:space="preserve"> </w:t>
      </w:r>
      <w:r>
        <w:t>C.10</w:t>
      </w:r>
      <w:r>
        <w:rPr>
          <w:spacing w:val="-103"/>
        </w:rPr>
        <w:t xml:space="preserve"> </w:t>
      </w:r>
      <w:r>
        <w:t>D.7</w:t>
      </w:r>
    </w:p>
    <w:p>
      <w:pPr>
        <w:pStyle w:val="BodyText"/>
        <w:spacing w:line="266" w:lineRule="exact"/>
      </w:pPr>
      <w:r>
        <w:t>【答案】A</w:t>
      </w:r>
    </w:p>
    <w:p>
      <w:pPr>
        <w:pStyle w:val="BodyText"/>
        <w:spacing w:before="130"/>
      </w:pPr>
      <w:r>
        <w:t>【解析】</w:t>
      </w:r>
    </w:p>
    <w:p>
      <w:pPr>
        <w:pStyle w:val="BodyText"/>
        <w:spacing w:before="131" w:line="357" w:lineRule="auto"/>
        <w:ind w:right="221" w:firstLine="420"/>
      </w:pPr>
      <w:r>
        <w:rPr>
          <w:b/>
          <w:w w:val="95"/>
        </w:rPr>
        <w:t>第四十六条</w:t>
      </w:r>
      <w:r>
        <w:rPr>
          <w:w w:val="95"/>
        </w:rPr>
        <w:t>招标人和中标人应当自中标通知书</w:t>
      </w:r>
      <w:r>
        <w:rPr>
          <w:b/>
          <w:w w:val="95"/>
        </w:rPr>
        <w:t>发出之日起三十日内</w:t>
      </w:r>
      <w:r>
        <w:rPr>
          <w:w w:val="95"/>
        </w:rPr>
        <w:t>，按照招标文件和中标人的投标文</w:t>
      </w:r>
      <w:r>
        <w:rPr>
          <w:spacing w:val="226"/>
        </w:rPr>
        <w:t xml:space="preserve"> </w:t>
      </w:r>
      <w:r>
        <w:t>件订立书面合同。招标人和中标人不得再行订立背离合同实质性内容的其他协议。</w:t>
      </w:r>
    </w:p>
    <w:p>
      <w:pPr>
        <w:pStyle w:val="BodyText"/>
        <w:spacing w:line="266" w:lineRule="exact"/>
      </w:pPr>
      <w:r>
        <w:rPr>
          <w:spacing w:val="-3"/>
        </w:rPr>
        <w:t>【考点来源】第三章 建设工程监理相关法律法规及标准 第一节 建设工程监理相关法律及行政法规</w:t>
      </w:r>
    </w:p>
    <w:p>
      <w:pPr>
        <w:pStyle w:val="BodyText"/>
        <w:ind w:left="0"/>
        <w:rPr>
          <w:sz w:val="20"/>
        </w:rPr>
      </w:pPr>
    </w:p>
    <w:p>
      <w:pPr>
        <w:pStyle w:val="BodyText"/>
        <w:ind w:left="0"/>
        <w:rPr>
          <w:sz w:val="20"/>
        </w:rPr>
      </w:pPr>
    </w:p>
    <w:p>
      <w:pPr>
        <w:pStyle w:val="BodyText"/>
        <w:ind w:left="0"/>
        <w:rPr>
          <w:sz w:val="20"/>
        </w:rPr>
      </w:pPr>
    </w:p>
    <w:p>
      <w:pPr>
        <w:pStyle w:val="BodyText"/>
        <w:spacing w:before="163" w:line="357" w:lineRule="auto"/>
        <w:ind w:right="6398"/>
        <w:jc w:val="both"/>
      </w:pPr>
      <w:r>
        <w:t>12</w:t>
      </w:r>
      <w:r>
        <w:rPr>
          <w:spacing w:val="-1"/>
        </w:rPr>
        <w:t xml:space="preserve">、下列哪些需要实施监理 </w:t>
      </w:r>
      <w:r>
        <w:t>（</w:t>
      </w:r>
      <w:r>
        <w:rPr>
          <w:spacing w:val="89"/>
        </w:rPr>
        <w:t xml:space="preserve"> </w:t>
      </w:r>
      <w:r>
        <w:t>）。A.国有资金控股</w:t>
      </w:r>
    </w:p>
    <w:p>
      <w:pPr>
        <w:pStyle w:val="BodyText"/>
        <w:spacing w:line="357" w:lineRule="auto"/>
        <w:ind w:right="8917"/>
        <w:jc w:val="both"/>
      </w:pPr>
      <w:r>
        <w:rPr>
          <w:spacing w:val="-1"/>
        </w:rPr>
        <w:t>B.基础设施C.国际贷款D.公共设施</w:t>
      </w:r>
    </w:p>
    <w:p>
      <w:pPr>
        <w:pStyle w:val="BodyText"/>
        <w:spacing w:line="266" w:lineRule="exact"/>
      </w:pPr>
      <w:r>
        <w:t>【答案】C</w:t>
      </w:r>
    </w:p>
    <w:p>
      <w:pPr>
        <w:pStyle w:val="BodyText"/>
        <w:spacing w:before="129"/>
      </w:pPr>
      <w:r>
        <w:t>【解析】</w:t>
      </w:r>
    </w:p>
    <w:p>
      <w:pPr>
        <w:spacing w:before="131"/>
        <w:ind w:left="640" w:right="0" w:firstLine="0"/>
        <w:jc w:val="left"/>
        <w:rPr>
          <w:b/>
          <w:sz w:val="21"/>
        </w:rPr>
      </w:pPr>
      <w:r>
        <w:rPr>
          <w:b/>
          <w:sz w:val="21"/>
        </w:rPr>
        <w:t>⒈明确了强制实施监理的工程范围</w:t>
      </w:r>
    </w:p>
    <w:p>
      <w:pPr>
        <w:pStyle w:val="BodyText"/>
        <w:spacing w:before="132"/>
        <w:ind w:left="640"/>
      </w:pPr>
      <w:r>
        <w:t>《建筑法》《建设工程质量管理条例》</w:t>
      </w:r>
    </w:p>
    <w:p>
      <w:pPr>
        <w:pStyle w:val="BodyText"/>
        <w:spacing w:before="130"/>
        <w:ind w:left="640"/>
      </w:pPr>
      <w:r>
        <w:t>《建设工程监理范围和规模标准规定》又进一步细化了必须实行监理的工程范围和规模标准：</w:t>
      </w:r>
    </w:p>
    <w:p>
      <w:pPr>
        <w:spacing w:after="0"/>
        <w:sectPr>
          <w:pgSz w:w="11910" w:h="16840"/>
          <w:pgMar w:top="1920" w:right="860" w:bottom="280" w:left="860" w:header="1632" w:footer="0" w:gutter="0"/>
          <w:pgNumType w:start="6"/>
          <w:cols w:space="708"/>
        </w:sectPr>
      </w:pPr>
    </w:p>
    <w:p>
      <w:pPr>
        <w:pStyle w:val="BodyText"/>
        <w:ind w:left="0"/>
        <w:rPr>
          <w:sz w:val="20"/>
        </w:rPr>
      </w:pPr>
    </w:p>
    <w:p>
      <w:pPr>
        <w:pStyle w:val="BodyText"/>
        <w:spacing w:before="7"/>
        <w:ind w:left="0"/>
        <w:rPr>
          <w:sz w:val="17"/>
        </w:rPr>
      </w:pPr>
    </w:p>
    <w:p>
      <w:pPr>
        <w:pStyle w:val="BodyText"/>
        <w:spacing w:before="70"/>
        <w:ind w:left="640"/>
      </w:pPr>
      <w:r>
        <w:rPr>
          <w:w w:val="95"/>
        </w:rPr>
        <w:t>⑴国家重点建设工程。</w:t>
      </w:r>
    </w:p>
    <w:p>
      <w:pPr>
        <w:pStyle w:val="BodyText"/>
        <w:spacing w:before="132" w:line="357" w:lineRule="auto"/>
        <w:ind w:right="220" w:firstLine="420"/>
        <w:jc w:val="both"/>
      </w:pPr>
      <w:r>
        <w:rPr>
          <w:w w:val="95"/>
        </w:rPr>
        <w:t>⑵大中型公用事业工程。是指项目总投资额在</w:t>
      </w:r>
      <w:r>
        <w:rPr>
          <w:b/>
          <w:w w:val="95"/>
        </w:rPr>
        <w:t>3000万元以上</w:t>
      </w:r>
      <w:r>
        <w:rPr>
          <w:w w:val="95"/>
        </w:rPr>
        <w:t>的下列工程项目：①供水、供电、供气、</w:t>
      </w:r>
      <w:r>
        <w:rPr>
          <w:spacing w:val="242"/>
        </w:rPr>
        <w:t xml:space="preserve"> </w:t>
      </w:r>
      <w:r>
        <w:rPr>
          <w:w w:val="95"/>
        </w:rPr>
        <w:t>供热等市政工程项目；②科技、教育、文化等项目；③体育、旅游、商业等项目；④卫生、社会福利等项</w:t>
      </w:r>
      <w:r>
        <w:rPr>
          <w:spacing w:val="259"/>
        </w:rPr>
        <w:t xml:space="preserve"> </w:t>
      </w:r>
      <w:r>
        <w:t>目；⑤其他公用事业项目。</w:t>
      </w:r>
    </w:p>
    <w:p>
      <w:pPr>
        <w:pStyle w:val="BodyText"/>
        <w:spacing w:line="357" w:lineRule="auto"/>
        <w:ind w:right="220" w:firstLine="420"/>
      </w:pPr>
      <w:r>
        <w:rPr>
          <w:spacing w:val="2"/>
          <w:w w:val="99"/>
        </w:rPr>
        <w:t>⑶成片开发建设的住宅小区工程。建筑面积在</w:t>
      </w:r>
      <w:r>
        <w:rPr>
          <w:b/>
          <w:spacing w:val="3"/>
          <w:w w:val="98"/>
        </w:rPr>
        <w:t>5</w:t>
      </w:r>
      <w:r>
        <w:rPr>
          <w:b/>
          <w:spacing w:val="2"/>
          <w:w w:val="99"/>
        </w:rPr>
        <w:t>万</w:t>
      </w:r>
      <w:r>
        <w:rPr>
          <w:b/>
          <w:spacing w:val="1"/>
          <w:w w:val="98"/>
        </w:rPr>
        <w:t>m</w:t>
      </w:r>
      <w:r>
        <w:rPr>
          <w:b/>
          <w:spacing w:val="2"/>
          <w:w w:val="105"/>
          <w:position w:val="11"/>
          <w:sz w:val="10"/>
        </w:rPr>
        <w:t>2</w:t>
      </w:r>
      <w:r>
        <w:rPr>
          <w:b/>
          <w:spacing w:val="3"/>
          <w:w w:val="99"/>
        </w:rPr>
        <w:t>以上</w:t>
      </w:r>
      <w:r>
        <w:rPr>
          <w:spacing w:val="2"/>
          <w:w w:val="99"/>
        </w:rPr>
        <w:t>的住宅建设工程</w:t>
      </w:r>
      <w:r>
        <w:rPr>
          <w:b/>
          <w:spacing w:val="3"/>
          <w:w w:val="99"/>
        </w:rPr>
        <w:t>必须</w:t>
      </w:r>
      <w:r>
        <w:rPr>
          <w:spacing w:val="1"/>
          <w:w w:val="99"/>
        </w:rPr>
        <w:t>实行监理;</w:t>
      </w:r>
      <w:r>
        <w:rPr>
          <w:spacing w:val="3"/>
          <w:w w:val="99"/>
        </w:rPr>
        <w:t>5</w:t>
      </w:r>
      <w:r>
        <w:rPr>
          <w:spacing w:val="2"/>
          <w:w w:val="99"/>
        </w:rPr>
        <w:t>万</w:t>
      </w:r>
      <w:r>
        <w:rPr>
          <w:spacing w:val="1"/>
          <w:w w:val="99"/>
        </w:rPr>
        <w:t>m</w:t>
      </w:r>
      <w:r>
        <w:rPr>
          <w:spacing w:val="-1"/>
          <w:w w:val="106"/>
          <w:position w:val="11"/>
          <w:sz w:val="10"/>
        </w:rPr>
        <w:t>2</w:t>
      </w:r>
      <w:r>
        <w:rPr>
          <w:spacing w:val="1"/>
          <w:w w:val="99"/>
        </w:rPr>
        <w:t>以下的住</w:t>
      </w:r>
      <w:r>
        <w:t>宅建设工程，可以</w:t>
      </w:r>
      <w:r>
        <w:rPr>
          <w:b/>
        </w:rPr>
        <w:t>实行</w:t>
      </w:r>
      <w:r>
        <w:t>监理。</w:t>
      </w:r>
    </w:p>
    <w:p>
      <w:pPr>
        <w:pStyle w:val="BodyText"/>
        <w:spacing w:line="266" w:lineRule="exact"/>
        <w:ind w:left="640"/>
      </w:pPr>
      <w:r>
        <w:t>⑷利用外国政府或者国际组织贷款、援助资金的工程。</w:t>
      </w:r>
    </w:p>
    <w:p>
      <w:pPr>
        <w:pStyle w:val="BodyText"/>
        <w:spacing w:before="129"/>
        <w:ind w:left="640"/>
      </w:pPr>
      <w:r>
        <w:t>⑸国家规定必须实行监理的其他工程。是指：</w:t>
      </w:r>
    </w:p>
    <w:p>
      <w:pPr>
        <w:pStyle w:val="ListParagraph"/>
        <w:numPr>
          <w:ilvl w:val="0"/>
          <w:numId w:val="5"/>
        </w:numPr>
        <w:tabs>
          <w:tab w:val="left" w:pos="852"/>
        </w:tabs>
        <w:spacing w:before="132" w:after="0" w:line="357" w:lineRule="auto"/>
        <w:ind w:left="220" w:right="115" w:firstLine="420"/>
        <w:jc w:val="left"/>
        <w:rPr>
          <w:sz w:val="19"/>
        </w:rPr>
      </w:pPr>
      <w:r>
        <w:rPr>
          <w:sz w:val="21"/>
        </w:rPr>
        <w:t>项目总投资额在</w:t>
      </w:r>
      <w:r>
        <w:rPr>
          <w:b/>
          <w:sz w:val="21"/>
        </w:rPr>
        <w:t>3000万元以上</w:t>
      </w:r>
      <w:r>
        <w:rPr>
          <w:sz w:val="21"/>
        </w:rPr>
        <w:t>关系社会公共利益、公众安全的下列基础设施项目：①煤炭、石油、化工、天然气、电力、</w:t>
      </w:r>
      <w:r>
        <w:rPr>
          <w:b/>
          <w:sz w:val="21"/>
        </w:rPr>
        <w:t>新能源</w:t>
      </w:r>
      <w:r>
        <w:rPr>
          <w:sz w:val="21"/>
        </w:rPr>
        <w:t>等项目；②</w:t>
      </w:r>
      <w:r>
        <w:rPr>
          <w:b/>
          <w:sz w:val="21"/>
        </w:rPr>
        <w:t>铁路、公路</w:t>
      </w:r>
      <w:r>
        <w:rPr>
          <w:sz w:val="21"/>
        </w:rPr>
        <w:t>、管道、水运、民航以及其他</w:t>
      </w:r>
      <w:r>
        <w:rPr>
          <w:b/>
          <w:sz w:val="21"/>
        </w:rPr>
        <w:t>交通运输业</w:t>
      </w:r>
      <w:r>
        <w:rPr>
          <w:sz w:val="21"/>
        </w:rPr>
        <w:t>等项目；③</w:t>
      </w:r>
      <w:r>
        <w:rPr>
          <w:spacing w:val="1"/>
          <w:sz w:val="21"/>
        </w:rPr>
        <w:t xml:space="preserve"> </w:t>
      </w:r>
      <w:r>
        <w:rPr>
          <w:sz w:val="21"/>
        </w:rPr>
        <w:t>邮政、电信枢纽、通信、信息网络等项目；④防洪、灌溉、排涝、发电、引(供)水、滩涂治理、水资源保</w:t>
      </w:r>
      <w:r>
        <w:rPr>
          <w:w w:val="95"/>
          <w:sz w:val="21"/>
        </w:rPr>
        <w:t>护、水土保持等</w:t>
      </w:r>
      <w:r>
        <w:rPr>
          <w:b/>
          <w:w w:val="95"/>
          <w:sz w:val="21"/>
        </w:rPr>
        <w:t>水利建设项目</w:t>
      </w:r>
      <w:r>
        <w:rPr>
          <w:w w:val="95"/>
          <w:sz w:val="21"/>
        </w:rPr>
        <w:t>；⑤道路、桥梁、地铁和轻轨交通、</w:t>
      </w:r>
      <w:r>
        <w:rPr>
          <w:b/>
          <w:w w:val="95"/>
          <w:sz w:val="21"/>
        </w:rPr>
        <w:t>污水排放及处理、垃圾处理、地下管道、</w:t>
      </w:r>
      <w:r>
        <w:rPr>
          <w:b/>
          <w:spacing w:val="144"/>
          <w:sz w:val="21"/>
        </w:rPr>
        <w:t xml:space="preserve"> </w:t>
      </w:r>
      <w:r>
        <w:rPr>
          <w:b/>
          <w:sz w:val="21"/>
        </w:rPr>
        <w:t>公共停车场</w:t>
      </w:r>
      <w:r>
        <w:rPr>
          <w:sz w:val="21"/>
        </w:rPr>
        <w:t>等城市基础设施项目；⑥生态环境保护项目；⑦其他基础设施项目。</w:t>
      </w:r>
    </w:p>
    <w:p>
      <w:pPr>
        <w:pStyle w:val="ListParagraph"/>
        <w:numPr>
          <w:ilvl w:val="0"/>
          <w:numId w:val="5"/>
        </w:numPr>
        <w:tabs>
          <w:tab w:val="left" w:pos="854"/>
        </w:tabs>
        <w:spacing w:before="0" w:after="0" w:line="264" w:lineRule="exact"/>
        <w:ind w:left="853" w:right="0" w:hanging="214"/>
        <w:jc w:val="left"/>
        <w:rPr>
          <w:b/>
          <w:sz w:val="19"/>
        </w:rPr>
      </w:pPr>
      <w:r>
        <w:rPr>
          <w:b/>
          <w:sz w:val="21"/>
        </w:rPr>
        <w:t>学校、影剧院、体育场馆项目。</w:t>
      </w:r>
    </w:p>
    <w:p>
      <w:pPr>
        <w:pStyle w:val="BodyText"/>
        <w:spacing w:before="131"/>
      </w:pPr>
      <w:r>
        <w:rPr>
          <w:spacing w:val="-3"/>
        </w:rPr>
        <w:t>【考点来源】第一章 建设工程监理制度 第一节 建设工程监理性质和法律地位</w:t>
      </w:r>
    </w:p>
    <w:p>
      <w:pPr>
        <w:pStyle w:val="BodyText"/>
        <w:ind w:left="0"/>
        <w:rPr>
          <w:sz w:val="20"/>
        </w:rPr>
      </w:pPr>
    </w:p>
    <w:p>
      <w:pPr>
        <w:pStyle w:val="BodyText"/>
        <w:spacing w:before="5"/>
        <w:ind w:left="0"/>
      </w:pPr>
    </w:p>
    <w:p>
      <w:pPr>
        <w:pStyle w:val="ListParagraph"/>
        <w:numPr>
          <w:ilvl w:val="0"/>
          <w:numId w:val="6"/>
        </w:numPr>
        <w:tabs>
          <w:tab w:val="left" w:pos="537"/>
        </w:tabs>
        <w:spacing w:before="0" w:after="0" w:line="357" w:lineRule="auto"/>
        <w:ind w:left="220" w:right="3142" w:firstLine="0"/>
        <w:jc w:val="left"/>
        <w:rPr>
          <w:sz w:val="21"/>
        </w:rPr>
      </w:pPr>
      <w:r>
        <w:rPr>
          <w:w w:val="95"/>
          <w:sz w:val="21"/>
        </w:rPr>
        <w:t>政府对工程监理执业人员实行市场准入控制的手段是对监理工程师实行</w:t>
      </w:r>
      <w:r>
        <w:rPr>
          <w:spacing w:val="18"/>
          <w:w w:val="95"/>
          <w:sz w:val="21"/>
        </w:rPr>
        <w:t xml:space="preserve"> </w:t>
      </w:r>
      <w:r>
        <w:rPr>
          <w:sz w:val="21"/>
        </w:rPr>
        <w:t>A.滚动管理</w:t>
      </w:r>
    </w:p>
    <w:p>
      <w:pPr>
        <w:pStyle w:val="BodyText"/>
        <w:spacing w:line="357" w:lineRule="auto"/>
        <w:ind w:right="8917"/>
        <w:jc w:val="both"/>
      </w:pPr>
      <w:r>
        <w:rPr>
          <w:spacing w:val="-1"/>
        </w:rPr>
        <w:t>B.继续教育C.注册管理D.定期审核</w:t>
      </w:r>
    </w:p>
    <w:p>
      <w:pPr>
        <w:pStyle w:val="BodyText"/>
        <w:spacing w:line="266" w:lineRule="exact"/>
      </w:pPr>
      <w:r>
        <w:t>【答案】C</w:t>
      </w:r>
    </w:p>
    <w:p>
      <w:pPr>
        <w:pStyle w:val="BodyText"/>
        <w:spacing w:before="129"/>
      </w:pPr>
      <w:r>
        <w:t>【解析】</w:t>
      </w:r>
    </w:p>
    <w:p>
      <w:pPr>
        <w:pStyle w:val="BodyText"/>
        <w:spacing w:before="132"/>
        <w:ind w:left="640"/>
      </w:pPr>
      <w:r>
        <w:t>㈡监理工程师注册</w:t>
      </w:r>
    </w:p>
    <w:p>
      <w:pPr>
        <w:pStyle w:val="BodyText"/>
        <w:spacing w:before="129" w:line="357" w:lineRule="auto"/>
        <w:ind w:right="223" w:firstLine="420"/>
      </w:pPr>
      <w:r>
        <w:rPr>
          <w:w w:val="95"/>
        </w:rPr>
        <w:t>国家对监理工程师职业资格实行执业注册管理制度。监理工程师注册是政府对工程监理执业人员实行</w:t>
      </w:r>
      <w:r>
        <w:rPr>
          <w:spacing w:val="235"/>
        </w:rPr>
        <w:t xml:space="preserve"> </w:t>
      </w:r>
      <w:r>
        <w:t>市场准入控制的有效手段。</w:t>
      </w:r>
    </w:p>
    <w:p>
      <w:pPr>
        <w:pStyle w:val="BodyText"/>
        <w:spacing w:line="269" w:lineRule="exact"/>
      </w:pPr>
      <w:r>
        <w:rPr>
          <w:spacing w:val="-3"/>
        </w:rPr>
        <w:t>【考点来源】第四章 工程监理企业与监理工程师 第二节 监理工程师</w:t>
      </w:r>
    </w:p>
    <w:p>
      <w:pPr>
        <w:pStyle w:val="BodyText"/>
        <w:ind w:left="0"/>
        <w:rPr>
          <w:sz w:val="20"/>
        </w:rPr>
      </w:pPr>
    </w:p>
    <w:p>
      <w:pPr>
        <w:pStyle w:val="BodyText"/>
        <w:spacing w:before="5"/>
        <w:ind w:left="0"/>
      </w:pPr>
    </w:p>
    <w:p>
      <w:pPr>
        <w:pStyle w:val="ListParagraph"/>
        <w:numPr>
          <w:ilvl w:val="0"/>
          <w:numId w:val="6"/>
        </w:numPr>
        <w:tabs>
          <w:tab w:val="left" w:pos="537"/>
        </w:tabs>
        <w:spacing w:before="0" w:after="0" w:line="357" w:lineRule="auto"/>
        <w:ind w:left="220" w:right="5241" w:firstLine="0"/>
        <w:jc w:val="left"/>
        <w:rPr>
          <w:sz w:val="21"/>
        </w:rPr>
      </w:pPr>
      <w:r>
        <w:rPr>
          <w:w w:val="95"/>
          <w:sz w:val="21"/>
        </w:rPr>
        <w:t>关于建设工程承包模式的说法，正确的是（）。</w:t>
      </w:r>
      <w:r>
        <w:rPr>
          <w:spacing w:val="1"/>
          <w:w w:val="95"/>
          <w:sz w:val="21"/>
        </w:rPr>
        <w:t xml:space="preserve"> </w:t>
      </w:r>
      <w:r>
        <w:rPr>
          <w:sz w:val="21"/>
        </w:rPr>
        <w:t>A.平行承包模式下的合同数量多</w:t>
      </w:r>
    </w:p>
    <w:p>
      <w:pPr>
        <w:pStyle w:val="BodyText"/>
        <w:spacing w:line="266" w:lineRule="exact"/>
      </w:pPr>
      <w:r>
        <w:t>B.施工总承包模式下的建设周期较短</w:t>
      </w:r>
    </w:p>
    <w:p>
      <w:pPr>
        <w:spacing w:after="0" w:line="266" w:lineRule="exact"/>
        <w:sectPr>
          <w:pgSz w:w="11910" w:h="16840"/>
          <w:pgMar w:top="1820" w:right="860" w:bottom="280" w:left="860" w:header="1620" w:footer="0" w:gutter="0"/>
          <w:pgNumType w:start="7"/>
          <w:cols w:space="708"/>
        </w:sectPr>
      </w:pPr>
    </w:p>
    <w:p>
      <w:pPr>
        <w:pStyle w:val="BodyText"/>
        <w:ind w:left="0"/>
        <w:rPr>
          <w:sz w:val="20"/>
        </w:rPr>
      </w:pPr>
    </w:p>
    <w:p>
      <w:pPr>
        <w:pStyle w:val="BodyText"/>
        <w:ind w:left="0"/>
        <w:rPr>
          <w:sz w:val="16"/>
        </w:rPr>
      </w:pPr>
    </w:p>
    <w:p>
      <w:pPr>
        <w:pStyle w:val="BodyText"/>
        <w:spacing w:line="357" w:lineRule="auto"/>
        <w:ind w:right="6187"/>
      </w:pPr>
      <w:r>
        <w:rPr>
          <w:w w:val="95"/>
        </w:rPr>
        <w:t>C.工程总承包模式下的合同管理难度较小</w:t>
      </w:r>
      <w:r>
        <w:t>D.交钥匙工程宜委托多家工程监理单位</w:t>
      </w:r>
    </w:p>
    <w:p>
      <w:pPr>
        <w:pStyle w:val="BodyText"/>
        <w:spacing w:line="269" w:lineRule="exact"/>
      </w:pPr>
      <w:r>
        <w:t>【答案】A</w:t>
      </w:r>
    </w:p>
    <w:p>
      <w:pPr>
        <w:pStyle w:val="BodyText"/>
        <w:spacing w:before="129"/>
      </w:pPr>
      <w:r>
        <w:t>【解析】</w:t>
      </w:r>
    </w:p>
    <w:p>
      <w:pPr>
        <w:spacing w:before="132" w:after="21"/>
        <w:ind w:left="3579" w:right="3165" w:firstLine="0"/>
        <w:jc w:val="center"/>
        <w:rPr>
          <w:b/>
          <w:sz w:val="21"/>
        </w:rPr>
      </w:pPr>
      <w:r>
        <w:rPr>
          <w:b/>
          <w:w w:val="95"/>
          <w:sz w:val="21"/>
        </w:rPr>
        <w:t>建设工程组织管理基本模式优缺点汇总</w:t>
      </w: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93"/>
        <w:gridCol w:w="2804"/>
        <w:gridCol w:w="2594"/>
        <w:gridCol w:w="3971"/>
      </w:tblGrid>
      <w:tr>
        <w:tblPrEx>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00"/>
        </w:trPr>
        <w:tc>
          <w:tcPr>
            <w:tcW w:w="593" w:type="dxa"/>
          </w:tcPr>
          <w:p>
            <w:pPr>
              <w:pStyle w:val="TableParagraph"/>
              <w:rPr>
                <w:rFonts w:ascii="Times New Roman"/>
                <w:sz w:val="20"/>
              </w:rPr>
            </w:pPr>
          </w:p>
        </w:tc>
        <w:tc>
          <w:tcPr>
            <w:tcW w:w="2804" w:type="dxa"/>
          </w:tcPr>
          <w:p>
            <w:pPr>
              <w:pStyle w:val="TableParagraph"/>
              <w:spacing w:before="110"/>
              <w:ind w:left="107"/>
              <w:rPr>
                <w:sz w:val="21"/>
              </w:rPr>
            </w:pPr>
            <w:r>
              <w:rPr>
                <w:sz w:val="21"/>
              </w:rPr>
              <w:t>平行承发包模式</w:t>
            </w:r>
          </w:p>
        </w:tc>
        <w:tc>
          <w:tcPr>
            <w:tcW w:w="2594" w:type="dxa"/>
          </w:tcPr>
          <w:p>
            <w:pPr>
              <w:pStyle w:val="TableParagraph"/>
              <w:spacing w:before="110"/>
              <w:ind w:left="106"/>
              <w:rPr>
                <w:sz w:val="21"/>
              </w:rPr>
            </w:pPr>
            <w:r>
              <w:rPr>
                <w:sz w:val="21"/>
              </w:rPr>
              <w:t>施工总承包模式</w:t>
            </w:r>
          </w:p>
        </w:tc>
        <w:tc>
          <w:tcPr>
            <w:tcW w:w="3971" w:type="dxa"/>
          </w:tcPr>
          <w:p>
            <w:pPr>
              <w:pStyle w:val="TableParagraph"/>
              <w:spacing w:before="110"/>
              <w:ind w:left="107"/>
              <w:rPr>
                <w:sz w:val="21"/>
              </w:rPr>
            </w:pPr>
            <w:r>
              <w:rPr>
                <w:sz w:val="21"/>
              </w:rPr>
              <w:t>工程总承包模式</w:t>
            </w:r>
          </w:p>
        </w:tc>
      </w:tr>
      <w:tr>
        <w:tblPrEx>
          <w:tblW w:w="0" w:type="auto"/>
          <w:tblInd w:w="117" w:type="dxa"/>
          <w:tblLayout w:type="fixed"/>
          <w:tblCellMar>
            <w:top w:w="0" w:type="dxa"/>
            <w:left w:w="0" w:type="dxa"/>
            <w:bottom w:w="0" w:type="dxa"/>
            <w:right w:w="0" w:type="dxa"/>
          </w:tblCellMar>
        </w:tblPrEx>
        <w:trPr>
          <w:trHeight w:val="800"/>
        </w:trPr>
        <w:tc>
          <w:tcPr>
            <w:tcW w:w="593" w:type="dxa"/>
            <w:vMerge w:val="restart"/>
          </w:tcPr>
          <w:p>
            <w:pPr>
              <w:pStyle w:val="TableParagraph"/>
              <w:rPr>
                <w:b/>
                <w:sz w:val="20"/>
              </w:rPr>
            </w:pPr>
          </w:p>
          <w:p>
            <w:pPr>
              <w:pStyle w:val="TableParagraph"/>
              <w:rPr>
                <w:b/>
                <w:sz w:val="20"/>
              </w:rPr>
            </w:pPr>
          </w:p>
          <w:p>
            <w:pPr>
              <w:pStyle w:val="TableParagraph"/>
              <w:rPr>
                <w:b/>
                <w:sz w:val="20"/>
              </w:rPr>
            </w:pPr>
          </w:p>
          <w:p>
            <w:pPr>
              <w:pStyle w:val="TableParagraph"/>
              <w:spacing w:before="155" w:line="357" w:lineRule="auto"/>
              <w:ind w:left="107" w:right="264"/>
              <w:rPr>
                <w:sz w:val="21"/>
              </w:rPr>
            </w:pPr>
            <w:r>
              <w:rPr>
                <w:sz w:val="21"/>
              </w:rPr>
              <w:t>优点</w:t>
            </w:r>
          </w:p>
        </w:tc>
        <w:tc>
          <w:tcPr>
            <w:tcW w:w="2804" w:type="dxa"/>
          </w:tcPr>
          <w:p>
            <w:pPr>
              <w:pStyle w:val="TableParagraph"/>
              <w:spacing w:before="2"/>
              <w:rPr>
                <w:b/>
                <w:sz w:val="24"/>
              </w:rPr>
            </w:pPr>
          </w:p>
          <w:p>
            <w:pPr>
              <w:pStyle w:val="TableParagraph"/>
              <w:ind w:left="107"/>
              <w:rPr>
                <w:sz w:val="21"/>
              </w:rPr>
            </w:pPr>
            <w:r>
              <w:rPr>
                <w:sz w:val="21"/>
              </w:rPr>
              <w:t>有利于缩短工期</w:t>
            </w:r>
          </w:p>
        </w:tc>
        <w:tc>
          <w:tcPr>
            <w:tcW w:w="2594" w:type="dxa"/>
          </w:tcPr>
          <w:p>
            <w:pPr>
              <w:pStyle w:val="TableParagraph"/>
              <w:spacing w:line="398" w:lineRule="exact"/>
              <w:ind w:left="106" w:right="99"/>
              <w:rPr>
                <w:sz w:val="21"/>
              </w:rPr>
            </w:pPr>
            <w:r>
              <w:rPr>
                <w:w w:val="95"/>
                <w:sz w:val="21"/>
              </w:rPr>
              <w:t>有利于总体进度的协调控</w:t>
            </w:r>
            <w:r>
              <w:rPr>
                <w:sz w:val="21"/>
              </w:rPr>
              <w:t>制</w:t>
            </w:r>
          </w:p>
        </w:tc>
        <w:tc>
          <w:tcPr>
            <w:tcW w:w="3971" w:type="dxa"/>
          </w:tcPr>
          <w:p>
            <w:pPr>
              <w:pStyle w:val="TableParagraph"/>
              <w:spacing w:before="2"/>
              <w:rPr>
                <w:b/>
                <w:sz w:val="24"/>
              </w:rPr>
            </w:pPr>
          </w:p>
          <w:p>
            <w:pPr>
              <w:pStyle w:val="TableParagraph"/>
              <w:ind w:left="107"/>
              <w:rPr>
                <w:sz w:val="21"/>
              </w:rPr>
            </w:pPr>
            <w:r>
              <w:rPr>
                <w:sz w:val="21"/>
              </w:rPr>
              <w:t>有利于控制工程进度，可缩短建设周期</w:t>
            </w:r>
          </w:p>
        </w:tc>
      </w:tr>
      <w:tr>
        <w:tblPrEx>
          <w:tblW w:w="0" w:type="auto"/>
          <w:tblInd w:w="117" w:type="dxa"/>
          <w:tblLayout w:type="fixed"/>
          <w:tblCellMar>
            <w:top w:w="0" w:type="dxa"/>
            <w:left w:w="0" w:type="dxa"/>
            <w:bottom w:w="0" w:type="dxa"/>
            <w:right w:w="0" w:type="dxa"/>
          </w:tblCellMar>
        </w:tblPrEx>
        <w:trPr>
          <w:trHeight w:val="400"/>
        </w:trPr>
        <w:tc>
          <w:tcPr>
            <w:tcW w:w="593" w:type="dxa"/>
            <w:vMerge/>
            <w:tcBorders>
              <w:top w:val="nil"/>
            </w:tcBorders>
          </w:tcPr>
          <w:p>
            <w:pPr>
              <w:rPr>
                <w:sz w:val="2"/>
                <w:szCs w:val="2"/>
              </w:rPr>
            </w:pPr>
          </w:p>
        </w:tc>
        <w:tc>
          <w:tcPr>
            <w:tcW w:w="2804" w:type="dxa"/>
          </w:tcPr>
          <w:p>
            <w:pPr>
              <w:pStyle w:val="TableParagraph"/>
              <w:spacing w:before="109"/>
              <w:ind w:left="107"/>
              <w:rPr>
                <w:sz w:val="21"/>
              </w:rPr>
            </w:pPr>
            <w:r>
              <w:rPr>
                <w:sz w:val="21"/>
              </w:rPr>
              <w:t>有利于控制质量</w:t>
            </w:r>
          </w:p>
        </w:tc>
        <w:tc>
          <w:tcPr>
            <w:tcW w:w="2594" w:type="dxa"/>
          </w:tcPr>
          <w:p>
            <w:pPr>
              <w:pStyle w:val="TableParagraph"/>
              <w:spacing w:before="109"/>
              <w:ind w:left="106"/>
              <w:rPr>
                <w:sz w:val="21"/>
              </w:rPr>
            </w:pPr>
            <w:r>
              <w:rPr>
                <w:sz w:val="21"/>
              </w:rPr>
              <w:t>有利于质量控制</w:t>
            </w:r>
          </w:p>
        </w:tc>
        <w:tc>
          <w:tcPr>
            <w:tcW w:w="3971" w:type="dxa"/>
          </w:tcPr>
          <w:p>
            <w:pPr>
              <w:pStyle w:val="TableParagraph"/>
              <w:rPr>
                <w:rFonts w:ascii="Times New Roman"/>
                <w:sz w:val="20"/>
              </w:rPr>
            </w:pPr>
          </w:p>
        </w:tc>
      </w:tr>
      <w:tr>
        <w:tblPrEx>
          <w:tblW w:w="0" w:type="auto"/>
          <w:tblInd w:w="117" w:type="dxa"/>
          <w:tblLayout w:type="fixed"/>
          <w:tblCellMar>
            <w:top w:w="0" w:type="dxa"/>
            <w:left w:w="0" w:type="dxa"/>
            <w:bottom w:w="0" w:type="dxa"/>
            <w:right w:w="0" w:type="dxa"/>
          </w:tblCellMar>
        </w:tblPrEx>
        <w:trPr>
          <w:trHeight w:val="400"/>
        </w:trPr>
        <w:tc>
          <w:tcPr>
            <w:tcW w:w="593" w:type="dxa"/>
            <w:vMerge/>
            <w:tcBorders>
              <w:top w:val="nil"/>
            </w:tcBorders>
          </w:tcPr>
          <w:p>
            <w:pPr>
              <w:rPr>
                <w:sz w:val="2"/>
                <w:szCs w:val="2"/>
              </w:rPr>
            </w:pPr>
          </w:p>
        </w:tc>
        <w:tc>
          <w:tcPr>
            <w:tcW w:w="2804" w:type="dxa"/>
          </w:tcPr>
          <w:p>
            <w:pPr>
              <w:pStyle w:val="TableParagraph"/>
              <w:rPr>
                <w:rFonts w:ascii="Times New Roman"/>
                <w:sz w:val="20"/>
              </w:rPr>
            </w:pPr>
          </w:p>
        </w:tc>
        <w:tc>
          <w:tcPr>
            <w:tcW w:w="2594" w:type="dxa"/>
          </w:tcPr>
          <w:p>
            <w:pPr>
              <w:pStyle w:val="TableParagraph"/>
              <w:spacing w:before="110"/>
              <w:ind w:left="106"/>
              <w:rPr>
                <w:sz w:val="21"/>
              </w:rPr>
            </w:pPr>
            <w:r>
              <w:rPr>
                <w:sz w:val="21"/>
              </w:rPr>
              <w:t>有利于控制工程造价</w:t>
            </w:r>
          </w:p>
        </w:tc>
        <w:tc>
          <w:tcPr>
            <w:tcW w:w="3971" w:type="dxa"/>
          </w:tcPr>
          <w:p>
            <w:pPr>
              <w:pStyle w:val="TableParagraph"/>
              <w:spacing w:before="110"/>
              <w:ind w:left="107"/>
              <w:rPr>
                <w:sz w:val="21"/>
              </w:rPr>
            </w:pPr>
            <w:r>
              <w:rPr>
                <w:sz w:val="21"/>
              </w:rPr>
              <w:t>有利于工程造价控制</w:t>
            </w:r>
          </w:p>
        </w:tc>
      </w:tr>
      <w:tr>
        <w:tblPrEx>
          <w:tblW w:w="0" w:type="auto"/>
          <w:tblInd w:w="117" w:type="dxa"/>
          <w:tblLayout w:type="fixed"/>
          <w:tblCellMar>
            <w:top w:w="0" w:type="dxa"/>
            <w:left w:w="0" w:type="dxa"/>
            <w:bottom w:w="0" w:type="dxa"/>
            <w:right w:w="0" w:type="dxa"/>
          </w:tblCellMar>
        </w:tblPrEx>
        <w:trPr>
          <w:trHeight w:val="800"/>
        </w:trPr>
        <w:tc>
          <w:tcPr>
            <w:tcW w:w="593" w:type="dxa"/>
            <w:vMerge/>
            <w:tcBorders>
              <w:top w:val="nil"/>
            </w:tcBorders>
          </w:tcPr>
          <w:p>
            <w:pPr>
              <w:rPr>
                <w:sz w:val="2"/>
                <w:szCs w:val="2"/>
              </w:rPr>
            </w:pPr>
          </w:p>
        </w:tc>
        <w:tc>
          <w:tcPr>
            <w:tcW w:w="2804" w:type="dxa"/>
          </w:tcPr>
          <w:p>
            <w:pPr>
              <w:pStyle w:val="TableParagraph"/>
              <w:spacing w:before="110"/>
              <w:ind w:left="107"/>
              <w:rPr>
                <w:sz w:val="21"/>
              </w:rPr>
            </w:pPr>
            <w:r>
              <w:rPr>
                <w:w w:val="95"/>
                <w:sz w:val="21"/>
              </w:rPr>
              <w:t>有利于建设单位选择施工单</w:t>
            </w:r>
          </w:p>
          <w:p>
            <w:pPr>
              <w:pStyle w:val="TableParagraph"/>
              <w:spacing w:before="132" w:line="269" w:lineRule="exact"/>
              <w:ind w:left="107"/>
              <w:rPr>
                <w:sz w:val="21"/>
              </w:rPr>
            </w:pPr>
            <w:r>
              <w:rPr>
                <w:w w:val="99"/>
                <w:sz w:val="21"/>
              </w:rPr>
              <w:t>位</w:t>
            </w:r>
          </w:p>
        </w:tc>
        <w:tc>
          <w:tcPr>
            <w:tcW w:w="2594" w:type="dxa"/>
          </w:tcPr>
          <w:p>
            <w:pPr>
              <w:pStyle w:val="TableParagraph"/>
              <w:spacing w:before="110"/>
              <w:ind w:left="106"/>
              <w:rPr>
                <w:sz w:val="21"/>
              </w:rPr>
            </w:pPr>
            <w:r>
              <w:rPr>
                <w:sz w:val="21"/>
              </w:rPr>
              <w:t>有利于建设工程的组织管</w:t>
            </w:r>
          </w:p>
          <w:p>
            <w:pPr>
              <w:pStyle w:val="TableParagraph"/>
              <w:spacing w:before="132" w:line="269" w:lineRule="exact"/>
              <w:ind w:left="106"/>
              <w:rPr>
                <w:sz w:val="21"/>
              </w:rPr>
            </w:pPr>
            <w:r>
              <w:rPr>
                <w:w w:val="99"/>
                <w:sz w:val="21"/>
              </w:rPr>
              <w:t>理</w:t>
            </w:r>
          </w:p>
        </w:tc>
        <w:tc>
          <w:tcPr>
            <w:tcW w:w="3971" w:type="dxa"/>
          </w:tcPr>
          <w:p>
            <w:pPr>
              <w:pStyle w:val="TableParagraph"/>
              <w:spacing w:before="2"/>
              <w:rPr>
                <w:b/>
                <w:sz w:val="24"/>
              </w:rPr>
            </w:pPr>
          </w:p>
          <w:p>
            <w:pPr>
              <w:pStyle w:val="TableParagraph"/>
              <w:ind w:left="107"/>
              <w:rPr>
                <w:sz w:val="21"/>
              </w:rPr>
            </w:pPr>
            <w:r>
              <w:rPr>
                <w:sz w:val="21"/>
              </w:rPr>
              <w:t>合同关系简单，组织协调工作量小</w:t>
            </w:r>
          </w:p>
        </w:tc>
      </w:tr>
      <w:tr>
        <w:tblPrEx>
          <w:tblW w:w="0" w:type="auto"/>
          <w:tblInd w:w="117" w:type="dxa"/>
          <w:tblLayout w:type="fixed"/>
          <w:tblCellMar>
            <w:top w:w="0" w:type="dxa"/>
            <w:left w:w="0" w:type="dxa"/>
            <w:bottom w:w="0" w:type="dxa"/>
            <w:right w:w="0" w:type="dxa"/>
          </w:tblCellMar>
        </w:tblPrEx>
        <w:trPr>
          <w:trHeight w:val="800"/>
        </w:trPr>
        <w:tc>
          <w:tcPr>
            <w:tcW w:w="593" w:type="dxa"/>
            <w:vMerge w:val="restart"/>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5"/>
              <w:rPr>
                <w:b/>
                <w:sz w:val="19"/>
              </w:rPr>
            </w:pPr>
          </w:p>
          <w:p>
            <w:pPr>
              <w:pStyle w:val="TableParagraph"/>
              <w:spacing w:line="357" w:lineRule="auto"/>
              <w:ind w:left="107" w:right="264"/>
              <w:rPr>
                <w:sz w:val="21"/>
              </w:rPr>
            </w:pPr>
            <w:r>
              <w:rPr>
                <w:sz w:val="21"/>
              </w:rPr>
              <w:t>缺点</w:t>
            </w:r>
          </w:p>
        </w:tc>
        <w:tc>
          <w:tcPr>
            <w:tcW w:w="2804" w:type="dxa"/>
          </w:tcPr>
          <w:p>
            <w:pPr>
              <w:pStyle w:val="TableParagraph"/>
              <w:rPr>
                <w:rFonts w:ascii="Times New Roman"/>
                <w:sz w:val="20"/>
              </w:rPr>
            </w:pPr>
          </w:p>
        </w:tc>
        <w:tc>
          <w:tcPr>
            <w:tcW w:w="2594" w:type="dxa"/>
          </w:tcPr>
          <w:p>
            <w:pPr>
              <w:pStyle w:val="TableParagraph"/>
              <w:spacing w:before="3"/>
              <w:rPr>
                <w:b/>
                <w:sz w:val="24"/>
              </w:rPr>
            </w:pPr>
          </w:p>
          <w:p>
            <w:pPr>
              <w:pStyle w:val="TableParagraph"/>
              <w:ind w:left="106"/>
              <w:rPr>
                <w:sz w:val="21"/>
              </w:rPr>
            </w:pPr>
            <w:r>
              <w:rPr>
                <w:sz w:val="21"/>
              </w:rPr>
              <w:t>建设周期较长</w:t>
            </w:r>
          </w:p>
        </w:tc>
        <w:tc>
          <w:tcPr>
            <w:tcW w:w="3971" w:type="dxa"/>
          </w:tcPr>
          <w:p>
            <w:pPr>
              <w:pStyle w:val="TableParagraph"/>
              <w:spacing w:before="109"/>
              <w:ind w:left="107"/>
              <w:rPr>
                <w:sz w:val="21"/>
              </w:rPr>
            </w:pPr>
            <w:r>
              <w:rPr>
                <w:sz w:val="21"/>
              </w:rPr>
              <w:t>合同条款不易准确确定，容易造成合同争</w:t>
            </w:r>
          </w:p>
          <w:p>
            <w:pPr>
              <w:pStyle w:val="TableParagraph"/>
              <w:spacing w:before="132"/>
              <w:ind w:left="107"/>
              <w:rPr>
                <w:sz w:val="21"/>
              </w:rPr>
            </w:pPr>
            <w:r>
              <w:rPr>
                <w:w w:val="99"/>
                <w:sz w:val="21"/>
              </w:rPr>
              <w:t>议</w:t>
            </w:r>
          </w:p>
        </w:tc>
      </w:tr>
      <w:tr>
        <w:tblPrEx>
          <w:tblW w:w="0" w:type="auto"/>
          <w:tblInd w:w="117" w:type="dxa"/>
          <w:tblLayout w:type="fixed"/>
          <w:tblCellMar>
            <w:top w:w="0" w:type="dxa"/>
            <w:left w:w="0" w:type="dxa"/>
            <w:bottom w:w="0" w:type="dxa"/>
            <w:right w:w="0" w:type="dxa"/>
          </w:tblCellMar>
        </w:tblPrEx>
        <w:trPr>
          <w:trHeight w:val="400"/>
        </w:trPr>
        <w:tc>
          <w:tcPr>
            <w:tcW w:w="593" w:type="dxa"/>
            <w:vMerge/>
            <w:tcBorders>
              <w:top w:val="nil"/>
            </w:tcBorders>
          </w:tcPr>
          <w:p>
            <w:pPr>
              <w:rPr>
                <w:sz w:val="2"/>
                <w:szCs w:val="2"/>
              </w:rPr>
            </w:pPr>
          </w:p>
        </w:tc>
        <w:tc>
          <w:tcPr>
            <w:tcW w:w="2804" w:type="dxa"/>
          </w:tcPr>
          <w:p>
            <w:pPr>
              <w:pStyle w:val="TableParagraph"/>
              <w:rPr>
                <w:rFonts w:ascii="Times New Roman"/>
                <w:sz w:val="20"/>
              </w:rPr>
            </w:pPr>
          </w:p>
        </w:tc>
        <w:tc>
          <w:tcPr>
            <w:tcW w:w="2594" w:type="dxa"/>
          </w:tcPr>
          <w:p>
            <w:pPr>
              <w:pStyle w:val="TableParagraph"/>
              <w:rPr>
                <w:rFonts w:ascii="Times New Roman"/>
                <w:sz w:val="20"/>
              </w:rPr>
            </w:pPr>
          </w:p>
        </w:tc>
        <w:tc>
          <w:tcPr>
            <w:tcW w:w="3971" w:type="dxa"/>
          </w:tcPr>
          <w:p>
            <w:pPr>
              <w:pStyle w:val="TableParagraph"/>
              <w:spacing w:before="110"/>
              <w:ind w:left="107"/>
              <w:rPr>
                <w:sz w:val="21"/>
              </w:rPr>
            </w:pPr>
            <w:r>
              <w:rPr>
                <w:sz w:val="21"/>
              </w:rPr>
              <w:t>质量控制难度加大</w:t>
            </w:r>
          </w:p>
        </w:tc>
      </w:tr>
      <w:tr>
        <w:tblPrEx>
          <w:tblW w:w="0" w:type="auto"/>
          <w:tblInd w:w="117" w:type="dxa"/>
          <w:tblLayout w:type="fixed"/>
          <w:tblCellMar>
            <w:top w:w="0" w:type="dxa"/>
            <w:left w:w="0" w:type="dxa"/>
            <w:bottom w:w="0" w:type="dxa"/>
            <w:right w:w="0" w:type="dxa"/>
          </w:tblCellMar>
        </w:tblPrEx>
        <w:trPr>
          <w:trHeight w:val="800"/>
        </w:trPr>
        <w:tc>
          <w:tcPr>
            <w:tcW w:w="593" w:type="dxa"/>
            <w:vMerge/>
            <w:tcBorders>
              <w:top w:val="nil"/>
            </w:tcBorders>
          </w:tcPr>
          <w:p>
            <w:pPr>
              <w:rPr>
                <w:sz w:val="2"/>
                <w:szCs w:val="2"/>
              </w:rPr>
            </w:pPr>
          </w:p>
        </w:tc>
        <w:tc>
          <w:tcPr>
            <w:tcW w:w="2804" w:type="dxa"/>
          </w:tcPr>
          <w:p>
            <w:pPr>
              <w:pStyle w:val="TableParagraph"/>
              <w:spacing w:before="2"/>
              <w:rPr>
                <w:b/>
                <w:sz w:val="24"/>
              </w:rPr>
            </w:pPr>
          </w:p>
          <w:p>
            <w:pPr>
              <w:pStyle w:val="TableParagraph"/>
              <w:ind w:left="107"/>
              <w:rPr>
                <w:sz w:val="21"/>
              </w:rPr>
            </w:pPr>
            <w:r>
              <w:rPr>
                <w:sz w:val="21"/>
              </w:rPr>
              <w:t>工程造价控制难度大</w:t>
            </w:r>
          </w:p>
        </w:tc>
        <w:tc>
          <w:tcPr>
            <w:tcW w:w="2594" w:type="dxa"/>
          </w:tcPr>
          <w:p>
            <w:pPr>
              <w:pStyle w:val="TableParagraph"/>
              <w:spacing w:line="398" w:lineRule="exact"/>
              <w:ind w:left="106" w:right="99"/>
              <w:rPr>
                <w:sz w:val="21"/>
              </w:rPr>
            </w:pPr>
            <w:r>
              <w:rPr>
                <w:w w:val="95"/>
                <w:sz w:val="21"/>
              </w:rPr>
              <w:t>施工总承包单位的报价可</w:t>
            </w:r>
            <w:r>
              <w:rPr>
                <w:sz w:val="21"/>
              </w:rPr>
              <w:t>能较高</w:t>
            </w:r>
          </w:p>
        </w:tc>
        <w:tc>
          <w:tcPr>
            <w:tcW w:w="3971" w:type="dxa"/>
          </w:tcPr>
          <w:p>
            <w:pPr>
              <w:pStyle w:val="TableParagraph"/>
              <w:spacing w:before="2"/>
              <w:rPr>
                <w:b/>
                <w:sz w:val="24"/>
              </w:rPr>
            </w:pPr>
          </w:p>
          <w:p>
            <w:pPr>
              <w:pStyle w:val="TableParagraph"/>
              <w:ind w:left="107"/>
              <w:rPr>
                <w:sz w:val="21"/>
              </w:rPr>
            </w:pPr>
            <w:r>
              <w:rPr>
                <w:sz w:val="21"/>
              </w:rPr>
              <w:t>总承包单位要承担较大风险</w:t>
            </w:r>
          </w:p>
        </w:tc>
      </w:tr>
      <w:tr>
        <w:tblPrEx>
          <w:tblW w:w="0" w:type="auto"/>
          <w:tblInd w:w="117" w:type="dxa"/>
          <w:tblLayout w:type="fixed"/>
          <w:tblCellMar>
            <w:top w:w="0" w:type="dxa"/>
            <w:left w:w="0" w:type="dxa"/>
            <w:bottom w:w="0" w:type="dxa"/>
            <w:right w:w="0" w:type="dxa"/>
          </w:tblCellMar>
        </w:tblPrEx>
        <w:trPr>
          <w:trHeight w:val="800"/>
        </w:trPr>
        <w:tc>
          <w:tcPr>
            <w:tcW w:w="593" w:type="dxa"/>
            <w:vMerge/>
            <w:tcBorders>
              <w:top w:val="nil"/>
            </w:tcBorders>
          </w:tcPr>
          <w:p>
            <w:pPr>
              <w:rPr>
                <w:sz w:val="2"/>
                <w:szCs w:val="2"/>
              </w:rPr>
            </w:pPr>
          </w:p>
        </w:tc>
        <w:tc>
          <w:tcPr>
            <w:tcW w:w="2804" w:type="dxa"/>
          </w:tcPr>
          <w:p>
            <w:pPr>
              <w:pStyle w:val="TableParagraph"/>
              <w:spacing w:before="109"/>
              <w:ind w:left="107"/>
              <w:rPr>
                <w:sz w:val="21"/>
              </w:rPr>
            </w:pPr>
            <w:r>
              <w:rPr>
                <w:w w:val="95"/>
                <w:sz w:val="21"/>
              </w:rPr>
              <w:t>合同数量多，会造成合同管</w:t>
            </w:r>
          </w:p>
          <w:p>
            <w:pPr>
              <w:pStyle w:val="TableParagraph"/>
              <w:spacing w:before="132"/>
              <w:ind w:left="107"/>
              <w:rPr>
                <w:sz w:val="21"/>
              </w:rPr>
            </w:pPr>
            <w:r>
              <w:rPr>
                <w:sz w:val="21"/>
              </w:rPr>
              <w:t>理困难</w:t>
            </w:r>
          </w:p>
        </w:tc>
        <w:tc>
          <w:tcPr>
            <w:tcW w:w="2594" w:type="dxa"/>
          </w:tcPr>
          <w:p>
            <w:pPr>
              <w:pStyle w:val="TableParagraph"/>
              <w:rPr>
                <w:rFonts w:ascii="Times New Roman"/>
                <w:sz w:val="20"/>
              </w:rPr>
            </w:pPr>
          </w:p>
        </w:tc>
        <w:tc>
          <w:tcPr>
            <w:tcW w:w="3971" w:type="dxa"/>
          </w:tcPr>
          <w:p>
            <w:pPr>
              <w:pStyle w:val="TableParagraph"/>
              <w:spacing w:before="109"/>
              <w:ind w:left="107"/>
              <w:rPr>
                <w:sz w:val="21"/>
              </w:rPr>
            </w:pPr>
            <w:r>
              <w:rPr>
                <w:sz w:val="21"/>
              </w:rPr>
              <w:t>合同管理难度一般较大，造成招标发包工</w:t>
            </w:r>
          </w:p>
          <w:p>
            <w:pPr>
              <w:pStyle w:val="TableParagraph"/>
              <w:spacing w:before="132"/>
              <w:ind w:left="107"/>
              <w:rPr>
                <w:sz w:val="21"/>
              </w:rPr>
            </w:pPr>
            <w:r>
              <w:rPr>
                <w:sz w:val="21"/>
              </w:rPr>
              <w:t>作难度大</w:t>
            </w:r>
          </w:p>
        </w:tc>
      </w:tr>
      <w:tr>
        <w:tblPrEx>
          <w:tblW w:w="0" w:type="auto"/>
          <w:tblInd w:w="117" w:type="dxa"/>
          <w:tblLayout w:type="fixed"/>
          <w:tblCellMar>
            <w:top w:w="0" w:type="dxa"/>
            <w:left w:w="0" w:type="dxa"/>
            <w:bottom w:w="0" w:type="dxa"/>
            <w:right w:w="0" w:type="dxa"/>
          </w:tblCellMar>
        </w:tblPrEx>
        <w:trPr>
          <w:trHeight w:val="800"/>
        </w:trPr>
        <w:tc>
          <w:tcPr>
            <w:tcW w:w="593" w:type="dxa"/>
            <w:vMerge/>
            <w:tcBorders>
              <w:top w:val="nil"/>
            </w:tcBorders>
          </w:tcPr>
          <w:p>
            <w:pPr>
              <w:rPr>
                <w:sz w:val="2"/>
                <w:szCs w:val="2"/>
              </w:rPr>
            </w:pPr>
          </w:p>
        </w:tc>
        <w:tc>
          <w:tcPr>
            <w:tcW w:w="2804" w:type="dxa"/>
          </w:tcPr>
          <w:p>
            <w:pPr>
              <w:pStyle w:val="TableParagraph"/>
              <w:rPr>
                <w:rFonts w:ascii="Times New Roman"/>
                <w:sz w:val="20"/>
              </w:rPr>
            </w:pPr>
          </w:p>
        </w:tc>
        <w:tc>
          <w:tcPr>
            <w:tcW w:w="2594" w:type="dxa"/>
          </w:tcPr>
          <w:p>
            <w:pPr>
              <w:pStyle w:val="TableParagraph"/>
              <w:rPr>
                <w:rFonts w:ascii="Times New Roman"/>
                <w:sz w:val="20"/>
              </w:rPr>
            </w:pPr>
          </w:p>
        </w:tc>
        <w:tc>
          <w:tcPr>
            <w:tcW w:w="3971" w:type="dxa"/>
          </w:tcPr>
          <w:p>
            <w:pPr>
              <w:pStyle w:val="TableParagraph"/>
              <w:spacing w:line="398" w:lineRule="exact"/>
              <w:ind w:left="107" w:right="100"/>
              <w:rPr>
                <w:sz w:val="21"/>
              </w:rPr>
            </w:pPr>
            <w:r>
              <w:rPr>
                <w:spacing w:val="10"/>
                <w:w w:val="95"/>
                <w:sz w:val="21"/>
              </w:rPr>
              <w:t>建设单位择优选择工程总承包单位的范</w:t>
            </w:r>
            <w:r>
              <w:rPr>
                <w:sz w:val="21"/>
              </w:rPr>
              <w:t>围小</w:t>
            </w:r>
          </w:p>
        </w:tc>
      </w:tr>
    </w:tbl>
    <w:p>
      <w:pPr>
        <w:pStyle w:val="BodyText"/>
        <w:spacing w:before="109"/>
      </w:pPr>
      <w:r>
        <w:rPr>
          <w:spacing w:val="-3"/>
        </w:rPr>
        <w:t>【考点来源】第六章 建设工程监理组织 第一节 建设工程监理委托方式及实施程序</w:t>
      </w:r>
    </w:p>
    <w:p>
      <w:pPr>
        <w:pStyle w:val="BodyText"/>
        <w:ind w:left="0"/>
        <w:rPr>
          <w:sz w:val="20"/>
        </w:rPr>
      </w:pPr>
    </w:p>
    <w:p>
      <w:pPr>
        <w:pStyle w:val="BodyText"/>
        <w:spacing w:before="7"/>
        <w:ind w:left="0"/>
      </w:pPr>
    </w:p>
    <w:p>
      <w:pPr>
        <w:pStyle w:val="ListParagraph"/>
        <w:numPr>
          <w:ilvl w:val="0"/>
          <w:numId w:val="6"/>
        </w:numPr>
        <w:tabs>
          <w:tab w:val="left" w:pos="537"/>
        </w:tabs>
        <w:spacing w:before="0" w:after="0" w:line="355" w:lineRule="auto"/>
        <w:ind w:left="220" w:right="831" w:firstLine="0"/>
        <w:jc w:val="left"/>
        <w:rPr>
          <w:sz w:val="21"/>
        </w:rPr>
      </w:pPr>
      <w:r>
        <w:rPr>
          <w:spacing w:val="2"/>
          <w:w w:val="95"/>
          <w:sz w:val="21"/>
        </w:rPr>
        <w:t>根据项目管理知识体系 (</w:t>
      </w:r>
      <w:r>
        <w:rPr>
          <w:w w:val="95"/>
          <w:sz w:val="21"/>
        </w:rPr>
        <w:t>PMBOK</w:t>
      </w:r>
      <w:r>
        <w:rPr>
          <w:spacing w:val="3"/>
          <w:w w:val="95"/>
          <w:sz w:val="21"/>
        </w:rPr>
        <w:t xml:space="preserve">)(第 </w:t>
      </w:r>
      <w:r>
        <w:rPr>
          <w:w w:val="95"/>
          <w:sz w:val="21"/>
        </w:rPr>
        <w:t>7</w:t>
      </w:r>
      <w:r>
        <w:rPr>
          <w:spacing w:val="7"/>
          <w:w w:val="95"/>
          <w:sz w:val="21"/>
        </w:rPr>
        <w:t xml:space="preserve"> 版</w:t>
      </w:r>
      <w:r>
        <w:rPr>
          <w:w w:val="95"/>
          <w:sz w:val="21"/>
        </w:rPr>
        <w:t>），下列项目管理要素中，属于项目绩效域的是</w:t>
      </w:r>
      <w:r>
        <w:rPr>
          <w:spacing w:val="129"/>
          <w:sz w:val="21"/>
        </w:rPr>
        <w:t xml:space="preserve"> </w:t>
      </w:r>
      <w:r>
        <w:rPr>
          <w:w w:val="95"/>
          <w:sz w:val="21"/>
        </w:rPr>
        <w:t>（）。</w:t>
      </w:r>
      <w:r>
        <w:rPr>
          <w:sz w:val="21"/>
        </w:rPr>
        <w:t>A.开发方法和生命周期</w:t>
      </w:r>
    </w:p>
    <w:p>
      <w:pPr>
        <w:pStyle w:val="BodyText"/>
        <w:spacing w:before="3"/>
      </w:pPr>
      <w:r>
        <w:t>B.优化风险应对</w:t>
      </w:r>
    </w:p>
    <w:p>
      <w:pPr>
        <w:pStyle w:val="BodyText"/>
        <w:spacing w:before="132" w:line="355" w:lineRule="auto"/>
        <w:ind w:right="7499"/>
      </w:pPr>
      <w:r>
        <w:rPr>
          <w:w w:val="95"/>
        </w:rPr>
        <w:t>C 创建协作的项目团队环境</w:t>
      </w:r>
      <w:r>
        <w:t>D.展现领导力行为</w:t>
      </w:r>
    </w:p>
    <w:p>
      <w:pPr>
        <w:pStyle w:val="BodyText"/>
        <w:spacing w:before="3"/>
      </w:pPr>
      <w:r>
        <w:t>【答案】A</w:t>
      </w:r>
    </w:p>
    <w:p>
      <w:pPr>
        <w:pStyle w:val="BodyText"/>
        <w:spacing w:before="131"/>
      </w:pPr>
      <w:r>
        <w:t>【解析】</w:t>
      </w:r>
    </w:p>
    <w:p>
      <w:pPr>
        <w:spacing w:after="0"/>
        <w:sectPr>
          <w:pgSz w:w="11910" w:h="16840"/>
          <w:pgMar w:top="1920" w:right="860" w:bottom="280" w:left="860" w:header="1632" w:footer="0" w:gutter="0"/>
          <w:pgNumType w:start="8"/>
          <w:cols w:space="708"/>
        </w:sectPr>
      </w:pPr>
    </w:p>
    <w:p>
      <w:pPr>
        <w:pStyle w:val="BodyText"/>
        <w:ind w:left="0"/>
        <w:rPr>
          <w:sz w:val="20"/>
        </w:rPr>
      </w:pPr>
    </w:p>
    <w:p>
      <w:pPr>
        <w:pStyle w:val="BodyText"/>
        <w:spacing w:before="7"/>
        <w:ind w:left="0"/>
        <w:rPr>
          <w:sz w:val="17"/>
        </w:rPr>
      </w:pPr>
    </w:p>
    <w:p>
      <w:pPr>
        <w:spacing w:before="70" w:line="357" w:lineRule="auto"/>
        <w:ind w:left="220" w:right="224" w:firstLine="420"/>
        <w:jc w:val="both"/>
        <w:rPr>
          <w:b/>
          <w:sz w:val="21"/>
        </w:rPr>
      </w:pPr>
      <w:r>
        <w:rPr>
          <w:b/>
          <w:spacing w:val="7"/>
          <w:w w:val="95"/>
          <w:sz w:val="21"/>
        </w:rPr>
        <w:t xml:space="preserve">最新发布的 </w:t>
      </w:r>
      <w:r>
        <w:rPr>
          <w:b/>
          <w:w w:val="95"/>
          <w:sz w:val="21"/>
        </w:rPr>
        <w:t>PMBOK</w:t>
      </w:r>
      <w:r>
        <w:rPr>
          <w:b/>
          <w:spacing w:val="3"/>
          <w:w w:val="95"/>
          <w:sz w:val="21"/>
        </w:rPr>
        <w:t xml:space="preserve"> 提出的项目交付原则有 </w:t>
      </w:r>
      <w:r>
        <w:rPr>
          <w:b/>
          <w:w w:val="95"/>
          <w:sz w:val="21"/>
        </w:rPr>
        <w:t>12 项：①成为勤勉、尊重和关心他人的管家；②创建协作的项目团队环境；③有效的利益相关者参与；④展现领导力行为；⑤识别、评估和响应系统交互；⑥拥抱适</w:t>
      </w:r>
      <w:r>
        <w:rPr>
          <w:b/>
          <w:spacing w:val="228"/>
          <w:sz w:val="21"/>
        </w:rPr>
        <w:t xml:space="preserve"> </w:t>
      </w:r>
      <w:r>
        <w:rPr>
          <w:b/>
          <w:w w:val="95"/>
          <w:sz w:val="21"/>
        </w:rPr>
        <w:t>应性和韧性；⑦驾驭复杂性；⑧优化风险应对；⑨根据环境进行裁剪；⑩将质量融入到过程和可交付成果</w:t>
      </w:r>
      <w:r>
        <w:rPr>
          <w:b/>
          <w:spacing w:val="217"/>
          <w:sz w:val="21"/>
        </w:rPr>
        <w:t xml:space="preserve"> </w:t>
      </w:r>
      <w:r>
        <w:rPr>
          <w:b/>
          <w:sz w:val="21"/>
        </w:rPr>
        <w:t>中；⑾聚集价值；⑿为实现预期的未来状态而驱动变革。</w:t>
      </w:r>
    </w:p>
    <w:p>
      <w:pPr>
        <w:spacing w:before="0" w:line="357" w:lineRule="auto"/>
        <w:ind w:left="220" w:right="222" w:firstLine="420"/>
        <w:jc w:val="both"/>
        <w:rPr>
          <w:b/>
          <w:sz w:val="21"/>
        </w:rPr>
      </w:pPr>
      <w:r>
        <w:rPr>
          <w:b/>
          <w:spacing w:val="10"/>
          <w:w w:val="95"/>
          <w:sz w:val="21"/>
        </w:rPr>
        <w:t xml:space="preserve">最新发布的 </w:t>
      </w:r>
      <w:r>
        <w:rPr>
          <w:b/>
          <w:w w:val="95"/>
          <w:sz w:val="21"/>
        </w:rPr>
        <w:t>PMBOK</w:t>
      </w:r>
      <w:r>
        <w:rPr>
          <w:b/>
          <w:spacing w:val="155"/>
          <w:sz w:val="21"/>
        </w:rPr>
        <w:t xml:space="preserve"> </w:t>
      </w:r>
      <w:r>
        <w:rPr>
          <w:b/>
          <w:w w:val="95"/>
          <w:sz w:val="21"/>
        </w:rPr>
        <w:t>提出了一组对有效交付项目成果至关重要的相关活动，称为项目绩效域：①利益相</w:t>
      </w:r>
      <w:r>
        <w:rPr>
          <w:b/>
          <w:sz w:val="21"/>
        </w:rPr>
        <w:t>关者；②团队；③开发方法和生命周期；④规划；⑤项目工作；⑥交付；⑦测量；⑧不确定性。</w:t>
      </w:r>
    </w:p>
    <w:p>
      <w:pPr>
        <w:pStyle w:val="BodyText"/>
        <w:spacing w:line="266" w:lineRule="exact"/>
        <w:jc w:val="both"/>
      </w:pPr>
      <w:r>
        <w:rPr>
          <w:spacing w:val="-3"/>
        </w:rPr>
        <w:t>【考点来源】第十章 项目管理服务 第一节 项目管理知识体系</w:t>
      </w:r>
    </w:p>
    <w:p>
      <w:pPr>
        <w:pStyle w:val="BodyText"/>
        <w:ind w:left="0"/>
        <w:rPr>
          <w:sz w:val="20"/>
        </w:rPr>
      </w:pPr>
    </w:p>
    <w:p>
      <w:pPr>
        <w:pStyle w:val="BodyText"/>
        <w:spacing w:before="4"/>
        <w:ind w:left="0"/>
      </w:pPr>
    </w:p>
    <w:p>
      <w:pPr>
        <w:pStyle w:val="ListParagraph"/>
        <w:numPr>
          <w:ilvl w:val="0"/>
          <w:numId w:val="6"/>
        </w:numPr>
        <w:tabs>
          <w:tab w:val="left" w:pos="537"/>
        </w:tabs>
        <w:spacing w:before="0" w:after="0" w:line="355" w:lineRule="auto"/>
        <w:ind w:left="220" w:right="3353" w:firstLine="0"/>
        <w:jc w:val="left"/>
        <w:rPr>
          <w:sz w:val="21"/>
        </w:rPr>
      </w:pPr>
      <w:r>
        <w:rPr>
          <w:w w:val="95"/>
          <w:sz w:val="21"/>
        </w:rPr>
        <w:t>根据《建设工程质量管理条例》列建设工程中，必须实行监理的是。</w:t>
      </w:r>
      <w:r>
        <w:rPr>
          <w:spacing w:val="7"/>
          <w:w w:val="95"/>
          <w:sz w:val="21"/>
        </w:rPr>
        <w:t xml:space="preserve"> </w:t>
      </w:r>
      <w:r>
        <w:rPr>
          <w:sz w:val="21"/>
        </w:rPr>
        <w:t>A.国有资金控股的工程</w:t>
      </w:r>
    </w:p>
    <w:p>
      <w:pPr>
        <w:pStyle w:val="BodyText"/>
        <w:spacing w:before="3"/>
      </w:pPr>
      <w:r>
        <w:t>B.基础设施工程</w:t>
      </w:r>
    </w:p>
    <w:p>
      <w:pPr>
        <w:pStyle w:val="BodyText"/>
        <w:spacing w:before="132" w:line="355" w:lineRule="auto"/>
        <w:ind w:right="7446"/>
      </w:pPr>
      <w:r>
        <w:rPr>
          <w:spacing w:val="-1"/>
        </w:rPr>
        <w:t>C.利用国际组织货款的工程</w:t>
      </w:r>
      <w:r>
        <w:rPr>
          <w:w w:val="95"/>
        </w:rPr>
        <w:t>D</w:t>
      </w:r>
      <w:r>
        <w:rPr>
          <w:spacing w:val="-8"/>
          <w:w w:val="95"/>
        </w:rPr>
        <w:t xml:space="preserve"> 公共设施工程</w:t>
      </w:r>
    </w:p>
    <w:p>
      <w:pPr>
        <w:pStyle w:val="BodyText"/>
        <w:spacing w:before="3"/>
      </w:pPr>
      <w:r>
        <w:t>【答案】C</w:t>
      </w:r>
    </w:p>
    <w:p>
      <w:pPr>
        <w:pStyle w:val="BodyText"/>
        <w:spacing w:before="131"/>
      </w:pPr>
      <w:r>
        <w:t>【解析】</w:t>
      </w:r>
    </w:p>
    <w:p>
      <w:pPr>
        <w:spacing w:before="130"/>
        <w:ind w:left="640" w:right="0" w:firstLine="0"/>
        <w:jc w:val="left"/>
        <w:rPr>
          <w:b/>
          <w:sz w:val="21"/>
        </w:rPr>
      </w:pPr>
      <w:r>
        <w:rPr>
          <w:b/>
          <w:sz w:val="21"/>
        </w:rPr>
        <w:t>⒈明确了强制实施监理的工程范围</w:t>
      </w:r>
    </w:p>
    <w:p>
      <w:pPr>
        <w:pStyle w:val="BodyText"/>
        <w:spacing w:before="132"/>
        <w:ind w:left="640"/>
      </w:pPr>
      <w:r>
        <w:t>《建筑法》《建设工程质量管理条例》</w:t>
      </w:r>
    </w:p>
    <w:p>
      <w:pPr>
        <w:pStyle w:val="BodyText"/>
        <w:spacing w:before="131"/>
        <w:ind w:left="640"/>
      </w:pPr>
      <w:r>
        <w:t>《建设工程监理范围和规模标准规定》又进一步细化了必须实行监理的工程范围和规模标准：</w:t>
      </w:r>
    </w:p>
    <w:p>
      <w:pPr>
        <w:pStyle w:val="BodyText"/>
        <w:spacing w:before="130"/>
        <w:ind w:left="640"/>
      </w:pPr>
      <w:r>
        <w:rPr>
          <w:w w:val="95"/>
        </w:rPr>
        <w:t>⑴国家重点建设工程。</w:t>
      </w:r>
    </w:p>
    <w:p>
      <w:pPr>
        <w:pStyle w:val="BodyText"/>
        <w:spacing w:before="131" w:line="357" w:lineRule="auto"/>
        <w:ind w:right="220" w:firstLine="420"/>
        <w:jc w:val="both"/>
      </w:pPr>
      <w:r>
        <w:rPr>
          <w:w w:val="95"/>
        </w:rPr>
        <w:t>⑵大中型公用事业工程。是指项目总投资额在</w:t>
      </w:r>
      <w:r>
        <w:rPr>
          <w:b/>
          <w:w w:val="95"/>
        </w:rPr>
        <w:t>3000万元以上</w:t>
      </w:r>
      <w:r>
        <w:rPr>
          <w:w w:val="95"/>
        </w:rPr>
        <w:t>的下列工程项目：①供水、供电、供气、</w:t>
      </w:r>
      <w:r>
        <w:rPr>
          <w:spacing w:val="242"/>
        </w:rPr>
        <w:t xml:space="preserve"> </w:t>
      </w:r>
      <w:r>
        <w:rPr>
          <w:w w:val="95"/>
        </w:rPr>
        <w:t>供热等市政工程项目；②科技、教育、文化等项目；③体育、旅游、商业等项目；④卫生、社会福利等项</w:t>
      </w:r>
      <w:r>
        <w:rPr>
          <w:spacing w:val="259"/>
        </w:rPr>
        <w:t xml:space="preserve"> </w:t>
      </w:r>
      <w:r>
        <w:t>目；⑤其他公用事业项目。</w:t>
      </w:r>
    </w:p>
    <w:p>
      <w:pPr>
        <w:pStyle w:val="BodyText"/>
        <w:spacing w:line="357" w:lineRule="auto"/>
        <w:ind w:right="220" w:firstLine="420"/>
      </w:pPr>
      <w:r>
        <w:rPr>
          <w:spacing w:val="2"/>
          <w:w w:val="99"/>
        </w:rPr>
        <w:t>⑶成片开发建设的住宅小区工程。建筑面积在</w:t>
      </w:r>
      <w:r>
        <w:rPr>
          <w:b/>
          <w:spacing w:val="3"/>
          <w:w w:val="98"/>
        </w:rPr>
        <w:t>5</w:t>
      </w:r>
      <w:r>
        <w:rPr>
          <w:b/>
          <w:spacing w:val="2"/>
          <w:w w:val="99"/>
        </w:rPr>
        <w:t>万</w:t>
      </w:r>
      <w:r>
        <w:rPr>
          <w:b/>
          <w:spacing w:val="1"/>
          <w:w w:val="98"/>
        </w:rPr>
        <w:t>m</w:t>
      </w:r>
      <w:r>
        <w:rPr>
          <w:b/>
          <w:spacing w:val="2"/>
          <w:w w:val="105"/>
          <w:position w:val="11"/>
          <w:sz w:val="10"/>
        </w:rPr>
        <w:t>2</w:t>
      </w:r>
      <w:r>
        <w:rPr>
          <w:b/>
          <w:spacing w:val="3"/>
          <w:w w:val="99"/>
        </w:rPr>
        <w:t>以上</w:t>
      </w:r>
      <w:r>
        <w:rPr>
          <w:spacing w:val="2"/>
          <w:w w:val="99"/>
        </w:rPr>
        <w:t>的住宅建设工程</w:t>
      </w:r>
      <w:r>
        <w:rPr>
          <w:b/>
          <w:spacing w:val="3"/>
          <w:w w:val="99"/>
        </w:rPr>
        <w:t>必须</w:t>
      </w:r>
      <w:r>
        <w:rPr>
          <w:spacing w:val="1"/>
          <w:w w:val="99"/>
        </w:rPr>
        <w:t>实行监理;</w:t>
      </w:r>
      <w:r>
        <w:rPr>
          <w:spacing w:val="3"/>
          <w:w w:val="99"/>
        </w:rPr>
        <w:t>5</w:t>
      </w:r>
      <w:r>
        <w:rPr>
          <w:spacing w:val="2"/>
          <w:w w:val="99"/>
        </w:rPr>
        <w:t>万</w:t>
      </w:r>
      <w:r>
        <w:rPr>
          <w:spacing w:val="1"/>
          <w:w w:val="99"/>
        </w:rPr>
        <w:t>m</w:t>
      </w:r>
      <w:r>
        <w:rPr>
          <w:spacing w:val="-1"/>
          <w:w w:val="106"/>
          <w:position w:val="11"/>
          <w:sz w:val="10"/>
        </w:rPr>
        <w:t>2</w:t>
      </w:r>
      <w:r>
        <w:rPr>
          <w:spacing w:val="1"/>
          <w:w w:val="99"/>
        </w:rPr>
        <w:t>以下的住</w:t>
      </w:r>
      <w:r>
        <w:t>宅建设工程，可以</w:t>
      </w:r>
      <w:r>
        <w:rPr>
          <w:b/>
        </w:rPr>
        <w:t>实行</w:t>
      </w:r>
      <w:r>
        <w:t>监理。</w:t>
      </w:r>
    </w:p>
    <w:p>
      <w:pPr>
        <w:pStyle w:val="BodyText"/>
        <w:spacing w:line="266" w:lineRule="exact"/>
        <w:ind w:left="640"/>
      </w:pPr>
      <w:r>
        <w:t>⑷利用外国政府或者国际组织贷款、援助资金的工程。</w:t>
      </w:r>
    </w:p>
    <w:p>
      <w:pPr>
        <w:pStyle w:val="BodyText"/>
        <w:spacing w:before="129"/>
        <w:ind w:left="640"/>
      </w:pPr>
      <w:r>
        <w:t>⑸国家规定必须实行监理的其他工程。是指：</w:t>
      </w:r>
    </w:p>
    <w:p>
      <w:pPr>
        <w:pStyle w:val="ListParagraph"/>
        <w:numPr>
          <w:ilvl w:val="0"/>
          <w:numId w:val="7"/>
        </w:numPr>
        <w:tabs>
          <w:tab w:val="left" w:pos="852"/>
        </w:tabs>
        <w:spacing w:before="132" w:after="0" w:line="357" w:lineRule="auto"/>
        <w:ind w:left="220" w:right="115" w:firstLine="420"/>
        <w:jc w:val="left"/>
        <w:rPr>
          <w:sz w:val="19"/>
        </w:rPr>
      </w:pPr>
      <w:r>
        <w:rPr>
          <w:sz w:val="21"/>
        </w:rPr>
        <w:t>项目总投资额在</w:t>
      </w:r>
      <w:r>
        <w:rPr>
          <w:b/>
          <w:sz w:val="21"/>
        </w:rPr>
        <w:t>3000万元以上</w:t>
      </w:r>
      <w:r>
        <w:rPr>
          <w:sz w:val="21"/>
        </w:rPr>
        <w:t>关系社会公共利益、公众安全的下列基础设施项目：①煤炭、石油、化工、天然气、电力、</w:t>
      </w:r>
      <w:r>
        <w:rPr>
          <w:b/>
          <w:sz w:val="21"/>
        </w:rPr>
        <w:t>新能源</w:t>
      </w:r>
      <w:r>
        <w:rPr>
          <w:sz w:val="21"/>
        </w:rPr>
        <w:t>等项目；②</w:t>
      </w:r>
      <w:r>
        <w:rPr>
          <w:b/>
          <w:sz w:val="21"/>
        </w:rPr>
        <w:t>铁路、公路</w:t>
      </w:r>
      <w:r>
        <w:rPr>
          <w:sz w:val="21"/>
        </w:rPr>
        <w:t>、管道、水运、民航以及其他</w:t>
      </w:r>
      <w:r>
        <w:rPr>
          <w:b/>
          <w:sz w:val="21"/>
        </w:rPr>
        <w:t>交通运输业</w:t>
      </w:r>
      <w:r>
        <w:rPr>
          <w:sz w:val="21"/>
        </w:rPr>
        <w:t>等项目；③</w:t>
      </w:r>
      <w:r>
        <w:rPr>
          <w:spacing w:val="1"/>
          <w:sz w:val="21"/>
        </w:rPr>
        <w:t xml:space="preserve"> </w:t>
      </w:r>
      <w:r>
        <w:rPr>
          <w:sz w:val="21"/>
        </w:rPr>
        <w:t>邮政、电信枢纽、通信、信息网络等项目；④防洪、灌溉、排涝、发电、引(供)水、滩涂治理、水资源保</w:t>
      </w:r>
      <w:r>
        <w:rPr>
          <w:w w:val="95"/>
          <w:sz w:val="21"/>
        </w:rPr>
        <w:t>护、水土保持等</w:t>
      </w:r>
      <w:r>
        <w:rPr>
          <w:b/>
          <w:w w:val="95"/>
          <w:sz w:val="21"/>
        </w:rPr>
        <w:t>水利建设项目</w:t>
      </w:r>
      <w:r>
        <w:rPr>
          <w:w w:val="95"/>
          <w:sz w:val="21"/>
        </w:rPr>
        <w:t>；⑤道路、桥梁、地铁和轻轨交通、</w:t>
      </w:r>
      <w:r>
        <w:rPr>
          <w:b/>
          <w:w w:val="95"/>
          <w:sz w:val="21"/>
        </w:rPr>
        <w:t>污水排放及处理、垃圾处理、地下管道、</w:t>
      </w:r>
      <w:r>
        <w:rPr>
          <w:b/>
          <w:spacing w:val="144"/>
          <w:sz w:val="21"/>
        </w:rPr>
        <w:t xml:space="preserve"> </w:t>
      </w:r>
      <w:r>
        <w:rPr>
          <w:b/>
          <w:sz w:val="21"/>
        </w:rPr>
        <w:t>公共停车场</w:t>
      </w:r>
      <w:r>
        <w:rPr>
          <w:sz w:val="21"/>
        </w:rPr>
        <w:t>等城市基础设施项目；⑥生态环境保护项目；⑦其他基础设施项目。</w:t>
      </w:r>
    </w:p>
    <w:p>
      <w:pPr>
        <w:spacing w:after="0" w:line="357" w:lineRule="auto"/>
        <w:jc w:val="left"/>
        <w:rPr>
          <w:sz w:val="19"/>
        </w:rPr>
        <w:sectPr>
          <w:pgSz w:w="11910" w:h="16840"/>
          <w:pgMar w:top="1820" w:right="860" w:bottom="280" w:left="860" w:header="1620" w:footer="0" w:gutter="0"/>
          <w:pgNumType w:start="9"/>
          <w:cols w:space="708"/>
        </w:sectPr>
      </w:pPr>
    </w:p>
    <w:p>
      <w:pPr>
        <w:pStyle w:val="BodyText"/>
        <w:ind w:left="0"/>
        <w:rPr>
          <w:sz w:val="20"/>
        </w:rPr>
      </w:pPr>
    </w:p>
    <w:p>
      <w:pPr>
        <w:pStyle w:val="BodyText"/>
        <w:ind w:left="0"/>
        <w:rPr>
          <w:sz w:val="16"/>
        </w:rPr>
      </w:pPr>
    </w:p>
    <w:p>
      <w:pPr>
        <w:pStyle w:val="ListParagraph"/>
        <w:numPr>
          <w:ilvl w:val="0"/>
          <w:numId w:val="7"/>
        </w:numPr>
        <w:tabs>
          <w:tab w:val="left" w:pos="854"/>
        </w:tabs>
        <w:spacing w:before="0" w:after="0" w:line="240" w:lineRule="auto"/>
        <w:ind w:left="853" w:right="0" w:hanging="214"/>
        <w:jc w:val="left"/>
        <w:rPr>
          <w:b/>
          <w:sz w:val="19"/>
        </w:rPr>
      </w:pPr>
      <w:r>
        <w:rPr>
          <w:b/>
          <w:sz w:val="21"/>
        </w:rPr>
        <w:t>学校、影剧院、体育场馆项目。</w:t>
      </w:r>
    </w:p>
    <w:p>
      <w:pPr>
        <w:pStyle w:val="BodyText"/>
        <w:spacing w:before="132"/>
      </w:pPr>
      <w:r>
        <w:rPr>
          <w:spacing w:val="-3"/>
        </w:rPr>
        <w:t>【考点来源】第一章 建设工程监理制度 第一节 建设工程监理性质和法律地位</w:t>
      </w:r>
    </w:p>
    <w:p>
      <w:pPr>
        <w:pStyle w:val="BodyText"/>
        <w:ind w:left="0"/>
        <w:rPr>
          <w:sz w:val="20"/>
        </w:rPr>
      </w:pPr>
    </w:p>
    <w:p>
      <w:pPr>
        <w:pStyle w:val="BodyText"/>
        <w:spacing w:before="4"/>
        <w:ind w:left="0"/>
      </w:pPr>
    </w:p>
    <w:p>
      <w:pPr>
        <w:pStyle w:val="BodyText"/>
        <w:spacing w:line="357" w:lineRule="auto"/>
        <w:ind w:right="519"/>
      </w:pPr>
      <w:r>
        <w:rPr>
          <w:w w:val="95"/>
        </w:rPr>
        <w:t>17、根据《建设工程企业资质管理制度改革方案》，关于工程监理企业综合资质说法，正确的是（）。</w:t>
      </w:r>
      <w:r>
        <w:rPr>
          <w:spacing w:val="159"/>
        </w:rPr>
        <w:t xml:space="preserve"> </w:t>
      </w:r>
      <w:r>
        <w:t>A.分为一级和二级</w:t>
      </w:r>
    </w:p>
    <w:p>
      <w:pPr>
        <w:pStyle w:val="BodyText"/>
        <w:spacing w:line="355" w:lineRule="auto"/>
        <w:ind w:right="7657"/>
      </w:pPr>
      <w:r>
        <w:rPr>
          <w:spacing w:val="-1"/>
        </w:rPr>
        <w:t>B.分为甲级、乙级和专项</w:t>
      </w:r>
      <w:r>
        <w:t>C.不分等级</w:t>
      </w:r>
    </w:p>
    <w:p>
      <w:pPr>
        <w:pStyle w:val="BodyText"/>
        <w:spacing w:before="3"/>
      </w:pPr>
      <w:r>
        <w:t>D.分为甲级、乙级和丙级</w:t>
      </w:r>
    </w:p>
    <w:p>
      <w:pPr>
        <w:pStyle w:val="BodyText"/>
        <w:spacing w:before="132"/>
      </w:pPr>
      <w:r>
        <w:t>【答案】C</w:t>
      </w:r>
    </w:p>
    <w:p>
      <w:pPr>
        <w:pStyle w:val="BodyText"/>
        <w:spacing w:before="129"/>
      </w:pPr>
      <w:r>
        <w:t>【解析】</w:t>
      </w:r>
    </w:p>
    <w:p>
      <w:pPr>
        <w:pStyle w:val="BodyText"/>
        <w:spacing w:before="132"/>
        <w:ind w:left="640"/>
      </w:pPr>
      <w:r>
        <w:pict>
          <v:shapetype id="_x0000_t202" coordsize="21600,21600" o:spt="202" path="m,l,21600r21600,l21600,xe">
            <v:stroke joinstyle="miter"/>
            <v:path gradientshapeok="t" o:connecttype="rect"/>
          </v:shapetype>
          <v:shape id="docshape6" o:spid="_x0000_s1025" type="#_x0000_t202" style="width:222.15pt;height:62pt;margin-top:21.1pt;margin-left:186.7pt;mso-height-relative:page;mso-position-horizontal-relative:page;mso-width-relative:page;position:absolute;z-index:251658240"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896"/>
                    <w:gridCol w:w="1056"/>
                    <w:gridCol w:w="1476"/>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00"/>
                    </w:trPr>
                    <w:tc>
                      <w:tcPr>
                        <w:tcW w:w="1896" w:type="dxa"/>
                        <w:vMerge w:val="restart"/>
                      </w:tcPr>
                      <w:p>
                        <w:pPr>
                          <w:pStyle w:val="TableParagraph"/>
                          <w:rPr>
                            <w:sz w:val="20"/>
                          </w:rPr>
                        </w:pPr>
                      </w:p>
                      <w:p>
                        <w:pPr>
                          <w:pStyle w:val="TableParagraph"/>
                          <w:spacing w:before="8"/>
                          <w:rPr>
                            <w:sz w:val="20"/>
                          </w:rPr>
                        </w:pPr>
                      </w:p>
                      <w:p>
                        <w:pPr>
                          <w:pStyle w:val="TableParagraph"/>
                          <w:ind w:left="107"/>
                          <w:rPr>
                            <w:sz w:val="21"/>
                          </w:rPr>
                        </w:pPr>
                        <w:r>
                          <w:rPr>
                            <w:sz w:val="21"/>
                          </w:rPr>
                          <w:t>工程监理企业资质</w:t>
                        </w:r>
                      </w:p>
                    </w:tc>
                    <w:tc>
                      <w:tcPr>
                        <w:tcW w:w="1056" w:type="dxa"/>
                      </w:tcPr>
                      <w:p>
                        <w:pPr>
                          <w:pStyle w:val="TableParagraph"/>
                          <w:spacing w:before="110"/>
                          <w:ind w:left="107"/>
                          <w:rPr>
                            <w:sz w:val="21"/>
                          </w:rPr>
                        </w:pPr>
                        <w:r>
                          <w:rPr>
                            <w:sz w:val="21"/>
                          </w:rPr>
                          <w:t>综合资质</w:t>
                        </w:r>
                      </w:p>
                    </w:tc>
                    <w:tc>
                      <w:tcPr>
                        <w:tcW w:w="1476" w:type="dxa"/>
                      </w:tcPr>
                      <w:p>
                        <w:pPr>
                          <w:pStyle w:val="TableParagraph"/>
                          <w:spacing w:before="110"/>
                          <w:ind w:left="84" w:right="79"/>
                          <w:jc w:val="center"/>
                          <w:rPr>
                            <w:sz w:val="21"/>
                          </w:rPr>
                        </w:pPr>
                        <w:r>
                          <w:rPr>
                            <w:sz w:val="21"/>
                          </w:rPr>
                          <w:t>不分等级</w:t>
                        </w:r>
                      </w:p>
                    </w:tc>
                  </w:tr>
                  <w:tr>
                    <w:tblPrEx>
                      <w:tblW w:w="0" w:type="auto"/>
                      <w:tblInd w:w="5" w:type="dxa"/>
                      <w:tblLayout w:type="fixed"/>
                      <w:tblCellMar>
                        <w:top w:w="0" w:type="dxa"/>
                        <w:left w:w="0" w:type="dxa"/>
                        <w:bottom w:w="0" w:type="dxa"/>
                        <w:right w:w="0" w:type="dxa"/>
                      </w:tblCellMar>
                    </w:tblPrEx>
                    <w:trPr>
                      <w:trHeight w:val="400"/>
                    </w:trPr>
                    <w:tc>
                      <w:tcPr>
                        <w:tcW w:w="1896" w:type="dxa"/>
                        <w:vMerge/>
                        <w:tcBorders>
                          <w:top w:val="nil"/>
                        </w:tcBorders>
                      </w:tcPr>
                      <w:p>
                        <w:pPr>
                          <w:rPr>
                            <w:sz w:val="2"/>
                            <w:szCs w:val="2"/>
                          </w:rPr>
                        </w:pPr>
                      </w:p>
                    </w:tc>
                    <w:tc>
                      <w:tcPr>
                        <w:tcW w:w="1056" w:type="dxa"/>
                        <w:vMerge w:val="restart"/>
                      </w:tcPr>
                      <w:p>
                        <w:pPr>
                          <w:pStyle w:val="TableParagraph"/>
                          <w:spacing w:before="7"/>
                          <w:rPr>
                            <w:sz w:val="24"/>
                          </w:rPr>
                        </w:pPr>
                      </w:p>
                      <w:p>
                        <w:pPr>
                          <w:pStyle w:val="TableParagraph"/>
                          <w:ind w:left="107"/>
                          <w:rPr>
                            <w:sz w:val="21"/>
                          </w:rPr>
                        </w:pPr>
                        <w:r>
                          <w:rPr>
                            <w:sz w:val="21"/>
                          </w:rPr>
                          <w:t>专业资质</w:t>
                        </w:r>
                      </w:p>
                    </w:tc>
                    <w:tc>
                      <w:tcPr>
                        <w:tcW w:w="1476" w:type="dxa"/>
                      </w:tcPr>
                      <w:p>
                        <w:pPr>
                          <w:pStyle w:val="TableParagraph"/>
                          <w:spacing w:before="110"/>
                          <w:ind w:left="86" w:right="77"/>
                          <w:jc w:val="center"/>
                          <w:rPr>
                            <w:sz w:val="21"/>
                          </w:rPr>
                        </w:pPr>
                        <w:r>
                          <w:rPr>
                            <w:sz w:val="21"/>
                          </w:rPr>
                          <w:t>甲级、乙级</w:t>
                        </w:r>
                      </w:p>
                    </w:tc>
                  </w:tr>
                  <w:tr>
                    <w:tblPrEx>
                      <w:tblW w:w="0" w:type="auto"/>
                      <w:tblInd w:w="5" w:type="dxa"/>
                      <w:tblLayout w:type="fixed"/>
                      <w:tblCellMar>
                        <w:top w:w="0" w:type="dxa"/>
                        <w:left w:w="0" w:type="dxa"/>
                        <w:bottom w:w="0" w:type="dxa"/>
                        <w:right w:w="0" w:type="dxa"/>
                      </w:tblCellMar>
                    </w:tblPrEx>
                    <w:trPr>
                      <w:trHeight w:val="400"/>
                    </w:trPr>
                    <w:tc>
                      <w:tcPr>
                        <w:tcW w:w="1896" w:type="dxa"/>
                        <w:vMerge/>
                        <w:tcBorders>
                          <w:top w:val="nil"/>
                        </w:tcBorders>
                      </w:tcPr>
                      <w:p>
                        <w:pPr>
                          <w:rPr>
                            <w:sz w:val="2"/>
                            <w:szCs w:val="2"/>
                          </w:rPr>
                        </w:pPr>
                      </w:p>
                    </w:tc>
                    <w:tc>
                      <w:tcPr>
                        <w:tcW w:w="1056" w:type="dxa"/>
                        <w:vMerge/>
                        <w:tcBorders>
                          <w:top w:val="nil"/>
                        </w:tcBorders>
                      </w:tcPr>
                      <w:p>
                        <w:pPr>
                          <w:rPr>
                            <w:sz w:val="2"/>
                            <w:szCs w:val="2"/>
                          </w:rPr>
                        </w:pPr>
                      </w:p>
                    </w:tc>
                    <w:tc>
                      <w:tcPr>
                        <w:tcW w:w="1476" w:type="dxa"/>
                      </w:tcPr>
                      <w:p>
                        <w:pPr>
                          <w:pStyle w:val="TableParagraph"/>
                          <w:spacing w:before="111" w:line="269" w:lineRule="exact"/>
                          <w:ind w:left="86" w:right="79"/>
                          <w:jc w:val="center"/>
                          <w:rPr>
                            <w:sz w:val="21"/>
                          </w:rPr>
                        </w:pPr>
                        <w:r>
                          <w:rPr>
                            <w:sz w:val="21"/>
                          </w:rPr>
                          <w:t>10个工程类别</w:t>
                        </w:r>
                      </w:p>
                    </w:tc>
                  </w:tr>
                </w:tbl>
                <w:p>
                  <w:pPr>
                    <w:pStyle w:val="BodyText"/>
                    <w:ind w:left="0"/>
                  </w:pPr>
                </w:p>
              </w:txbxContent>
            </v:textbox>
          </v:shape>
        </w:pict>
      </w:r>
      <w:r>
        <w:t>㈠工程监理企业资质等级</w:t>
      </w:r>
    </w:p>
    <w:p>
      <w:pPr>
        <w:pStyle w:val="BodyText"/>
        <w:ind w:left="0"/>
        <w:rPr>
          <w:sz w:val="20"/>
        </w:rPr>
      </w:pPr>
    </w:p>
    <w:p>
      <w:pPr>
        <w:pStyle w:val="BodyText"/>
        <w:ind w:left="0"/>
        <w:rPr>
          <w:sz w:val="20"/>
        </w:rPr>
      </w:pPr>
    </w:p>
    <w:p>
      <w:pPr>
        <w:pStyle w:val="BodyText"/>
        <w:spacing w:before="6"/>
        <w:ind w:left="0"/>
        <w:rPr>
          <w:sz w:val="25"/>
        </w:rPr>
      </w:pPr>
    </w:p>
    <w:p>
      <w:pPr>
        <w:pStyle w:val="BodyText"/>
        <w:spacing w:line="800" w:lineRule="atLeast"/>
        <w:ind w:right="3353"/>
      </w:pPr>
      <w:r>
        <w:rPr>
          <w:spacing w:val="-3"/>
        </w:rPr>
        <w:t>【考点来源】第四章 工程监理企业与监理工程师 第一节 工程监理企业</w:t>
      </w:r>
      <w:r>
        <w:t>18.根据《建筑法》，关于建筑安全生产管理的说法，正确的是（）</w:t>
      </w:r>
    </w:p>
    <w:p>
      <w:pPr>
        <w:pStyle w:val="BodyText"/>
        <w:spacing w:before="131"/>
      </w:pPr>
      <w:r>
        <w:rPr>
          <w:w w:val="95"/>
        </w:rPr>
        <w:t>A</w:t>
      </w:r>
      <w:r>
        <w:rPr>
          <w:spacing w:val="158"/>
        </w:rPr>
        <w:t xml:space="preserve"> </w:t>
      </w:r>
      <w:r>
        <w:rPr>
          <w:w w:val="95"/>
        </w:rPr>
        <w:t>施工单位应提供与施工现场相关的地下管线资料报主管部门备案</w:t>
      </w:r>
    </w:p>
    <w:p>
      <w:pPr>
        <w:pStyle w:val="BodyText"/>
        <w:spacing w:before="132" w:line="357" w:lineRule="auto"/>
        <w:ind w:right="3459"/>
      </w:pPr>
      <w:r>
        <w:rPr>
          <w:w w:val="95"/>
        </w:rPr>
        <w:t>B.施工单位应负责办理临时占用规划批准范围以外场地的相关批准手续</w:t>
      </w:r>
      <w:r>
        <w:rPr>
          <w:spacing w:val="122"/>
        </w:rPr>
        <w:t xml:space="preserve"> </w:t>
      </w:r>
      <w:r>
        <w:rPr>
          <w:w w:val="95"/>
        </w:rPr>
        <w:t>C</w:t>
      </w:r>
      <w:r>
        <w:rPr>
          <w:spacing w:val="-6"/>
          <w:w w:val="95"/>
        </w:rPr>
        <w:t xml:space="preserve"> 施工分包单位应服从总承包单位对施工现场的安全生产管理</w:t>
      </w:r>
    </w:p>
    <w:p>
      <w:pPr>
        <w:pStyle w:val="BodyText"/>
        <w:spacing w:line="266" w:lineRule="exact"/>
      </w:pPr>
      <w:r>
        <w:t>D.施工单位应确保列入工程概算的安全施工措施费用于安全生产条件的改善</w:t>
      </w:r>
    </w:p>
    <w:p>
      <w:pPr>
        <w:pStyle w:val="BodyText"/>
        <w:spacing w:before="132"/>
      </w:pPr>
      <w:r>
        <w:rPr>
          <w:w w:val="95"/>
        </w:rPr>
        <w:t>【答案]C</w:t>
      </w:r>
    </w:p>
    <w:p>
      <w:pPr>
        <w:pStyle w:val="BodyText"/>
        <w:spacing w:before="131"/>
      </w:pPr>
      <w:r>
        <w:rPr>
          <w:w w:val="95"/>
        </w:rPr>
        <w:t>【解析】</w:t>
      </w:r>
    </w:p>
    <w:p>
      <w:pPr>
        <w:pStyle w:val="BodyText"/>
        <w:spacing w:before="130" w:line="357" w:lineRule="auto"/>
        <w:ind w:right="308" w:firstLine="420"/>
      </w:pPr>
      <w:r>
        <w:t>第四十条 建设单位应当向建筑施工企业提供与施工现场相关的地下管线资料，建筑施工企业应当采取措施加以保护。</w:t>
      </w:r>
    </w:p>
    <w:p>
      <w:pPr>
        <w:pStyle w:val="BodyText"/>
        <w:spacing w:line="269" w:lineRule="exact"/>
        <w:ind w:left="640"/>
      </w:pPr>
      <w:r>
        <w:rPr>
          <w:spacing w:val="2"/>
        </w:rPr>
        <w:t>第四十二条 有下列情形之一的，</w:t>
      </w:r>
      <w:r>
        <w:rPr>
          <w:b/>
        </w:rPr>
        <w:t>建设单位</w:t>
      </w:r>
      <w:r>
        <w:t>应当按照国家有关规定办理申请批准手续：</w:t>
      </w:r>
    </w:p>
    <w:p>
      <w:pPr>
        <w:pStyle w:val="BodyText"/>
        <w:spacing w:before="129"/>
        <w:ind w:left="640"/>
      </w:pPr>
      <w:r>
        <w:t>㈠需要临时占用规划批准范围以外场地的；</w:t>
      </w:r>
    </w:p>
    <w:p>
      <w:pPr>
        <w:pStyle w:val="BodyText"/>
        <w:spacing w:before="132"/>
        <w:ind w:left="640"/>
      </w:pPr>
      <w:r>
        <w:t>㈡可能损坏道路、管线、电力、邮电通讯等公共设施的；</w:t>
      </w:r>
    </w:p>
    <w:p>
      <w:pPr>
        <w:pStyle w:val="BodyText"/>
        <w:spacing w:before="131"/>
        <w:ind w:left="640"/>
      </w:pPr>
      <w:r>
        <w:t>㈢需要临时停水、停电、中断道路交通的；</w:t>
      </w:r>
    </w:p>
    <w:p>
      <w:pPr>
        <w:pStyle w:val="BodyText"/>
        <w:spacing w:before="130"/>
        <w:ind w:left="640"/>
      </w:pPr>
      <w:r>
        <w:t>㈣需要进行爆破作业的；</w:t>
      </w:r>
    </w:p>
    <w:p>
      <w:pPr>
        <w:pStyle w:val="BodyText"/>
        <w:spacing w:before="132"/>
        <w:ind w:left="640"/>
      </w:pPr>
      <w:r>
        <w:t>㈤法律、法规规定需要办理报批手续的其他情形。</w:t>
      </w:r>
    </w:p>
    <w:p>
      <w:pPr>
        <w:spacing w:after="0"/>
        <w:sectPr>
          <w:pgSz w:w="11910" w:h="16840"/>
          <w:pgMar w:top="1920" w:right="860" w:bottom="280" w:left="860" w:header="1632" w:footer="0" w:gutter="0"/>
          <w:pgNumType w:start="10"/>
          <w:cols w:space="708"/>
        </w:sectPr>
      </w:pPr>
    </w:p>
    <w:p>
      <w:pPr>
        <w:pStyle w:val="BodyText"/>
        <w:ind w:left="0"/>
        <w:rPr>
          <w:sz w:val="20"/>
        </w:rPr>
      </w:pPr>
    </w:p>
    <w:p>
      <w:pPr>
        <w:pStyle w:val="BodyText"/>
        <w:spacing w:before="7"/>
        <w:ind w:left="0"/>
        <w:rPr>
          <w:sz w:val="17"/>
        </w:rPr>
      </w:pPr>
    </w:p>
    <w:p>
      <w:pPr>
        <w:spacing w:before="70" w:line="357" w:lineRule="auto"/>
        <w:ind w:left="220" w:right="274" w:firstLine="420"/>
        <w:jc w:val="left"/>
        <w:rPr>
          <w:b/>
          <w:sz w:val="21"/>
        </w:rPr>
      </w:pPr>
      <w:r>
        <w:rPr>
          <w:b/>
          <w:sz w:val="21"/>
        </w:rPr>
        <w:t>第四十五条 施工现场安全由建筑施工企业负责。实行施工总承包的，由总承包单位负责。分包单位向总承包单位负责，服从总承包单位对施工现场的安全生产管理。</w:t>
      </w:r>
    </w:p>
    <w:p>
      <w:pPr>
        <w:pStyle w:val="BodyText"/>
        <w:spacing w:line="269" w:lineRule="exact"/>
      </w:pPr>
      <w:r>
        <w:rPr>
          <w:spacing w:val="-3"/>
        </w:rPr>
        <w:t>【考点来源】第三章 建设工程监理相关法律法规及标准 第一节 建设工程监理相关法律及行政法规</w:t>
      </w:r>
    </w:p>
    <w:p>
      <w:pPr>
        <w:pStyle w:val="BodyText"/>
        <w:ind w:left="0"/>
        <w:rPr>
          <w:sz w:val="20"/>
        </w:rPr>
      </w:pPr>
    </w:p>
    <w:p>
      <w:pPr>
        <w:pStyle w:val="BodyText"/>
        <w:spacing w:before="5"/>
        <w:ind w:left="0"/>
      </w:pPr>
    </w:p>
    <w:p>
      <w:pPr>
        <w:pStyle w:val="BodyText"/>
        <w:spacing w:line="357" w:lineRule="auto"/>
        <w:ind w:right="223"/>
      </w:pPr>
      <w:r>
        <w:rPr>
          <w:w w:val="95"/>
        </w:rPr>
        <w:t>19,根据</w:t>
      </w:r>
      <w:r>
        <w:rPr>
          <w:spacing w:val="136"/>
        </w:rPr>
        <w:t xml:space="preserve">  </w:t>
      </w:r>
      <w:r>
        <w:rPr>
          <w:w w:val="95"/>
        </w:rPr>
        <w:t>《建设工程质量管理条例》，建设单位有（）行为的，责令改正，处工程合同价款百分之二以上</w:t>
      </w:r>
      <w:r>
        <w:t>百分之四以下的罚款。</w:t>
      </w:r>
    </w:p>
    <w:p>
      <w:pPr>
        <w:pStyle w:val="BodyText"/>
        <w:spacing w:line="357" w:lineRule="auto"/>
        <w:ind w:right="7866"/>
      </w:pPr>
      <w:r>
        <w:t>A.任意压缩合理工期</w:t>
      </w:r>
      <w:r>
        <w:rPr>
          <w:spacing w:val="1"/>
        </w:rPr>
        <w:t xml:space="preserve"> </w:t>
      </w:r>
      <w:r>
        <w:rPr>
          <w:w w:val="95"/>
        </w:rPr>
        <w:t>B.将建设工程肢解发包</w:t>
      </w:r>
    </w:p>
    <w:p>
      <w:pPr>
        <w:pStyle w:val="BodyText"/>
        <w:spacing w:line="269" w:lineRule="exact"/>
      </w:pPr>
      <w:r>
        <w:t>C.迫使承包方以低于成本的价格竞标</w:t>
      </w:r>
    </w:p>
    <w:p>
      <w:pPr>
        <w:pStyle w:val="BodyText"/>
        <w:spacing w:before="127"/>
      </w:pPr>
      <w:r>
        <w:t>D.对不合格的建设工程按照合格工程验收</w:t>
      </w:r>
    </w:p>
    <w:p>
      <w:pPr>
        <w:pStyle w:val="BodyText"/>
        <w:spacing w:before="131"/>
      </w:pPr>
      <w:r>
        <w:t>【答案】D</w:t>
      </w:r>
    </w:p>
    <w:p>
      <w:pPr>
        <w:pStyle w:val="BodyText"/>
        <w:spacing w:before="132"/>
      </w:pPr>
      <w:r>
        <w:t>【解析】</w:t>
      </w:r>
    </w:p>
    <w:p>
      <w:pPr>
        <w:pStyle w:val="BodyText"/>
        <w:spacing w:before="129" w:line="357" w:lineRule="auto"/>
        <w:ind w:right="221" w:firstLine="420"/>
      </w:pPr>
      <w:r>
        <w:rPr>
          <w:w w:val="95"/>
        </w:rPr>
        <w:t>第五十五条</w:t>
      </w:r>
      <w:r>
        <w:rPr>
          <w:spacing w:val="268"/>
        </w:rPr>
        <w:t xml:space="preserve"> </w:t>
      </w:r>
      <w:r>
        <w:rPr>
          <w:w w:val="95"/>
        </w:rPr>
        <w:t>违反本条例规定，建设单位将建设工程肢解发包的，责令改正，处工程合同价款 0.5％以</w:t>
      </w:r>
      <w:r>
        <w:rPr>
          <w:spacing w:val="-7"/>
          <w:w w:val="95"/>
        </w:rPr>
        <w:t xml:space="preserve">上 </w:t>
      </w:r>
      <w:r>
        <w:rPr>
          <w:w w:val="95"/>
        </w:rPr>
        <w:t>1％以下的罚款；对全部或者部分使用国有资金的项目，并可以暂停项目执行或者暂停资金拨付。</w:t>
      </w:r>
    </w:p>
    <w:p>
      <w:pPr>
        <w:spacing w:before="0" w:line="355" w:lineRule="auto"/>
        <w:ind w:left="220" w:right="271" w:firstLine="420"/>
        <w:jc w:val="left"/>
        <w:rPr>
          <w:b/>
          <w:sz w:val="21"/>
        </w:rPr>
      </w:pPr>
      <w:r>
        <w:rPr>
          <w:b/>
          <w:w w:val="95"/>
          <w:sz w:val="21"/>
        </w:rPr>
        <w:t>第五十六条</w:t>
      </w:r>
      <w:r>
        <w:rPr>
          <w:b/>
          <w:spacing w:val="213"/>
          <w:sz w:val="21"/>
        </w:rPr>
        <w:t xml:space="preserve"> </w:t>
      </w:r>
      <w:r>
        <w:rPr>
          <w:b/>
          <w:w w:val="95"/>
          <w:sz w:val="21"/>
        </w:rPr>
        <w:t>违反本条例规定，建设单位有下列行为之一的，责令改正，处 20 万元以上 50 万元以下</w:t>
      </w:r>
      <w:r>
        <w:rPr>
          <w:b/>
          <w:sz w:val="21"/>
        </w:rPr>
        <w:t>的罚款：</w:t>
      </w:r>
    </w:p>
    <w:p>
      <w:pPr>
        <w:spacing w:before="3"/>
        <w:ind w:left="640" w:right="0" w:firstLine="0"/>
        <w:jc w:val="left"/>
        <w:rPr>
          <w:b/>
          <w:sz w:val="21"/>
        </w:rPr>
      </w:pPr>
      <w:r>
        <w:rPr>
          <w:b/>
          <w:w w:val="95"/>
          <w:sz w:val="21"/>
        </w:rPr>
        <w:t>㈠迫使承包方以低于成本的价格竞标的；</w:t>
      </w:r>
    </w:p>
    <w:p>
      <w:pPr>
        <w:spacing w:before="132"/>
        <w:ind w:left="640" w:right="0" w:firstLine="0"/>
        <w:jc w:val="left"/>
        <w:rPr>
          <w:b/>
          <w:sz w:val="21"/>
        </w:rPr>
      </w:pPr>
      <w:r>
        <w:rPr>
          <w:b/>
          <w:w w:val="95"/>
          <w:sz w:val="21"/>
        </w:rPr>
        <w:t>㈡任意压缩合理工期的；</w:t>
      </w:r>
    </w:p>
    <w:p>
      <w:pPr>
        <w:spacing w:before="129" w:line="357" w:lineRule="auto"/>
        <w:ind w:left="220" w:right="222" w:firstLine="420"/>
        <w:jc w:val="left"/>
        <w:rPr>
          <w:b/>
          <w:sz w:val="21"/>
        </w:rPr>
      </w:pPr>
      <w:r>
        <w:rPr>
          <w:b/>
          <w:w w:val="95"/>
          <w:sz w:val="21"/>
        </w:rPr>
        <w:t>第五十八条</w:t>
      </w:r>
      <w:r>
        <w:rPr>
          <w:b/>
          <w:spacing w:val="245"/>
          <w:sz w:val="21"/>
        </w:rPr>
        <w:t xml:space="preserve"> </w:t>
      </w:r>
      <w:r>
        <w:rPr>
          <w:b/>
          <w:w w:val="95"/>
          <w:sz w:val="21"/>
        </w:rPr>
        <w:t>违反本条例规定，建设单位有下列行为之一的，责令改正，处工程合同价款 2</w:t>
      </w:r>
      <w:r>
        <w:rPr>
          <w:b/>
          <w:spacing w:val="3"/>
          <w:w w:val="95"/>
          <w:sz w:val="21"/>
        </w:rPr>
        <w:t xml:space="preserve">％以上 </w:t>
      </w:r>
      <w:r>
        <w:rPr>
          <w:b/>
          <w:w w:val="95"/>
          <w:sz w:val="21"/>
        </w:rPr>
        <w:t>4％</w:t>
      </w:r>
      <w:r>
        <w:rPr>
          <w:b/>
          <w:spacing w:val="-98"/>
          <w:w w:val="95"/>
          <w:sz w:val="21"/>
        </w:rPr>
        <w:t xml:space="preserve"> </w:t>
      </w:r>
      <w:r>
        <w:rPr>
          <w:b/>
          <w:sz w:val="21"/>
        </w:rPr>
        <w:t>以下的罚款；造成损失的，依法承担赔偿责任：</w:t>
      </w:r>
    </w:p>
    <w:p>
      <w:pPr>
        <w:spacing w:before="0" w:line="269" w:lineRule="exact"/>
        <w:ind w:left="640" w:right="0" w:firstLine="0"/>
        <w:jc w:val="left"/>
        <w:rPr>
          <w:b/>
          <w:sz w:val="21"/>
        </w:rPr>
      </w:pPr>
      <w:r>
        <w:rPr>
          <w:b/>
          <w:w w:val="95"/>
          <w:sz w:val="21"/>
        </w:rPr>
        <w:t>㈠未组织竣工验收，擅自交付使用的；</w:t>
      </w:r>
    </w:p>
    <w:p>
      <w:pPr>
        <w:spacing w:before="129"/>
        <w:ind w:left="640" w:right="0" w:firstLine="0"/>
        <w:jc w:val="left"/>
        <w:rPr>
          <w:b/>
          <w:sz w:val="21"/>
        </w:rPr>
      </w:pPr>
      <w:r>
        <w:rPr>
          <w:b/>
          <w:w w:val="95"/>
          <w:sz w:val="21"/>
        </w:rPr>
        <w:t>㈡验收不合格，擅自交付使用的；</w:t>
      </w:r>
    </w:p>
    <w:p>
      <w:pPr>
        <w:spacing w:before="132"/>
        <w:ind w:left="640" w:right="0" w:firstLine="0"/>
        <w:jc w:val="left"/>
        <w:rPr>
          <w:b/>
          <w:sz w:val="21"/>
        </w:rPr>
      </w:pPr>
      <w:r>
        <w:rPr>
          <w:b/>
          <w:w w:val="95"/>
          <w:sz w:val="21"/>
        </w:rPr>
        <w:t>㈢对不合格的建设工程按照合格工程验收的。</w:t>
      </w:r>
    </w:p>
    <w:p>
      <w:pPr>
        <w:pStyle w:val="BodyText"/>
        <w:spacing w:before="132"/>
      </w:pPr>
      <w:r>
        <w:rPr>
          <w:spacing w:val="-3"/>
        </w:rPr>
        <w:t>【考点来源】第三章 建设工程监理相关法律法规及标准 第一节 建设工程监理相关法律及行政法规</w:t>
      </w:r>
    </w:p>
    <w:p>
      <w:pPr>
        <w:pStyle w:val="BodyText"/>
        <w:ind w:left="0"/>
        <w:rPr>
          <w:sz w:val="20"/>
        </w:rPr>
      </w:pPr>
    </w:p>
    <w:p>
      <w:pPr>
        <w:pStyle w:val="BodyText"/>
        <w:spacing w:before="4"/>
        <w:ind w:left="0"/>
      </w:pPr>
    </w:p>
    <w:p>
      <w:pPr>
        <w:pStyle w:val="ListParagraph"/>
        <w:numPr>
          <w:ilvl w:val="0"/>
          <w:numId w:val="8"/>
        </w:numPr>
        <w:tabs>
          <w:tab w:val="left" w:pos="537"/>
        </w:tabs>
        <w:spacing w:before="1" w:after="0" w:line="240" w:lineRule="auto"/>
        <w:ind w:left="536" w:right="0" w:hanging="317"/>
        <w:jc w:val="left"/>
        <w:rPr>
          <w:sz w:val="21"/>
        </w:rPr>
      </w:pPr>
      <w:r>
        <w:rPr>
          <w:sz w:val="21"/>
        </w:rPr>
        <w:t>关于项目法人责任制的说法。正确的是。</w:t>
      </w:r>
    </w:p>
    <w:p>
      <w:pPr>
        <w:pStyle w:val="BodyText"/>
        <w:spacing w:before="131" w:line="355" w:lineRule="auto"/>
        <w:ind w:right="4298"/>
      </w:pPr>
      <w:r>
        <w:rPr>
          <w:w w:val="95"/>
        </w:rPr>
        <w:t>A.项目法人责任制的核心内容是明确由项目法人承担投资风险</w:t>
      </w:r>
      <w:r>
        <w:rPr>
          <w:spacing w:val="1"/>
          <w:w w:val="95"/>
        </w:rPr>
        <w:t xml:space="preserve"> </w:t>
      </w:r>
      <w:r>
        <w:t>B.项目可行性研究报告批准前，应正式设立项目法人</w:t>
      </w:r>
    </w:p>
    <w:p>
      <w:pPr>
        <w:pStyle w:val="BodyText"/>
        <w:spacing w:before="3" w:line="357" w:lineRule="auto"/>
        <w:ind w:right="2828"/>
      </w:pPr>
      <w:r>
        <w:rPr>
          <w:w w:val="95"/>
        </w:rPr>
        <w:t>C.原由企业投资建设的基建项目，需新设立子公司的，无需重新设立项目法人</w:t>
      </w:r>
      <w:r>
        <w:rPr>
          <w:spacing w:val="50"/>
          <w:w w:val="95"/>
        </w:rPr>
        <w:t xml:space="preserve"> </w:t>
      </w:r>
      <w:r>
        <w:t>D.项目董事会负责确定招标方案、标底和评标标准</w:t>
      </w:r>
    </w:p>
    <w:p>
      <w:pPr>
        <w:pStyle w:val="BodyText"/>
        <w:spacing w:line="266" w:lineRule="exact"/>
      </w:pPr>
      <w:r>
        <w:t>【答案】A</w:t>
      </w:r>
    </w:p>
    <w:p>
      <w:pPr>
        <w:spacing w:after="0" w:line="266" w:lineRule="exact"/>
        <w:sectPr>
          <w:pgSz w:w="11910" w:h="16840"/>
          <w:pgMar w:top="1820" w:right="860" w:bottom="280" w:left="860" w:header="1620" w:footer="0" w:gutter="0"/>
          <w:pgNumType w:start="11"/>
          <w:cols w:space="708"/>
        </w:sectPr>
      </w:pPr>
    </w:p>
    <w:p>
      <w:pPr>
        <w:pStyle w:val="BodyText"/>
        <w:ind w:left="0"/>
        <w:rPr>
          <w:sz w:val="20"/>
        </w:rPr>
      </w:pPr>
    </w:p>
    <w:p>
      <w:pPr>
        <w:pStyle w:val="BodyText"/>
        <w:ind w:left="0"/>
        <w:rPr>
          <w:sz w:val="16"/>
        </w:rPr>
      </w:pPr>
    </w:p>
    <w:p>
      <w:pPr>
        <w:pStyle w:val="BodyText"/>
      </w:pPr>
      <w:r>
        <w:t>【解析】</w:t>
      </w:r>
    </w:p>
    <w:p>
      <w:pPr>
        <w:pStyle w:val="BodyText"/>
        <w:spacing w:before="132"/>
        <w:ind w:left="640"/>
      </w:pPr>
      <w:r>
        <w:t>一、项目法人责任制</w:t>
      </w:r>
    </w:p>
    <w:p>
      <w:pPr>
        <w:spacing w:before="131" w:line="355" w:lineRule="auto"/>
        <w:ind w:left="220" w:right="274" w:firstLine="420"/>
        <w:jc w:val="left"/>
        <w:rPr>
          <w:b/>
          <w:sz w:val="21"/>
        </w:rPr>
      </w:pPr>
      <w:r>
        <w:rPr>
          <w:b/>
          <w:w w:val="95"/>
          <w:sz w:val="21"/>
        </w:rPr>
        <w:t>项目法人责任制的核心内容是明确由项目法人承担投资风险，项目法人要对工程项目的建设及建成后</w:t>
      </w:r>
      <w:r>
        <w:rPr>
          <w:b/>
          <w:spacing w:val="148"/>
          <w:sz w:val="21"/>
        </w:rPr>
        <w:t xml:space="preserve"> </w:t>
      </w:r>
      <w:r>
        <w:rPr>
          <w:b/>
          <w:sz w:val="21"/>
        </w:rPr>
        <w:t>的生产经营实行一条龙管理和全面负责。</w:t>
      </w:r>
    </w:p>
    <w:p>
      <w:pPr>
        <w:pStyle w:val="BodyText"/>
        <w:spacing w:before="3"/>
        <w:ind w:left="640"/>
      </w:pPr>
      <w:r>
        <w:t>㈠项目法人的设立</w:t>
      </w:r>
    </w:p>
    <w:p>
      <w:pPr>
        <w:spacing w:before="132" w:line="357" w:lineRule="auto"/>
        <w:ind w:left="220" w:right="218" w:firstLine="420"/>
        <w:jc w:val="both"/>
        <w:rPr>
          <w:sz w:val="21"/>
        </w:rPr>
      </w:pPr>
      <w:r>
        <w:rPr>
          <w:b/>
          <w:w w:val="95"/>
          <w:sz w:val="21"/>
        </w:rPr>
        <w:t>新上项目在项目建议书被批准后</w:t>
      </w:r>
      <w:r>
        <w:rPr>
          <w:w w:val="95"/>
          <w:sz w:val="21"/>
        </w:rPr>
        <w:t>，应由项目的投资方派代表组成</w:t>
      </w:r>
      <w:r>
        <w:rPr>
          <w:b/>
          <w:w w:val="95"/>
          <w:sz w:val="21"/>
        </w:rPr>
        <w:t>项目法人筹备组</w:t>
      </w:r>
      <w:r>
        <w:rPr>
          <w:w w:val="95"/>
          <w:sz w:val="21"/>
        </w:rPr>
        <w:t>，具体负责项目法人</w:t>
      </w:r>
      <w:r>
        <w:rPr>
          <w:spacing w:val="234"/>
          <w:sz w:val="21"/>
        </w:rPr>
        <w:t xml:space="preserve"> </w:t>
      </w:r>
      <w:r>
        <w:rPr>
          <w:w w:val="95"/>
          <w:sz w:val="21"/>
        </w:rPr>
        <w:t>的筹建工作。有关单位在</w:t>
      </w:r>
      <w:r>
        <w:rPr>
          <w:b/>
          <w:w w:val="95"/>
          <w:sz w:val="21"/>
        </w:rPr>
        <w:t>申报项目可行性研究报告时，须同时提出项目法人的组建方案</w:t>
      </w:r>
      <w:r>
        <w:rPr>
          <w:w w:val="95"/>
          <w:sz w:val="21"/>
        </w:rPr>
        <w:t>，否则，其可行性</w:t>
      </w:r>
      <w:r>
        <w:rPr>
          <w:spacing w:val="250"/>
          <w:sz w:val="21"/>
        </w:rPr>
        <w:t xml:space="preserve"> </w:t>
      </w:r>
      <w:r>
        <w:rPr>
          <w:w w:val="95"/>
          <w:sz w:val="21"/>
        </w:rPr>
        <w:t>研究报告将不予审批。在</w:t>
      </w:r>
      <w:r>
        <w:rPr>
          <w:b/>
          <w:w w:val="95"/>
          <w:sz w:val="21"/>
        </w:rPr>
        <w:t>项目可行性研究报告被批准后，应正式成立项目法人</w:t>
      </w:r>
      <w:r>
        <w:rPr>
          <w:w w:val="95"/>
          <w:sz w:val="21"/>
        </w:rPr>
        <w:t>。按有关规定确保资本金按</w:t>
      </w:r>
      <w:r>
        <w:rPr>
          <w:spacing w:val="243"/>
          <w:sz w:val="21"/>
        </w:rPr>
        <w:t xml:space="preserve"> </w:t>
      </w:r>
      <w:r>
        <w:rPr>
          <w:sz w:val="21"/>
        </w:rPr>
        <w:t>时到位，并及时办理公司设立登记。</w:t>
      </w:r>
    </w:p>
    <w:p>
      <w:pPr>
        <w:spacing w:before="0" w:line="264" w:lineRule="exact"/>
        <w:ind w:left="640" w:right="0" w:firstLine="0"/>
        <w:jc w:val="left"/>
        <w:rPr>
          <w:b/>
          <w:sz w:val="21"/>
        </w:rPr>
      </w:pPr>
      <w:r>
        <w:rPr>
          <w:b/>
          <w:w w:val="95"/>
          <w:sz w:val="21"/>
        </w:rPr>
        <w:t>项目公司可以是有限责任公司(包括国有独资公司)也可以是股份有限公司。</w:t>
      </w:r>
    </w:p>
    <w:p>
      <w:pPr>
        <w:pStyle w:val="BodyText"/>
        <w:spacing w:before="132"/>
        <w:ind w:left="640"/>
      </w:pPr>
      <w:r>
        <w:rPr>
          <w:w w:val="95"/>
        </w:rPr>
        <w:t>㈡项目法人的职权</w:t>
      </w:r>
    </w:p>
    <w:p>
      <w:pPr>
        <w:pStyle w:val="BodyText"/>
        <w:spacing w:before="131"/>
        <w:ind w:left="640"/>
      </w:pPr>
      <w:r>
        <w:t>⒉项目总经理的职权：编制和确定招标方案、标底和评标标准，评选和确定投标、中标单位；……</w:t>
      </w:r>
    </w:p>
    <w:p>
      <w:pPr>
        <w:pStyle w:val="BodyText"/>
        <w:spacing w:before="130"/>
      </w:pPr>
      <w:r>
        <w:rPr>
          <w:spacing w:val="-3"/>
        </w:rPr>
        <w:t>【考点来源】第一章 建设工程监理制度 第二节 建设工程监理相关制度</w:t>
      </w:r>
    </w:p>
    <w:p>
      <w:pPr>
        <w:pStyle w:val="BodyText"/>
        <w:ind w:left="0"/>
        <w:rPr>
          <w:sz w:val="20"/>
        </w:rPr>
      </w:pPr>
    </w:p>
    <w:p>
      <w:pPr>
        <w:pStyle w:val="BodyText"/>
        <w:spacing w:before="7"/>
        <w:ind w:left="0"/>
      </w:pPr>
    </w:p>
    <w:p>
      <w:pPr>
        <w:pStyle w:val="ListParagraph"/>
        <w:numPr>
          <w:ilvl w:val="0"/>
          <w:numId w:val="8"/>
        </w:numPr>
        <w:tabs>
          <w:tab w:val="left" w:pos="537"/>
        </w:tabs>
        <w:spacing w:before="0" w:after="0" w:line="355" w:lineRule="auto"/>
        <w:ind w:left="220" w:right="2407" w:firstLine="0"/>
        <w:jc w:val="left"/>
        <w:rPr>
          <w:sz w:val="21"/>
        </w:rPr>
      </w:pPr>
      <w:r>
        <w:rPr>
          <w:w w:val="95"/>
          <w:sz w:val="21"/>
        </w:rPr>
        <w:t>根据《标准监理招标文件》，下列合同文件解释的优先顺序中，正确的是(）。</w:t>
      </w:r>
      <w:r>
        <w:rPr>
          <w:spacing w:val="55"/>
          <w:w w:val="95"/>
          <w:sz w:val="21"/>
        </w:rPr>
        <w:t xml:space="preserve"> </w:t>
      </w:r>
      <w:r>
        <w:rPr>
          <w:sz w:val="21"/>
        </w:rPr>
        <w:t>A.监理大纲一委托人要求一—监理报酬清单</w:t>
      </w:r>
    </w:p>
    <w:p>
      <w:pPr>
        <w:pStyle w:val="BodyText"/>
        <w:spacing w:before="3" w:line="357" w:lineRule="auto"/>
        <w:ind w:right="5557"/>
      </w:pPr>
      <w:r>
        <w:t>B.中标通知书-—合同协议书一—专用合同条款</w:t>
      </w:r>
      <w:r>
        <w:rPr>
          <w:w w:val="95"/>
        </w:rPr>
        <w:t>C.合同协议书一—中标通知书一—监理报酬清单</w:t>
      </w:r>
      <w:r>
        <w:rPr>
          <w:spacing w:val="1"/>
          <w:w w:val="95"/>
        </w:rPr>
        <w:t xml:space="preserve"> </w:t>
      </w:r>
      <w:r>
        <w:t>D.委托人要求一—专用合同条款一—监理大纲</w:t>
      </w:r>
    </w:p>
    <w:p>
      <w:pPr>
        <w:pStyle w:val="BodyText"/>
        <w:spacing w:line="266" w:lineRule="exact"/>
      </w:pPr>
      <w:r>
        <w:t>【答案】C</w:t>
      </w:r>
    </w:p>
    <w:p>
      <w:pPr>
        <w:pStyle w:val="BodyText"/>
        <w:spacing w:before="131"/>
      </w:pPr>
      <w:r>
        <w:t>【解析】</w:t>
      </w:r>
    </w:p>
    <w:p>
      <w:pPr>
        <w:spacing w:before="130"/>
        <w:ind w:left="640" w:right="0" w:firstLine="0"/>
        <w:jc w:val="left"/>
        <w:rPr>
          <w:b/>
          <w:sz w:val="21"/>
        </w:rPr>
      </w:pPr>
      <w:r>
        <w:rPr>
          <w:b/>
          <w:sz w:val="21"/>
        </w:rPr>
        <w:t>⒋合同文件解释顺序</w:t>
      </w:r>
    </w:p>
    <w:p>
      <w:pPr>
        <w:spacing w:before="131"/>
        <w:ind w:left="640" w:right="0" w:firstLine="0"/>
        <w:jc w:val="left"/>
        <w:rPr>
          <w:b/>
          <w:sz w:val="21"/>
        </w:rPr>
      </w:pPr>
      <w:r>
        <w:rPr>
          <w:b/>
          <w:w w:val="95"/>
          <w:sz w:val="21"/>
        </w:rPr>
        <w:t>合同协议书</w:t>
      </w:r>
      <w:r>
        <w:rPr>
          <w:w w:val="95"/>
          <w:sz w:val="21"/>
        </w:rPr>
        <w:t>与下列文件一起构成合同文件：</w:t>
      </w:r>
      <w:r>
        <w:rPr>
          <w:b/>
          <w:w w:val="95"/>
          <w:sz w:val="21"/>
        </w:rPr>
        <w:t>①中标通知书；②投标函及投标函附录；③专用合同条款；</w:t>
      </w:r>
    </w:p>
    <w:p>
      <w:pPr>
        <w:spacing w:before="132" w:line="355" w:lineRule="auto"/>
        <w:ind w:left="220" w:right="285" w:firstLine="0"/>
        <w:jc w:val="left"/>
        <w:rPr>
          <w:sz w:val="21"/>
        </w:rPr>
      </w:pPr>
      <w:r>
        <w:rPr>
          <w:b/>
          <w:w w:val="95"/>
          <w:sz w:val="21"/>
        </w:rPr>
        <w:t>④通用合同条款；⑤委托人要求；⑥监理报酬清单；⑦监理大纲</w:t>
      </w:r>
      <w:r>
        <w:rPr>
          <w:w w:val="95"/>
          <w:sz w:val="21"/>
        </w:rPr>
        <w:t>；⑧其他合同文件。上述合同文件互相补</w:t>
      </w:r>
      <w:r>
        <w:rPr>
          <w:spacing w:val="172"/>
          <w:sz w:val="21"/>
        </w:rPr>
        <w:t xml:space="preserve"> </w:t>
      </w:r>
      <w:r>
        <w:rPr>
          <w:sz w:val="21"/>
        </w:rPr>
        <w:t>充和解释。如果合同文件之间存在矛盾或不一致之处，以上述文件的</w:t>
      </w:r>
      <w:r>
        <w:rPr>
          <w:b/>
          <w:sz w:val="21"/>
        </w:rPr>
        <w:t>排列顺序在先者为准</w:t>
      </w:r>
      <w:r>
        <w:rPr>
          <w:sz w:val="21"/>
        </w:rPr>
        <w:t>。</w:t>
      </w:r>
    </w:p>
    <w:p>
      <w:pPr>
        <w:pStyle w:val="BodyText"/>
        <w:spacing w:before="3"/>
      </w:pPr>
      <w:r>
        <w:rPr>
          <w:spacing w:val="-3"/>
        </w:rPr>
        <w:t>【考点来源】第五章 建设工程监理招投标与合同管理 第三节 建设工程监理合同管理</w:t>
      </w:r>
    </w:p>
    <w:p>
      <w:pPr>
        <w:pStyle w:val="BodyText"/>
        <w:ind w:left="0"/>
        <w:rPr>
          <w:sz w:val="20"/>
        </w:rPr>
      </w:pPr>
    </w:p>
    <w:p>
      <w:pPr>
        <w:pStyle w:val="BodyText"/>
        <w:spacing w:before="5"/>
        <w:ind w:left="0"/>
      </w:pPr>
    </w:p>
    <w:p>
      <w:pPr>
        <w:pStyle w:val="ListParagraph"/>
        <w:numPr>
          <w:ilvl w:val="0"/>
          <w:numId w:val="8"/>
        </w:numPr>
        <w:tabs>
          <w:tab w:val="left" w:pos="537"/>
        </w:tabs>
        <w:spacing w:before="0" w:after="0" w:line="357" w:lineRule="auto"/>
        <w:ind w:left="220" w:right="221" w:firstLine="0"/>
        <w:jc w:val="left"/>
        <w:rPr>
          <w:sz w:val="21"/>
        </w:rPr>
      </w:pPr>
      <w:r>
        <w:rPr>
          <w:w w:val="95"/>
          <w:sz w:val="21"/>
        </w:rPr>
        <w:t>投标决策的综合评价法是将影响投标决策的的主客观因素用某些指标表示出来，进行（）后决定是否参</w:t>
      </w:r>
      <w:r>
        <w:rPr>
          <w:spacing w:val="141"/>
          <w:sz w:val="21"/>
        </w:rPr>
        <w:t xml:space="preserve"> </w:t>
      </w:r>
      <w:r>
        <w:rPr>
          <w:sz w:val="21"/>
        </w:rPr>
        <w:t>加投标的一种方法。</w:t>
      </w:r>
    </w:p>
    <w:p>
      <w:pPr>
        <w:pStyle w:val="BodyText"/>
        <w:spacing w:line="355" w:lineRule="auto"/>
        <w:ind w:right="8497"/>
      </w:pPr>
      <w:r>
        <w:rPr>
          <w:spacing w:val="-1"/>
        </w:rPr>
        <w:t>A.定性综合评价B.定量综合评价</w:t>
      </w:r>
    </w:p>
    <w:p>
      <w:pPr>
        <w:spacing w:after="0" w:line="355" w:lineRule="auto"/>
        <w:sectPr>
          <w:pgSz w:w="11910" w:h="16840"/>
          <w:pgMar w:top="1920" w:right="860" w:bottom="280" w:left="860" w:header="1632" w:footer="0" w:gutter="0"/>
          <w:pgNumType w:start="12"/>
          <w:cols w:space="708"/>
        </w:sectPr>
      </w:pPr>
    </w:p>
    <w:p>
      <w:pPr>
        <w:pStyle w:val="BodyText"/>
        <w:ind w:left="0"/>
        <w:rPr>
          <w:sz w:val="20"/>
        </w:rPr>
      </w:pPr>
    </w:p>
    <w:p>
      <w:pPr>
        <w:pStyle w:val="BodyText"/>
        <w:spacing w:before="7"/>
        <w:ind w:left="0"/>
        <w:rPr>
          <w:sz w:val="17"/>
        </w:rPr>
      </w:pPr>
    </w:p>
    <w:p>
      <w:pPr>
        <w:pStyle w:val="BodyText"/>
        <w:spacing w:before="70" w:line="357" w:lineRule="auto"/>
        <w:ind w:right="8497"/>
      </w:pPr>
      <w:r>
        <w:rPr>
          <w:spacing w:val="-1"/>
        </w:rPr>
        <w:t>C.客观综合评价D.动态综合评价</w:t>
      </w:r>
    </w:p>
    <w:p>
      <w:pPr>
        <w:pStyle w:val="BodyText"/>
        <w:spacing w:line="269" w:lineRule="exact"/>
      </w:pPr>
      <w:r>
        <w:t>【答案】B</w:t>
      </w:r>
    </w:p>
    <w:p>
      <w:pPr>
        <w:pStyle w:val="BodyText"/>
        <w:spacing w:before="129"/>
      </w:pPr>
      <w:r>
        <w:t>【解析】</w:t>
      </w:r>
    </w:p>
    <w:p>
      <w:pPr>
        <w:pStyle w:val="BodyText"/>
        <w:spacing w:before="132"/>
        <w:ind w:left="640"/>
      </w:pPr>
      <w:r>
        <w:t>⑴综合评价法。</w:t>
      </w:r>
    </w:p>
    <w:p>
      <w:pPr>
        <w:pStyle w:val="BodyText"/>
        <w:spacing w:before="132" w:line="355" w:lineRule="auto"/>
        <w:ind w:right="223" w:firstLine="420"/>
      </w:pPr>
      <w:r>
        <w:rPr>
          <w:w w:val="95"/>
        </w:rPr>
        <w:t>综合评价法是指决策者决定是否参加某建设工程监理投标时，将影响其投标决策的主客观因素用某些</w:t>
      </w:r>
      <w:r>
        <w:rPr>
          <w:spacing w:val="235"/>
        </w:rPr>
        <w:t xml:space="preserve"> </w:t>
      </w:r>
      <w:r>
        <w:t>具体指标表示出来，并定量地进行综合评价，以此作为投标决策依据。</w:t>
      </w:r>
    </w:p>
    <w:p>
      <w:pPr>
        <w:pStyle w:val="BodyText"/>
        <w:spacing w:before="3"/>
        <w:ind w:left="640"/>
      </w:pPr>
      <w:r>
        <w:t>1)确定影响投标的评价指标；2)确定各项评价指标权重；3)各项评价指标评分；4)计算综合评价总分；</w:t>
      </w:r>
    </w:p>
    <w:p>
      <w:pPr>
        <w:pStyle w:val="BodyText"/>
        <w:spacing w:before="131"/>
      </w:pPr>
      <w:r>
        <w:t>5)决定是否投标。</w:t>
      </w:r>
    </w:p>
    <w:p>
      <w:pPr>
        <w:pStyle w:val="BodyText"/>
        <w:spacing w:before="130"/>
      </w:pPr>
      <w:r>
        <w:rPr>
          <w:spacing w:val="-3"/>
        </w:rPr>
        <w:t>【考点来源】第五章 建设工程监理招投标与合同管理 第二节 建设工程监理投标工作内容和策略</w:t>
      </w:r>
    </w:p>
    <w:p>
      <w:pPr>
        <w:pStyle w:val="BodyText"/>
        <w:ind w:left="0"/>
        <w:rPr>
          <w:sz w:val="20"/>
        </w:rPr>
      </w:pPr>
    </w:p>
    <w:p>
      <w:pPr>
        <w:pStyle w:val="BodyText"/>
        <w:spacing w:before="7"/>
        <w:ind w:left="0"/>
      </w:pPr>
    </w:p>
    <w:p>
      <w:pPr>
        <w:pStyle w:val="ListParagraph"/>
        <w:numPr>
          <w:ilvl w:val="0"/>
          <w:numId w:val="8"/>
        </w:numPr>
        <w:tabs>
          <w:tab w:val="left" w:pos="537"/>
        </w:tabs>
        <w:spacing w:before="0" w:after="0" w:line="240" w:lineRule="auto"/>
        <w:ind w:left="536" w:right="0" w:hanging="317"/>
        <w:jc w:val="left"/>
        <w:rPr>
          <w:sz w:val="21"/>
        </w:rPr>
      </w:pPr>
      <w:r>
        <w:rPr>
          <w:spacing w:val="-1"/>
          <w:sz w:val="21"/>
        </w:rPr>
        <w:t xml:space="preserve">关于投标资格审查的说法，正确的是 </w:t>
      </w:r>
      <w:r>
        <w:rPr>
          <w:sz w:val="21"/>
        </w:rPr>
        <w:t>（)</w:t>
      </w:r>
    </w:p>
    <w:p>
      <w:pPr>
        <w:pStyle w:val="BodyText"/>
        <w:spacing w:before="129" w:line="357" w:lineRule="auto"/>
        <w:ind w:right="4927"/>
      </w:pPr>
      <w:r>
        <w:rPr>
          <w:w w:val="95"/>
        </w:rPr>
        <w:t>A.资格审查限制了潜在投标人公平获取投标竞争的机会</w:t>
      </w:r>
      <w:r>
        <w:rPr>
          <w:spacing w:val="1"/>
          <w:w w:val="95"/>
        </w:rPr>
        <w:t xml:space="preserve"> </w:t>
      </w:r>
      <w:r>
        <w:t>B.资格审查增加了招标人和投标人的资源投入</w:t>
      </w:r>
    </w:p>
    <w:p>
      <w:pPr>
        <w:pStyle w:val="BodyText"/>
        <w:spacing w:line="355" w:lineRule="auto"/>
        <w:ind w:right="4718"/>
      </w:pPr>
      <w:r>
        <w:rPr>
          <w:w w:val="95"/>
        </w:rPr>
        <w:t>C.资格审查不能确保潜在投标人满足招标项目的资格条件</w:t>
      </w:r>
      <w:r>
        <w:rPr>
          <w:spacing w:val="1"/>
          <w:w w:val="95"/>
        </w:rPr>
        <w:t xml:space="preserve"> </w:t>
      </w:r>
      <w:r>
        <w:t>D.资格审查是为了排除不合格的投标人和降低招标成本</w:t>
      </w:r>
    </w:p>
    <w:p>
      <w:pPr>
        <w:pStyle w:val="BodyText"/>
        <w:spacing w:before="3"/>
      </w:pPr>
      <w:r>
        <w:t>【答案】D</w:t>
      </w:r>
    </w:p>
    <w:p>
      <w:pPr>
        <w:pStyle w:val="BodyText"/>
        <w:spacing w:before="132"/>
      </w:pPr>
      <w:r>
        <w:t>【解析】</w:t>
      </w:r>
    </w:p>
    <w:p>
      <w:pPr>
        <w:pStyle w:val="BodyText"/>
        <w:spacing w:before="129"/>
        <w:ind w:left="640"/>
      </w:pPr>
      <w:r>
        <w:t>⒊组织资格审查</w:t>
      </w:r>
    </w:p>
    <w:p>
      <w:pPr>
        <w:spacing w:before="132" w:line="357" w:lineRule="auto"/>
        <w:ind w:left="220" w:right="222" w:firstLine="420"/>
        <w:jc w:val="both"/>
        <w:rPr>
          <w:b/>
          <w:sz w:val="21"/>
        </w:rPr>
      </w:pPr>
      <w:r>
        <w:rPr>
          <w:w w:val="95"/>
          <w:sz w:val="21"/>
        </w:rPr>
        <w:t>⑴资格预审。资格预审是指在</w:t>
      </w:r>
      <w:r>
        <w:rPr>
          <w:b/>
          <w:w w:val="95"/>
          <w:sz w:val="21"/>
        </w:rPr>
        <w:t>投标前</w:t>
      </w:r>
      <w:r>
        <w:rPr>
          <w:w w:val="95"/>
          <w:sz w:val="21"/>
        </w:rPr>
        <w:t>，对申请参加投标的</w:t>
      </w:r>
      <w:r>
        <w:rPr>
          <w:b/>
          <w:w w:val="95"/>
          <w:sz w:val="21"/>
        </w:rPr>
        <w:t>潜在投标人</w:t>
      </w:r>
      <w:r>
        <w:rPr>
          <w:w w:val="95"/>
          <w:sz w:val="21"/>
        </w:rPr>
        <w:t>进行资质条件、业绩、信誉、技</w:t>
      </w:r>
      <w:r>
        <w:rPr>
          <w:spacing w:val="240"/>
          <w:sz w:val="21"/>
        </w:rPr>
        <w:t xml:space="preserve"> </w:t>
      </w:r>
      <w:r>
        <w:rPr>
          <w:w w:val="95"/>
          <w:sz w:val="21"/>
        </w:rPr>
        <w:t>术、资金等多方面情况的审查。只有资格预审中被认定为合格的潜在投标人(或投标人)才可以参加投标。</w:t>
      </w:r>
      <w:r>
        <w:rPr>
          <w:spacing w:val="256"/>
          <w:sz w:val="21"/>
        </w:rPr>
        <w:t xml:space="preserve"> </w:t>
      </w:r>
      <w:r>
        <w:rPr>
          <w:b/>
          <w:sz w:val="21"/>
        </w:rPr>
        <w:t>资格预审的目的是为了排除不合格的投标人，进而降低招标人的招标成本，提高招标工作效率。</w:t>
      </w:r>
    </w:p>
    <w:p>
      <w:pPr>
        <w:pStyle w:val="BodyText"/>
        <w:spacing w:line="357" w:lineRule="auto"/>
        <w:ind w:right="223" w:firstLine="420"/>
      </w:pPr>
      <w:r>
        <w:rPr>
          <w:w w:val="95"/>
        </w:rPr>
        <w:t>⑵资格后审。资格后审是指在</w:t>
      </w:r>
      <w:r>
        <w:rPr>
          <w:b/>
          <w:w w:val="95"/>
        </w:rPr>
        <w:t>开标后</w:t>
      </w:r>
      <w:r>
        <w:rPr>
          <w:w w:val="95"/>
        </w:rPr>
        <w:t>，由</w:t>
      </w:r>
      <w:r>
        <w:rPr>
          <w:b/>
          <w:w w:val="95"/>
        </w:rPr>
        <w:t>评标委员会</w:t>
      </w:r>
      <w:r>
        <w:rPr>
          <w:w w:val="95"/>
        </w:rPr>
        <w:t>根据招标文件中规定的资格审查因素、方法和标</w:t>
      </w:r>
      <w:r>
        <w:rPr>
          <w:spacing w:val="228"/>
        </w:rPr>
        <w:t xml:space="preserve"> </w:t>
      </w:r>
      <w:r>
        <w:t>准，对投标人资格进行的审查。</w:t>
      </w:r>
    </w:p>
    <w:p>
      <w:pPr>
        <w:pStyle w:val="BodyText"/>
        <w:spacing w:line="266" w:lineRule="exact"/>
      </w:pPr>
      <w:r>
        <w:rPr>
          <w:spacing w:val="-3"/>
        </w:rPr>
        <w:t>【考点来源】第五章 建设工程监理招投标与合同管理 第一节 建设工程监理招标程序和评标方法</w:t>
      </w:r>
    </w:p>
    <w:p>
      <w:pPr>
        <w:pStyle w:val="BodyText"/>
        <w:ind w:left="0"/>
        <w:rPr>
          <w:sz w:val="20"/>
        </w:rPr>
      </w:pPr>
    </w:p>
    <w:p>
      <w:pPr>
        <w:pStyle w:val="BodyText"/>
        <w:spacing w:before="4"/>
        <w:ind w:left="0"/>
      </w:pPr>
    </w:p>
    <w:p>
      <w:pPr>
        <w:pStyle w:val="ListParagraph"/>
        <w:numPr>
          <w:ilvl w:val="0"/>
          <w:numId w:val="9"/>
        </w:numPr>
        <w:tabs>
          <w:tab w:val="left" w:pos="537"/>
        </w:tabs>
        <w:spacing w:before="0" w:after="0" w:line="355" w:lineRule="auto"/>
        <w:ind w:left="220" w:right="3773" w:firstLine="0"/>
        <w:jc w:val="left"/>
        <w:rPr>
          <w:sz w:val="21"/>
        </w:rPr>
      </w:pPr>
      <w:r>
        <w:rPr>
          <w:w w:val="95"/>
          <w:sz w:val="21"/>
        </w:rPr>
        <w:t>根据《建设工程监理规范》，总监理工程师应由（）书面任命。</w:t>
      </w:r>
      <w:r>
        <w:rPr>
          <w:spacing w:val="1"/>
          <w:w w:val="95"/>
          <w:sz w:val="21"/>
        </w:rPr>
        <w:t xml:space="preserve"> </w:t>
      </w:r>
      <w:r>
        <w:rPr>
          <w:sz w:val="21"/>
        </w:rPr>
        <w:t>A.发包人</w:t>
      </w:r>
    </w:p>
    <w:p>
      <w:pPr>
        <w:pStyle w:val="ListParagraph"/>
        <w:numPr>
          <w:ilvl w:val="0"/>
          <w:numId w:val="10"/>
        </w:numPr>
        <w:tabs>
          <w:tab w:val="left" w:pos="432"/>
        </w:tabs>
        <w:spacing w:before="3" w:after="0" w:line="240" w:lineRule="auto"/>
        <w:ind w:left="431" w:right="0" w:hanging="212"/>
        <w:jc w:val="left"/>
        <w:rPr>
          <w:sz w:val="21"/>
        </w:rPr>
      </w:pPr>
      <w:r>
        <w:rPr>
          <w:sz w:val="21"/>
        </w:rPr>
        <w:t>委托人</w:t>
      </w:r>
    </w:p>
    <w:p>
      <w:pPr>
        <w:pStyle w:val="ListParagraph"/>
        <w:numPr>
          <w:ilvl w:val="0"/>
          <w:numId w:val="10"/>
        </w:numPr>
        <w:tabs>
          <w:tab w:val="left" w:pos="432"/>
        </w:tabs>
        <w:spacing w:before="132" w:after="0" w:line="240" w:lineRule="auto"/>
        <w:ind w:left="431" w:right="0" w:hanging="212"/>
        <w:jc w:val="left"/>
        <w:rPr>
          <w:sz w:val="21"/>
        </w:rPr>
      </w:pPr>
      <w:r>
        <w:rPr>
          <w:sz w:val="21"/>
        </w:rPr>
        <w:t>建设单位法定代表人</w:t>
      </w:r>
    </w:p>
    <w:p>
      <w:pPr>
        <w:pStyle w:val="ListParagraph"/>
        <w:numPr>
          <w:ilvl w:val="0"/>
          <w:numId w:val="10"/>
        </w:numPr>
        <w:tabs>
          <w:tab w:val="left" w:pos="432"/>
        </w:tabs>
        <w:spacing w:before="129" w:after="0" w:line="240" w:lineRule="auto"/>
        <w:ind w:left="431" w:right="0" w:hanging="212"/>
        <w:jc w:val="left"/>
        <w:rPr>
          <w:sz w:val="21"/>
        </w:rPr>
      </w:pPr>
      <w:r>
        <w:rPr>
          <w:sz w:val="21"/>
        </w:rPr>
        <w:t>工程监理单位法定代表人</w:t>
      </w:r>
    </w:p>
    <w:p>
      <w:pPr>
        <w:spacing w:after="0" w:line="240" w:lineRule="auto"/>
        <w:jc w:val="left"/>
        <w:rPr>
          <w:sz w:val="21"/>
        </w:rPr>
        <w:sectPr>
          <w:pgSz w:w="11910" w:h="16840"/>
          <w:pgMar w:top="1820" w:right="860" w:bottom="280" w:left="860" w:header="1620" w:footer="0" w:gutter="0"/>
          <w:pgNumType w:start="13"/>
          <w:cols w:space="708"/>
        </w:sectPr>
      </w:pPr>
    </w:p>
    <w:p>
      <w:pPr>
        <w:pStyle w:val="BodyText"/>
        <w:ind w:left="0"/>
        <w:rPr>
          <w:sz w:val="20"/>
        </w:rPr>
      </w:pPr>
    </w:p>
    <w:p>
      <w:pPr>
        <w:pStyle w:val="BodyText"/>
        <w:ind w:left="0"/>
        <w:rPr>
          <w:sz w:val="16"/>
        </w:rPr>
      </w:pPr>
    </w:p>
    <w:p>
      <w:pPr>
        <w:pStyle w:val="BodyText"/>
      </w:pPr>
      <w:r>
        <w:t>【答案】D</w:t>
      </w:r>
    </w:p>
    <w:p>
      <w:pPr>
        <w:pStyle w:val="BodyText"/>
        <w:spacing w:before="132"/>
      </w:pPr>
      <w:r>
        <w:t>【解析】</w:t>
      </w:r>
    </w:p>
    <w:p>
      <w:pPr>
        <w:pStyle w:val="BodyText"/>
        <w:spacing w:before="131"/>
        <w:ind w:left="640"/>
      </w:pPr>
      <w:r>
        <w:t>㈡项目监理机构各类人员基本职责</w:t>
      </w:r>
    </w:p>
    <w:p>
      <w:pPr>
        <w:pStyle w:val="BodyText"/>
        <w:spacing w:before="130"/>
        <w:ind w:left="640"/>
      </w:pPr>
      <w:r>
        <w:t>⒈总监理工程师职责</w:t>
      </w:r>
    </w:p>
    <w:p>
      <w:pPr>
        <w:pStyle w:val="BodyText"/>
        <w:spacing w:before="131" w:line="357" w:lineRule="auto"/>
        <w:ind w:right="223" w:firstLine="420"/>
      </w:pPr>
      <w:r>
        <w:rPr>
          <w:w w:val="95"/>
        </w:rPr>
        <w:t>总监理工程师是由工程监理单位法定代表人书面任命，负责履行建设工程监理合同、主持项目监理机</w:t>
      </w:r>
      <w:r>
        <w:rPr>
          <w:spacing w:val="235"/>
        </w:rPr>
        <w:t xml:space="preserve"> </w:t>
      </w:r>
      <w:r>
        <w:t>构工作的监理工程师。总监理工程师应履行下列职责：.......</w:t>
      </w:r>
    </w:p>
    <w:p>
      <w:pPr>
        <w:pStyle w:val="BodyText"/>
        <w:spacing w:line="266" w:lineRule="exact"/>
      </w:pPr>
      <w:r>
        <w:rPr>
          <w:spacing w:val="-3"/>
        </w:rPr>
        <w:t>【考点来源】第六章 建设工程监理组织 第二节 项目监理机构及监理人员职责</w:t>
      </w:r>
    </w:p>
    <w:p>
      <w:pPr>
        <w:pStyle w:val="BodyText"/>
        <w:ind w:left="0"/>
        <w:rPr>
          <w:sz w:val="20"/>
        </w:rPr>
      </w:pPr>
    </w:p>
    <w:p>
      <w:pPr>
        <w:pStyle w:val="BodyText"/>
        <w:spacing w:before="7"/>
        <w:ind w:left="0"/>
      </w:pPr>
    </w:p>
    <w:p>
      <w:pPr>
        <w:pStyle w:val="ListParagraph"/>
        <w:numPr>
          <w:ilvl w:val="0"/>
          <w:numId w:val="9"/>
        </w:numPr>
        <w:tabs>
          <w:tab w:val="left" w:pos="537"/>
          <w:tab w:val="left" w:pos="5887"/>
        </w:tabs>
        <w:spacing w:before="1" w:after="0" w:line="355" w:lineRule="auto"/>
        <w:ind w:left="220" w:right="3878" w:firstLine="0"/>
        <w:jc w:val="left"/>
        <w:rPr>
          <w:sz w:val="21"/>
        </w:rPr>
      </w:pPr>
      <w:r>
        <w:rPr>
          <w:sz w:val="21"/>
        </w:rPr>
        <w:t>项目监理机构对项目监理人员进行巡视交底的依据是（</w:t>
      </w:r>
      <w:r>
        <w:rPr>
          <w:sz w:val="21"/>
        </w:rPr>
        <w:tab/>
      </w:r>
      <w:r>
        <w:rPr>
          <w:spacing w:val="-2"/>
          <w:sz w:val="21"/>
        </w:rPr>
        <w:t>）</w:t>
      </w:r>
      <w:r>
        <w:rPr>
          <w:spacing w:val="-1"/>
          <w:sz w:val="21"/>
        </w:rPr>
        <w:t>。</w:t>
      </w:r>
      <w:r>
        <w:rPr>
          <w:sz w:val="21"/>
        </w:rPr>
        <w:t>A.经审核批准的监理规则和监理实施细则</w:t>
      </w:r>
    </w:p>
    <w:p>
      <w:pPr>
        <w:pStyle w:val="BodyText"/>
        <w:spacing w:before="2"/>
      </w:pPr>
      <w:r>
        <w:t>B.经图纸会审和设计交底的设计文件</w:t>
      </w:r>
    </w:p>
    <w:p>
      <w:pPr>
        <w:pStyle w:val="BodyText"/>
        <w:spacing w:before="132" w:line="355" w:lineRule="auto"/>
        <w:ind w:right="5767"/>
      </w:pPr>
      <w:r>
        <w:rPr>
          <w:w w:val="95"/>
        </w:rPr>
        <w:t>C.经审核签认的施工组织设计和专项施工方案</w:t>
      </w:r>
      <w:r>
        <w:rPr>
          <w:spacing w:val="1"/>
          <w:w w:val="95"/>
        </w:rPr>
        <w:t xml:space="preserve"> </w:t>
      </w:r>
      <w:r>
        <w:rPr>
          <w:w w:val="95"/>
        </w:rPr>
        <w:t>D.经审核批准的监理实施细则和专项施工方案</w:t>
      </w:r>
    </w:p>
    <w:p>
      <w:pPr>
        <w:pStyle w:val="BodyText"/>
        <w:spacing w:before="3"/>
      </w:pPr>
      <w:r>
        <w:t>【答案】A</w:t>
      </w:r>
    </w:p>
    <w:p>
      <w:pPr>
        <w:pStyle w:val="BodyText"/>
        <w:spacing w:before="132"/>
      </w:pPr>
      <w:r>
        <w:t>【解析】</w:t>
      </w:r>
    </w:p>
    <w:p>
      <w:pPr>
        <w:pStyle w:val="BodyText"/>
        <w:spacing w:before="129"/>
        <w:ind w:left="640"/>
      </w:pPr>
      <w:r>
        <w:t>㈡巡视工作内容和职责</w:t>
      </w:r>
    </w:p>
    <w:p>
      <w:pPr>
        <w:spacing w:before="132" w:line="357" w:lineRule="auto"/>
        <w:ind w:left="220" w:right="220" w:firstLine="420"/>
        <w:jc w:val="both"/>
        <w:rPr>
          <w:sz w:val="21"/>
        </w:rPr>
      </w:pPr>
      <w:r>
        <w:rPr>
          <w:b/>
          <w:w w:val="95"/>
          <w:sz w:val="21"/>
        </w:rPr>
        <w:t>总监理工程师</w:t>
      </w:r>
      <w:r>
        <w:rPr>
          <w:w w:val="95"/>
          <w:sz w:val="21"/>
        </w:rPr>
        <w:t>应根据</w:t>
      </w:r>
      <w:r>
        <w:rPr>
          <w:b/>
          <w:w w:val="95"/>
          <w:sz w:val="21"/>
        </w:rPr>
        <w:t>经审核批准的监理规划和监理实施细则对现场监理人员进行交底</w:t>
      </w:r>
      <w:r>
        <w:rPr>
          <w:w w:val="95"/>
          <w:sz w:val="21"/>
        </w:rPr>
        <w:t>，</w:t>
      </w:r>
      <w:r>
        <w:rPr>
          <w:b/>
          <w:w w:val="95"/>
          <w:sz w:val="21"/>
        </w:rPr>
        <w:t>明确巡视检查</w:t>
      </w:r>
      <w:r>
        <w:rPr>
          <w:b/>
          <w:spacing w:val="215"/>
          <w:sz w:val="21"/>
        </w:rPr>
        <w:t xml:space="preserve"> </w:t>
      </w:r>
      <w:r>
        <w:rPr>
          <w:b/>
          <w:w w:val="95"/>
          <w:sz w:val="21"/>
        </w:rPr>
        <w:t>要点、巡视频率和采取措施及采用的巡视检查记录表；合理安排监理人员进行巡视检查工作</w:t>
      </w:r>
      <w:r>
        <w:rPr>
          <w:w w:val="95"/>
          <w:sz w:val="21"/>
        </w:rPr>
        <w:t>；督促监理人</w:t>
      </w:r>
      <w:r>
        <w:rPr>
          <w:spacing w:val="238"/>
          <w:sz w:val="21"/>
        </w:rPr>
        <w:t xml:space="preserve"> </w:t>
      </w:r>
      <w:r>
        <w:rPr>
          <w:w w:val="95"/>
          <w:sz w:val="21"/>
        </w:rPr>
        <w:t>员按照监理规划及监理实施细则的要求开展现场巡视检查工作;</w:t>
      </w:r>
      <w:r>
        <w:rPr>
          <w:b/>
          <w:w w:val="95"/>
          <w:sz w:val="21"/>
        </w:rPr>
        <w:t>总监理工程师应检查监理人员巡视的工作</w:t>
      </w:r>
      <w:r>
        <w:rPr>
          <w:b/>
          <w:spacing w:val="118"/>
          <w:sz w:val="21"/>
        </w:rPr>
        <w:t xml:space="preserve"> </w:t>
      </w:r>
      <w:r>
        <w:rPr>
          <w:b/>
          <w:spacing w:val="119"/>
          <w:sz w:val="21"/>
        </w:rPr>
        <w:t xml:space="preserve"> </w:t>
      </w:r>
      <w:r>
        <w:rPr>
          <w:b/>
          <w:sz w:val="21"/>
        </w:rPr>
        <w:t>成果</w:t>
      </w:r>
      <w:r>
        <w:rPr>
          <w:sz w:val="21"/>
        </w:rPr>
        <w:t>，与监理人员就当日巡视检查工作进行沟通，对发现的问题及时采取相应处理措施。</w:t>
      </w:r>
    </w:p>
    <w:p>
      <w:pPr>
        <w:pStyle w:val="BodyText"/>
        <w:spacing w:line="266" w:lineRule="exact"/>
        <w:jc w:val="both"/>
      </w:pPr>
      <w:r>
        <w:rPr>
          <w:spacing w:val="-3"/>
        </w:rPr>
        <w:t>【考点来源】第八章 建设工程监理工作内容和主要方式 第二节 建设工程监理主要方式</w:t>
      </w:r>
    </w:p>
    <w:p>
      <w:pPr>
        <w:pStyle w:val="BodyText"/>
        <w:ind w:left="0"/>
        <w:rPr>
          <w:sz w:val="20"/>
        </w:rPr>
      </w:pPr>
    </w:p>
    <w:p>
      <w:pPr>
        <w:pStyle w:val="BodyText"/>
        <w:ind w:left="0"/>
        <w:rPr>
          <w:sz w:val="20"/>
        </w:rPr>
      </w:pPr>
    </w:p>
    <w:p>
      <w:pPr>
        <w:pStyle w:val="BodyText"/>
        <w:ind w:left="0"/>
        <w:rPr>
          <w:sz w:val="20"/>
        </w:rPr>
      </w:pPr>
    </w:p>
    <w:p>
      <w:pPr>
        <w:pStyle w:val="ListParagraph"/>
        <w:numPr>
          <w:ilvl w:val="0"/>
          <w:numId w:val="9"/>
        </w:numPr>
        <w:tabs>
          <w:tab w:val="left" w:pos="537"/>
        </w:tabs>
        <w:spacing w:before="162" w:after="0" w:line="355" w:lineRule="auto"/>
        <w:ind w:left="220" w:right="2407" w:firstLine="0"/>
        <w:jc w:val="left"/>
        <w:rPr>
          <w:sz w:val="21"/>
        </w:rPr>
      </w:pPr>
      <w:r>
        <w:rPr>
          <w:w w:val="95"/>
          <w:sz w:val="21"/>
        </w:rPr>
        <w:t>下列报申表中，需要施工项目经理签字并加盖施工单位公章的文件资料是(）。</w:t>
      </w:r>
      <w:r>
        <w:rPr>
          <w:spacing w:val="55"/>
          <w:w w:val="95"/>
          <w:sz w:val="21"/>
        </w:rPr>
        <w:t xml:space="preserve"> </w:t>
      </w:r>
      <w:r>
        <w:rPr>
          <w:sz w:val="21"/>
        </w:rPr>
        <w:t>A.工程开工报审表</w:t>
      </w:r>
    </w:p>
    <w:p>
      <w:pPr>
        <w:pStyle w:val="ListParagraph"/>
        <w:numPr>
          <w:ilvl w:val="0"/>
          <w:numId w:val="11"/>
        </w:numPr>
        <w:tabs>
          <w:tab w:val="left" w:pos="432"/>
        </w:tabs>
        <w:spacing w:before="3" w:after="0" w:line="240" w:lineRule="auto"/>
        <w:ind w:left="431" w:right="0" w:hanging="212"/>
        <w:jc w:val="left"/>
        <w:rPr>
          <w:sz w:val="21"/>
        </w:rPr>
      </w:pPr>
      <w:r>
        <w:rPr>
          <w:sz w:val="21"/>
        </w:rPr>
        <w:t>工程复工报审表</w:t>
      </w:r>
    </w:p>
    <w:p>
      <w:pPr>
        <w:pStyle w:val="ListParagraph"/>
        <w:numPr>
          <w:ilvl w:val="0"/>
          <w:numId w:val="11"/>
        </w:numPr>
        <w:tabs>
          <w:tab w:val="left" w:pos="432"/>
        </w:tabs>
        <w:spacing w:before="131" w:after="0" w:line="240" w:lineRule="auto"/>
        <w:ind w:left="431" w:right="0" w:hanging="212"/>
        <w:jc w:val="left"/>
        <w:rPr>
          <w:sz w:val="21"/>
        </w:rPr>
      </w:pPr>
      <w:r>
        <w:rPr>
          <w:sz w:val="21"/>
        </w:rPr>
        <w:t>工程临时或最终延期报审表</w:t>
      </w:r>
    </w:p>
    <w:p>
      <w:pPr>
        <w:pStyle w:val="ListParagraph"/>
        <w:numPr>
          <w:ilvl w:val="0"/>
          <w:numId w:val="11"/>
        </w:numPr>
        <w:tabs>
          <w:tab w:val="left" w:pos="432"/>
        </w:tabs>
        <w:spacing w:before="130" w:after="0" w:line="240" w:lineRule="auto"/>
        <w:ind w:left="431" w:right="0" w:hanging="212"/>
        <w:jc w:val="left"/>
        <w:rPr>
          <w:sz w:val="21"/>
        </w:rPr>
      </w:pPr>
      <w:r>
        <w:rPr>
          <w:sz w:val="21"/>
        </w:rPr>
        <w:t>施工组织设计或（专项）施工方案提升表</w:t>
      </w:r>
    </w:p>
    <w:p>
      <w:pPr>
        <w:pStyle w:val="BodyText"/>
        <w:spacing w:before="131"/>
      </w:pPr>
      <w:r>
        <w:t>【答案】A</w:t>
      </w:r>
    </w:p>
    <w:p>
      <w:pPr>
        <w:pStyle w:val="BodyText"/>
        <w:spacing w:before="132"/>
      </w:pPr>
      <w:r>
        <w:t>【解析】</w:t>
      </w:r>
    </w:p>
    <w:p>
      <w:pPr>
        <w:pStyle w:val="BodyText"/>
        <w:spacing w:before="130"/>
        <w:ind w:left="640"/>
      </w:pPr>
      <w:r>
        <w:t>⒌需要由施工项目经理签字并加盖施工单位公章的表式</w:t>
      </w:r>
    </w:p>
    <w:p>
      <w:pPr>
        <w:spacing w:after="0"/>
        <w:sectPr>
          <w:pgSz w:w="11910" w:h="16840"/>
          <w:pgMar w:top="1920" w:right="860" w:bottom="280" w:left="860" w:header="1632" w:footer="0" w:gutter="0"/>
          <w:pgNumType w:start="14"/>
          <w:cols w:space="708"/>
        </w:sectPr>
      </w:pPr>
    </w:p>
    <w:p>
      <w:pPr>
        <w:pStyle w:val="BodyText"/>
        <w:ind w:left="0"/>
        <w:rPr>
          <w:sz w:val="20"/>
        </w:rPr>
      </w:pPr>
    </w:p>
    <w:p>
      <w:pPr>
        <w:pStyle w:val="BodyText"/>
        <w:spacing w:before="7"/>
        <w:ind w:left="0"/>
        <w:rPr>
          <w:sz w:val="17"/>
        </w:rPr>
      </w:pPr>
    </w:p>
    <w:p>
      <w:pPr>
        <w:spacing w:before="70" w:line="357" w:lineRule="auto"/>
        <w:ind w:left="220" w:right="221" w:firstLine="420"/>
        <w:jc w:val="both"/>
        <w:rPr>
          <w:b/>
          <w:sz w:val="21"/>
        </w:rPr>
      </w:pPr>
      <w:r>
        <w:rPr>
          <w:b/>
          <w:w w:val="95"/>
          <w:sz w:val="21"/>
        </w:rPr>
        <w:t>“B.0.2</w:t>
      </w:r>
      <w:r>
        <w:rPr>
          <w:b/>
          <w:spacing w:val="4"/>
          <w:w w:val="95"/>
          <w:sz w:val="21"/>
        </w:rPr>
        <w:t xml:space="preserve"> 工程开工报审表”、“</w:t>
      </w:r>
      <w:r>
        <w:rPr>
          <w:b/>
          <w:w w:val="95"/>
          <w:sz w:val="21"/>
        </w:rPr>
        <w:t>B.0.10</w:t>
      </w:r>
      <w:r>
        <w:rPr>
          <w:b/>
          <w:spacing w:val="154"/>
          <w:sz w:val="21"/>
        </w:rPr>
        <w:t xml:space="preserve"> </w:t>
      </w:r>
      <w:r>
        <w:rPr>
          <w:b/>
          <w:w w:val="95"/>
          <w:sz w:val="21"/>
        </w:rPr>
        <w:t>单位工程竣工验收报审表”必须由项目经理签字并加盖施工单</w:t>
      </w:r>
      <w:r>
        <w:rPr>
          <w:b/>
          <w:sz w:val="21"/>
        </w:rPr>
        <w:t>位公章。</w:t>
      </w:r>
    </w:p>
    <w:p>
      <w:pPr>
        <w:pStyle w:val="BodyText"/>
        <w:spacing w:line="269" w:lineRule="exact"/>
      </w:pPr>
      <w:r>
        <w:rPr>
          <w:spacing w:val="-3"/>
        </w:rPr>
        <w:t>【考点来源】第九章 建设工程监理文件资料管理 第一节 建设工程监理基本表式及主要文件资料内容</w:t>
      </w:r>
    </w:p>
    <w:p>
      <w:pPr>
        <w:pStyle w:val="BodyText"/>
        <w:ind w:left="0"/>
        <w:rPr>
          <w:sz w:val="20"/>
        </w:rPr>
      </w:pPr>
    </w:p>
    <w:p>
      <w:pPr>
        <w:pStyle w:val="BodyText"/>
        <w:ind w:left="0"/>
        <w:rPr>
          <w:sz w:val="20"/>
        </w:rPr>
      </w:pPr>
    </w:p>
    <w:p>
      <w:pPr>
        <w:pStyle w:val="BodyText"/>
        <w:ind w:left="0"/>
        <w:rPr>
          <w:sz w:val="20"/>
        </w:rPr>
      </w:pPr>
    </w:p>
    <w:p>
      <w:pPr>
        <w:pStyle w:val="ListParagraph"/>
        <w:numPr>
          <w:ilvl w:val="0"/>
          <w:numId w:val="9"/>
        </w:numPr>
        <w:tabs>
          <w:tab w:val="left" w:pos="537"/>
        </w:tabs>
        <w:spacing w:before="162" w:after="0" w:line="355" w:lineRule="auto"/>
        <w:ind w:left="220" w:right="5449" w:firstLine="0"/>
        <w:jc w:val="left"/>
        <w:rPr>
          <w:sz w:val="21"/>
        </w:rPr>
      </w:pPr>
      <w:r>
        <w:rPr>
          <w:w w:val="95"/>
          <w:sz w:val="21"/>
        </w:rPr>
        <w:t>关于公开招标和邀请招标的说法，正确的是()</w:t>
      </w:r>
      <w:r>
        <w:rPr>
          <w:spacing w:val="1"/>
          <w:w w:val="95"/>
          <w:sz w:val="21"/>
        </w:rPr>
        <w:t xml:space="preserve"> </w:t>
      </w:r>
      <w:r>
        <w:rPr>
          <w:sz w:val="21"/>
        </w:rPr>
        <w:t>A.公开招标有助于实现公平竞争</w:t>
      </w:r>
    </w:p>
    <w:p>
      <w:pPr>
        <w:pStyle w:val="BodyText"/>
        <w:spacing w:before="3" w:line="357" w:lineRule="auto"/>
        <w:ind w:right="5978"/>
      </w:pPr>
      <w:r>
        <w:rPr>
          <w:w w:val="95"/>
        </w:rPr>
        <w:t>B.邀请招标能够杜绝串标、拾标和围标现象</w:t>
      </w:r>
      <w:r>
        <w:t>C.公开招标的招标时间长但招标费用低</w:t>
      </w:r>
    </w:p>
    <w:p>
      <w:pPr>
        <w:pStyle w:val="BodyText"/>
        <w:spacing w:line="266" w:lineRule="exact"/>
      </w:pPr>
      <w:r>
        <w:t>D.邀请招标属于非限制性竞争招标</w:t>
      </w:r>
    </w:p>
    <w:p>
      <w:pPr>
        <w:pStyle w:val="BodyText"/>
        <w:spacing w:before="132"/>
      </w:pPr>
      <w:r>
        <w:t>【答案】A</w:t>
      </w:r>
    </w:p>
    <w:p>
      <w:pPr>
        <w:pStyle w:val="BodyText"/>
        <w:spacing w:before="131"/>
      </w:pPr>
      <w:r>
        <w:t>【解析】</w:t>
      </w:r>
    </w:p>
    <w:p>
      <w:pPr>
        <w:spacing w:before="130"/>
        <w:ind w:left="640" w:right="0" w:firstLine="0"/>
        <w:jc w:val="left"/>
        <w:rPr>
          <w:b/>
          <w:sz w:val="21"/>
        </w:rPr>
      </w:pPr>
      <w:r>
        <w:rPr>
          <w:b/>
          <w:sz w:val="21"/>
        </w:rPr>
        <w:t>⒈公开招标</w:t>
      </w:r>
    </w:p>
    <w:p>
      <w:pPr>
        <w:pStyle w:val="BodyText"/>
        <w:spacing w:before="132" w:line="357" w:lineRule="auto"/>
        <w:ind w:right="221" w:firstLine="420"/>
        <w:jc w:val="both"/>
      </w:pPr>
      <w:r>
        <w:rPr>
          <w:w w:val="95"/>
        </w:rPr>
        <w:t>公开招标属于非限制性竞争招标，其</w:t>
      </w:r>
      <w:r>
        <w:rPr>
          <w:b/>
          <w:w w:val="95"/>
        </w:rPr>
        <w:t>优点</w:t>
      </w:r>
      <w:r>
        <w:rPr>
          <w:w w:val="95"/>
        </w:rPr>
        <w:t>是能够充分体现招标信息公开性、招标程序规范性、投标竞</w:t>
      </w:r>
      <w:r>
        <w:rPr>
          <w:spacing w:val="245"/>
        </w:rPr>
        <w:t xml:space="preserve"> </w:t>
      </w:r>
      <w:r>
        <w:rPr>
          <w:w w:val="95"/>
        </w:rPr>
        <w:t>争公平性，有助于打破垄断，实现公平竞争。公开招标可使建设单位有较大的选择范围，可在众多投标人</w:t>
      </w:r>
      <w:r>
        <w:rPr>
          <w:spacing w:val="268"/>
        </w:rPr>
        <w:t xml:space="preserve"> </w:t>
      </w:r>
      <w:r>
        <w:rPr>
          <w:w w:val="95"/>
        </w:rPr>
        <w:t>中选择经验丰富、信誉良好、价格合理的工程监理单位，能够大大降低串标、围标、抬标和其他不正当交</w:t>
      </w:r>
      <w:r>
        <w:rPr>
          <w:spacing w:val="258"/>
        </w:rPr>
        <w:t xml:space="preserve"> </w:t>
      </w:r>
      <w:r>
        <w:t>易的可能性。</w:t>
      </w:r>
    </w:p>
    <w:p>
      <w:pPr>
        <w:pStyle w:val="BodyText"/>
        <w:spacing w:line="266" w:lineRule="exact"/>
        <w:ind w:left="640"/>
      </w:pPr>
      <w:r>
        <w:t>公开招标的</w:t>
      </w:r>
      <w:r>
        <w:rPr>
          <w:b/>
        </w:rPr>
        <w:t>缺点</w:t>
      </w:r>
      <w:r>
        <w:t>是，准备招标、资格预审和评标的工作量大，因此，招标时间长，招标费用较高。</w:t>
      </w:r>
    </w:p>
    <w:p>
      <w:pPr>
        <w:pStyle w:val="BodyText"/>
        <w:spacing w:before="129"/>
        <w:ind w:left="640"/>
      </w:pPr>
      <w:r>
        <w:t>⒉邀请招标</w:t>
      </w:r>
    </w:p>
    <w:p>
      <w:pPr>
        <w:spacing w:before="132" w:line="357" w:lineRule="auto"/>
        <w:ind w:left="220" w:right="221" w:firstLine="420"/>
        <w:jc w:val="both"/>
        <w:rPr>
          <w:sz w:val="21"/>
        </w:rPr>
      </w:pPr>
      <w:r>
        <w:rPr>
          <w:w w:val="95"/>
          <w:sz w:val="21"/>
        </w:rPr>
        <w:t>邀请招标属于有限竞争性招标，也称为选择性招标。采用邀请招标方式，建设单位</w:t>
      </w:r>
      <w:r>
        <w:rPr>
          <w:b/>
          <w:w w:val="95"/>
          <w:sz w:val="21"/>
        </w:rPr>
        <w:t>不需要发布招标公</w:t>
      </w:r>
      <w:r>
        <w:rPr>
          <w:b/>
          <w:spacing w:val="239"/>
          <w:sz w:val="21"/>
        </w:rPr>
        <w:t xml:space="preserve"> </w:t>
      </w:r>
      <w:r>
        <w:rPr>
          <w:b/>
          <w:w w:val="95"/>
          <w:sz w:val="21"/>
        </w:rPr>
        <w:t>告，也不进行资格预审(但可组织必要的资格审查)</w:t>
      </w:r>
      <w:r>
        <w:rPr>
          <w:w w:val="95"/>
          <w:sz w:val="21"/>
        </w:rPr>
        <w:t>，使招</w:t>
      </w:r>
      <w:r>
        <w:rPr>
          <w:b/>
          <w:w w:val="95"/>
          <w:sz w:val="21"/>
        </w:rPr>
        <w:t>标程序得到简化。这样，既可节约招标费用，又</w:t>
      </w:r>
      <w:r>
        <w:rPr>
          <w:b/>
          <w:spacing w:val="232"/>
          <w:sz w:val="21"/>
        </w:rPr>
        <w:t xml:space="preserve"> </w:t>
      </w:r>
      <w:r>
        <w:rPr>
          <w:b/>
          <w:w w:val="95"/>
          <w:sz w:val="21"/>
        </w:rPr>
        <w:t>可缩短招标时间。邀请招标虽然能够邀请到有经验和资信可靠的工程监理单位投标，但由于限制了竞争范</w:t>
      </w:r>
      <w:r>
        <w:rPr>
          <w:b/>
          <w:spacing w:val="231"/>
          <w:sz w:val="21"/>
        </w:rPr>
        <w:t xml:space="preserve"> </w:t>
      </w:r>
      <w:r>
        <w:rPr>
          <w:b/>
          <w:w w:val="95"/>
          <w:sz w:val="21"/>
        </w:rPr>
        <w:t>围，选择投标人的范围和投标人竞争的空间有限，可能会失去技术和报价方面有竞争力的投标者，失去理</w:t>
      </w:r>
      <w:r>
        <w:rPr>
          <w:b/>
          <w:spacing w:val="220"/>
          <w:sz w:val="21"/>
        </w:rPr>
        <w:t xml:space="preserve"> </w:t>
      </w:r>
      <w:r>
        <w:rPr>
          <w:b/>
          <w:sz w:val="21"/>
        </w:rPr>
        <w:t>想中标人，达不到预期竞争效果</w:t>
      </w:r>
      <w:r>
        <w:rPr>
          <w:sz w:val="21"/>
        </w:rPr>
        <w:t>。</w:t>
      </w:r>
    </w:p>
    <w:p>
      <w:pPr>
        <w:pStyle w:val="BodyText"/>
        <w:spacing w:line="264" w:lineRule="exact"/>
        <w:jc w:val="both"/>
      </w:pPr>
      <w:r>
        <w:rPr>
          <w:spacing w:val="-3"/>
        </w:rPr>
        <w:t>【考点来源】第五章 建设工程监理招投标与合同管理 第一节 建设工程监理招标程序和评标方法</w:t>
      </w:r>
    </w:p>
    <w:p>
      <w:pPr>
        <w:pStyle w:val="BodyText"/>
        <w:ind w:left="0"/>
        <w:rPr>
          <w:sz w:val="20"/>
        </w:rPr>
      </w:pPr>
    </w:p>
    <w:p>
      <w:pPr>
        <w:pStyle w:val="BodyText"/>
        <w:spacing w:before="7"/>
        <w:ind w:left="0"/>
      </w:pPr>
    </w:p>
    <w:p>
      <w:pPr>
        <w:pStyle w:val="ListParagraph"/>
        <w:numPr>
          <w:ilvl w:val="0"/>
          <w:numId w:val="9"/>
        </w:numPr>
        <w:tabs>
          <w:tab w:val="left" w:pos="537"/>
        </w:tabs>
        <w:spacing w:before="0" w:after="0" w:line="355" w:lineRule="auto"/>
        <w:ind w:left="220" w:right="7341" w:firstLine="0"/>
        <w:jc w:val="left"/>
        <w:rPr>
          <w:sz w:val="21"/>
        </w:rPr>
      </w:pPr>
      <w:r>
        <w:rPr>
          <w:spacing w:val="-1"/>
          <w:sz w:val="21"/>
        </w:rPr>
        <w:t>对监理综合纸质说法正确</w:t>
      </w:r>
      <w:r>
        <w:rPr>
          <w:w w:val="95"/>
          <w:sz w:val="21"/>
        </w:rPr>
        <w:t>a</w:t>
      </w:r>
      <w:r>
        <w:rPr>
          <w:spacing w:val="-9"/>
          <w:w w:val="95"/>
          <w:sz w:val="21"/>
        </w:rPr>
        <w:t xml:space="preserve"> 分一级二级</w:t>
      </w:r>
    </w:p>
    <w:p>
      <w:pPr>
        <w:pStyle w:val="BodyText"/>
        <w:spacing w:before="3" w:line="357" w:lineRule="auto"/>
        <w:ind w:right="8970"/>
      </w:pPr>
      <w:r>
        <w:rPr>
          <w:w w:val="95"/>
        </w:rPr>
        <w:t>b</w:t>
      </w:r>
      <w:r>
        <w:rPr>
          <w:spacing w:val="-8"/>
          <w:w w:val="95"/>
        </w:rPr>
        <w:t xml:space="preserve"> 分甲乙专</w:t>
      </w:r>
      <w:r>
        <w:rPr>
          <w:w w:val="95"/>
        </w:rPr>
        <w:t>c</w:t>
      </w:r>
      <w:r>
        <w:rPr>
          <w:spacing w:val="-8"/>
          <w:w w:val="95"/>
        </w:rPr>
        <w:t xml:space="preserve"> 不分等级</w:t>
      </w:r>
    </w:p>
    <w:p>
      <w:pPr>
        <w:pStyle w:val="BodyText"/>
        <w:spacing w:line="266" w:lineRule="exact"/>
      </w:pPr>
      <w:r>
        <w:rPr>
          <w:w w:val="95"/>
        </w:rPr>
        <w:t>d 分甲级 乙级 丙级</w:t>
      </w:r>
    </w:p>
    <w:p>
      <w:pPr>
        <w:spacing w:after="0" w:line="266" w:lineRule="exact"/>
        <w:sectPr>
          <w:pgSz w:w="11910" w:h="16840"/>
          <w:pgMar w:top="1820" w:right="860" w:bottom="280" w:left="860" w:header="1620" w:footer="0" w:gutter="0"/>
          <w:pgNumType w:start="15"/>
          <w:cols w:space="708"/>
        </w:sectPr>
      </w:pPr>
    </w:p>
    <w:p>
      <w:pPr>
        <w:pStyle w:val="BodyText"/>
        <w:ind w:left="0"/>
        <w:rPr>
          <w:sz w:val="20"/>
        </w:rPr>
      </w:pPr>
    </w:p>
    <w:p>
      <w:pPr>
        <w:pStyle w:val="BodyText"/>
        <w:ind w:left="0"/>
        <w:rPr>
          <w:sz w:val="16"/>
        </w:rPr>
      </w:pPr>
    </w:p>
    <w:p>
      <w:pPr>
        <w:pStyle w:val="BodyText"/>
      </w:pPr>
      <w:r>
        <w:t>【答案】C</w:t>
      </w:r>
    </w:p>
    <w:p>
      <w:pPr>
        <w:pStyle w:val="BodyText"/>
        <w:spacing w:before="132"/>
      </w:pPr>
      <w:r>
        <w:t>【解析】</w:t>
      </w:r>
    </w:p>
    <w:p>
      <w:pPr>
        <w:pStyle w:val="BodyText"/>
        <w:spacing w:before="131"/>
        <w:ind w:left="640"/>
      </w:pPr>
      <w:r>
        <w:pict>
          <v:shape id="docshape7" o:spid="_x0000_s1026" type="#_x0000_t202" style="width:222.15pt;height:62pt;margin-top:21pt;margin-left:186.7pt;mso-height-relative:page;mso-position-horizontal-relative:page;mso-width-relative:page;position:absolute;z-index:251659264"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896"/>
                    <w:gridCol w:w="1056"/>
                    <w:gridCol w:w="1476"/>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00"/>
                    </w:trPr>
                    <w:tc>
                      <w:tcPr>
                        <w:tcW w:w="1896" w:type="dxa"/>
                        <w:vMerge w:val="restart"/>
                      </w:tcPr>
                      <w:p>
                        <w:pPr>
                          <w:pStyle w:val="TableParagraph"/>
                          <w:rPr>
                            <w:sz w:val="20"/>
                          </w:rPr>
                        </w:pPr>
                      </w:p>
                      <w:p>
                        <w:pPr>
                          <w:pStyle w:val="TableParagraph"/>
                          <w:spacing w:before="6"/>
                          <w:rPr>
                            <w:sz w:val="20"/>
                          </w:rPr>
                        </w:pPr>
                      </w:p>
                      <w:p>
                        <w:pPr>
                          <w:pStyle w:val="TableParagraph"/>
                          <w:ind w:left="107"/>
                          <w:rPr>
                            <w:sz w:val="21"/>
                          </w:rPr>
                        </w:pPr>
                        <w:r>
                          <w:rPr>
                            <w:sz w:val="21"/>
                          </w:rPr>
                          <w:t>工程监理企业资质</w:t>
                        </w:r>
                      </w:p>
                    </w:tc>
                    <w:tc>
                      <w:tcPr>
                        <w:tcW w:w="1056" w:type="dxa"/>
                      </w:tcPr>
                      <w:p>
                        <w:pPr>
                          <w:pStyle w:val="TableParagraph"/>
                          <w:spacing w:before="111" w:line="269" w:lineRule="exact"/>
                          <w:ind w:left="107"/>
                          <w:rPr>
                            <w:sz w:val="21"/>
                          </w:rPr>
                        </w:pPr>
                        <w:r>
                          <w:rPr>
                            <w:sz w:val="21"/>
                          </w:rPr>
                          <w:t>综合资质</w:t>
                        </w:r>
                      </w:p>
                    </w:tc>
                    <w:tc>
                      <w:tcPr>
                        <w:tcW w:w="1476" w:type="dxa"/>
                      </w:tcPr>
                      <w:p>
                        <w:pPr>
                          <w:pStyle w:val="TableParagraph"/>
                          <w:spacing w:before="111" w:line="269" w:lineRule="exact"/>
                          <w:ind w:left="84" w:right="79"/>
                          <w:jc w:val="center"/>
                          <w:rPr>
                            <w:sz w:val="21"/>
                          </w:rPr>
                        </w:pPr>
                        <w:r>
                          <w:rPr>
                            <w:sz w:val="21"/>
                          </w:rPr>
                          <w:t>不分等级</w:t>
                        </w:r>
                      </w:p>
                    </w:tc>
                  </w:tr>
                  <w:tr>
                    <w:tblPrEx>
                      <w:tblW w:w="0" w:type="auto"/>
                      <w:tblInd w:w="5" w:type="dxa"/>
                      <w:tblLayout w:type="fixed"/>
                      <w:tblCellMar>
                        <w:top w:w="0" w:type="dxa"/>
                        <w:left w:w="0" w:type="dxa"/>
                        <w:bottom w:w="0" w:type="dxa"/>
                        <w:right w:w="0" w:type="dxa"/>
                      </w:tblCellMar>
                    </w:tblPrEx>
                    <w:trPr>
                      <w:trHeight w:val="400"/>
                    </w:trPr>
                    <w:tc>
                      <w:tcPr>
                        <w:tcW w:w="1896" w:type="dxa"/>
                        <w:vMerge/>
                        <w:tcBorders>
                          <w:top w:val="nil"/>
                        </w:tcBorders>
                      </w:tcPr>
                      <w:p>
                        <w:pPr>
                          <w:rPr>
                            <w:sz w:val="2"/>
                            <w:szCs w:val="2"/>
                          </w:rPr>
                        </w:pPr>
                      </w:p>
                    </w:tc>
                    <w:tc>
                      <w:tcPr>
                        <w:tcW w:w="1056" w:type="dxa"/>
                        <w:vMerge w:val="restart"/>
                      </w:tcPr>
                      <w:p>
                        <w:pPr>
                          <w:pStyle w:val="TableParagraph"/>
                          <w:spacing w:before="8"/>
                          <w:rPr>
                            <w:sz w:val="24"/>
                          </w:rPr>
                        </w:pPr>
                      </w:p>
                      <w:p>
                        <w:pPr>
                          <w:pStyle w:val="TableParagraph"/>
                          <w:ind w:left="107"/>
                          <w:rPr>
                            <w:sz w:val="21"/>
                          </w:rPr>
                        </w:pPr>
                        <w:r>
                          <w:rPr>
                            <w:sz w:val="21"/>
                          </w:rPr>
                          <w:t>专业资质</w:t>
                        </w:r>
                      </w:p>
                    </w:tc>
                    <w:tc>
                      <w:tcPr>
                        <w:tcW w:w="1476" w:type="dxa"/>
                      </w:tcPr>
                      <w:p>
                        <w:pPr>
                          <w:pStyle w:val="TableParagraph"/>
                          <w:spacing w:before="109"/>
                          <w:ind w:left="86" w:right="77"/>
                          <w:jc w:val="center"/>
                          <w:rPr>
                            <w:sz w:val="21"/>
                          </w:rPr>
                        </w:pPr>
                        <w:r>
                          <w:rPr>
                            <w:sz w:val="21"/>
                          </w:rPr>
                          <w:t>甲级、乙级</w:t>
                        </w:r>
                      </w:p>
                    </w:tc>
                  </w:tr>
                  <w:tr>
                    <w:tblPrEx>
                      <w:tblW w:w="0" w:type="auto"/>
                      <w:tblInd w:w="5" w:type="dxa"/>
                      <w:tblLayout w:type="fixed"/>
                      <w:tblCellMar>
                        <w:top w:w="0" w:type="dxa"/>
                        <w:left w:w="0" w:type="dxa"/>
                        <w:bottom w:w="0" w:type="dxa"/>
                        <w:right w:w="0" w:type="dxa"/>
                      </w:tblCellMar>
                    </w:tblPrEx>
                    <w:trPr>
                      <w:trHeight w:val="400"/>
                    </w:trPr>
                    <w:tc>
                      <w:tcPr>
                        <w:tcW w:w="1896" w:type="dxa"/>
                        <w:vMerge/>
                        <w:tcBorders>
                          <w:top w:val="nil"/>
                        </w:tcBorders>
                      </w:tcPr>
                      <w:p>
                        <w:pPr>
                          <w:rPr>
                            <w:sz w:val="2"/>
                            <w:szCs w:val="2"/>
                          </w:rPr>
                        </w:pPr>
                      </w:p>
                    </w:tc>
                    <w:tc>
                      <w:tcPr>
                        <w:tcW w:w="1056" w:type="dxa"/>
                        <w:vMerge/>
                        <w:tcBorders>
                          <w:top w:val="nil"/>
                        </w:tcBorders>
                      </w:tcPr>
                      <w:p>
                        <w:pPr>
                          <w:rPr>
                            <w:sz w:val="2"/>
                            <w:szCs w:val="2"/>
                          </w:rPr>
                        </w:pPr>
                      </w:p>
                    </w:tc>
                    <w:tc>
                      <w:tcPr>
                        <w:tcW w:w="1476" w:type="dxa"/>
                      </w:tcPr>
                      <w:p>
                        <w:pPr>
                          <w:pStyle w:val="TableParagraph"/>
                          <w:spacing w:before="109"/>
                          <w:ind w:left="86" w:right="79"/>
                          <w:jc w:val="center"/>
                          <w:rPr>
                            <w:sz w:val="21"/>
                          </w:rPr>
                        </w:pPr>
                        <w:r>
                          <w:rPr>
                            <w:sz w:val="21"/>
                          </w:rPr>
                          <w:t>10个工程类别</w:t>
                        </w:r>
                      </w:p>
                    </w:tc>
                  </w:tr>
                </w:tbl>
                <w:p>
                  <w:pPr>
                    <w:pStyle w:val="BodyText"/>
                    <w:ind w:left="0"/>
                  </w:pPr>
                </w:p>
              </w:txbxContent>
            </v:textbox>
          </v:shape>
        </w:pict>
      </w:r>
      <w:r>
        <w:t>㈠工程监理企业资质等级</w:t>
      </w:r>
    </w:p>
    <w:p>
      <w:pPr>
        <w:pStyle w:val="BodyText"/>
        <w:ind w:left="0"/>
        <w:rPr>
          <w:sz w:val="20"/>
        </w:rPr>
      </w:pPr>
    </w:p>
    <w:p>
      <w:pPr>
        <w:pStyle w:val="BodyText"/>
        <w:ind w:left="0"/>
        <w:rPr>
          <w:sz w:val="20"/>
        </w:rPr>
      </w:pPr>
    </w:p>
    <w:p>
      <w:pPr>
        <w:pStyle w:val="BodyText"/>
        <w:spacing w:before="7"/>
        <w:ind w:left="0"/>
        <w:rPr>
          <w:sz w:val="25"/>
        </w:rPr>
      </w:pPr>
    </w:p>
    <w:p>
      <w:pPr>
        <w:pStyle w:val="BodyText"/>
        <w:spacing w:line="800" w:lineRule="atLeast"/>
        <w:ind w:right="3353"/>
      </w:pPr>
      <w:r>
        <w:rPr>
          <w:spacing w:val="-3"/>
        </w:rPr>
        <w:t>【考点来源】第四章 工程监理企业与监理工程师 第一节 工程监理企业</w:t>
      </w:r>
      <w:r>
        <w:t>32.根据《建筑法》，关于工程监理单位职责的说法，正确的是()。</w:t>
      </w:r>
    </w:p>
    <w:p>
      <w:pPr>
        <w:pStyle w:val="BodyText"/>
        <w:spacing w:before="131" w:line="357" w:lineRule="auto"/>
        <w:ind w:right="3667"/>
      </w:pPr>
      <w:r>
        <w:rPr>
          <w:w w:val="95"/>
        </w:rPr>
        <w:t>A.发现工程设计不符合合同约定的质量要求，有权要求设计单位改正</w:t>
      </w:r>
      <w:r>
        <w:rPr>
          <w:spacing w:val="9"/>
          <w:w w:val="95"/>
        </w:rPr>
        <w:t xml:space="preserve"> </w:t>
      </w:r>
      <w:r>
        <w:t>B.发现工程施工不符合设计要求，有杈要求施工单位改正</w:t>
      </w:r>
    </w:p>
    <w:p>
      <w:pPr>
        <w:pStyle w:val="BodyText"/>
        <w:spacing w:line="266" w:lineRule="exact"/>
      </w:pPr>
      <w:r>
        <w:t>C.负责将监理内容及监理权限，书面通知被监理的施工单位</w:t>
      </w:r>
    </w:p>
    <w:p>
      <w:pPr>
        <w:pStyle w:val="BodyText"/>
        <w:spacing w:before="131"/>
      </w:pPr>
      <w:r>
        <w:t>D.涉及承重结构变动的装修工程，应要求设计单位提出设计方案</w:t>
      </w:r>
    </w:p>
    <w:p>
      <w:pPr>
        <w:pStyle w:val="BodyText"/>
        <w:spacing w:before="132"/>
      </w:pPr>
      <w:r>
        <w:rPr>
          <w:spacing w:val="-1"/>
        </w:rPr>
        <w:t xml:space="preserve">【答案】 </w:t>
      </w:r>
      <w:r>
        <w:t>B</w:t>
      </w:r>
    </w:p>
    <w:p>
      <w:pPr>
        <w:pStyle w:val="BodyText"/>
        <w:spacing w:before="129"/>
      </w:pPr>
      <w:r>
        <w:t>【解析】</w:t>
      </w:r>
    </w:p>
    <w:p>
      <w:pPr>
        <w:pStyle w:val="BodyText"/>
        <w:spacing w:before="132" w:line="357" w:lineRule="auto"/>
        <w:ind w:right="308" w:firstLine="420"/>
      </w:pPr>
      <w:r>
        <w:t>第三十二条 建筑工程监理应当依照法律、行政法规及有关的技术标准、设计文件和建筑工程承包合同，对承包单位在施工质量、建设工期和建设资金使用等方面，</w:t>
      </w:r>
      <w:r>
        <w:rPr>
          <w:b/>
        </w:rPr>
        <w:t>代表建设单位实施监督</w:t>
      </w:r>
      <w:r>
        <w:t>。</w:t>
      </w:r>
    </w:p>
    <w:p>
      <w:pPr>
        <w:spacing w:before="0" w:line="357" w:lineRule="auto"/>
        <w:ind w:left="220" w:right="274" w:firstLine="420"/>
        <w:jc w:val="left"/>
        <w:rPr>
          <w:b/>
          <w:sz w:val="21"/>
        </w:rPr>
      </w:pPr>
      <w:r>
        <w:rPr>
          <w:b/>
          <w:w w:val="95"/>
          <w:sz w:val="21"/>
        </w:rPr>
        <w:t>工程监理人员认为工程施工不符合工程设计要求、施工技术标准和合同约定的，有权要求建筑施工企</w:t>
      </w:r>
      <w:r>
        <w:rPr>
          <w:b/>
          <w:spacing w:val="148"/>
          <w:sz w:val="21"/>
        </w:rPr>
        <w:t xml:space="preserve"> </w:t>
      </w:r>
      <w:r>
        <w:rPr>
          <w:b/>
          <w:sz w:val="21"/>
        </w:rPr>
        <w:t>业改正。</w:t>
      </w:r>
    </w:p>
    <w:p>
      <w:pPr>
        <w:spacing w:before="0" w:line="355" w:lineRule="auto"/>
        <w:ind w:left="220" w:right="274" w:firstLine="420"/>
        <w:jc w:val="left"/>
        <w:rPr>
          <w:b/>
          <w:sz w:val="21"/>
        </w:rPr>
      </w:pPr>
      <w:r>
        <w:rPr>
          <w:b/>
          <w:w w:val="95"/>
          <w:sz w:val="21"/>
        </w:rPr>
        <w:t>工程监理人员发现工程设计不符合建筑工程质量标准或者合同约定的质量要求的，应当报告建设单位</w:t>
      </w:r>
      <w:r>
        <w:rPr>
          <w:b/>
          <w:spacing w:val="148"/>
          <w:sz w:val="21"/>
        </w:rPr>
        <w:t xml:space="preserve"> </w:t>
      </w:r>
      <w:r>
        <w:rPr>
          <w:b/>
          <w:sz w:val="21"/>
        </w:rPr>
        <w:t>要求设计单位改正。</w:t>
      </w:r>
    </w:p>
    <w:p>
      <w:pPr>
        <w:spacing w:before="0" w:line="357" w:lineRule="auto"/>
        <w:ind w:left="220" w:right="278" w:firstLine="420"/>
        <w:jc w:val="left"/>
        <w:rPr>
          <w:b/>
          <w:sz w:val="21"/>
        </w:rPr>
      </w:pPr>
      <w:r>
        <w:rPr>
          <w:spacing w:val="15"/>
          <w:sz w:val="21"/>
        </w:rPr>
        <w:t xml:space="preserve">第三十三条 </w:t>
      </w:r>
      <w:r>
        <w:rPr>
          <w:b/>
          <w:sz w:val="21"/>
        </w:rPr>
        <w:t>实施建筑工程监理前，建设单位应当将委托的工程监理单位、监理的内容及监理权限，</w:t>
      </w:r>
      <w:r>
        <w:rPr>
          <w:b/>
          <w:spacing w:val="-103"/>
          <w:sz w:val="21"/>
        </w:rPr>
        <w:t xml:space="preserve"> </w:t>
      </w:r>
      <w:r>
        <w:rPr>
          <w:b/>
          <w:sz w:val="21"/>
        </w:rPr>
        <w:t>书面通知被监理的建筑施工企业。</w:t>
      </w:r>
    </w:p>
    <w:p>
      <w:pPr>
        <w:spacing w:before="0" w:line="357" w:lineRule="auto"/>
        <w:ind w:left="220" w:right="274" w:firstLine="420"/>
        <w:jc w:val="left"/>
        <w:rPr>
          <w:b/>
          <w:sz w:val="21"/>
        </w:rPr>
      </w:pPr>
      <w:r>
        <w:rPr>
          <w:b/>
          <w:sz w:val="21"/>
        </w:rPr>
        <w:t>第四十九条 涉及建筑主体和承重结构变动的装修工程，建设单位应当在施工前委托原设计单位或者具有相应资质条件的设计单位提出设计方案；没有设计方案的，不得施工。</w:t>
      </w:r>
    </w:p>
    <w:p>
      <w:pPr>
        <w:pStyle w:val="BodyText"/>
        <w:spacing w:line="269" w:lineRule="exact"/>
      </w:pPr>
      <w:r>
        <w:rPr>
          <w:spacing w:val="-3"/>
        </w:rPr>
        <w:t>【考点来源】第三章 建设工程监理相关法律法规及标准 第一节 建设工程监理相关法律及行政法规</w:t>
      </w:r>
    </w:p>
    <w:p>
      <w:pPr>
        <w:pStyle w:val="BodyText"/>
        <w:ind w:left="0"/>
        <w:rPr>
          <w:sz w:val="20"/>
        </w:rPr>
      </w:pPr>
    </w:p>
    <w:p>
      <w:pPr>
        <w:pStyle w:val="BodyText"/>
        <w:spacing w:before="2"/>
        <w:ind w:left="0"/>
      </w:pPr>
    </w:p>
    <w:p>
      <w:pPr>
        <w:pStyle w:val="ListParagraph"/>
        <w:numPr>
          <w:ilvl w:val="0"/>
          <w:numId w:val="12"/>
        </w:numPr>
        <w:tabs>
          <w:tab w:val="left" w:pos="537"/>
        </w:tabs>
        <w:spacing w:before="0" w:after="0" w:line="357" w:lineRule="auto"/>
        <w:ind w:left="220" w:right="221" w:firstLine="0"/>
        <w:jc w:val="left"/>
        <w:rPr>
          <w:sz w:val="21"/>
        </w:rPr>
      </w:pPr>
      <w:r>
        <w:rPr>
          <w:w w:val="95"/>
          <w:sz w:val="21"/>
        </w:rPr>
        <w:t>按照建设工程规模大小和所委托的工程监理工作服务内容的复杂程度，以建设投资的一定比例计取监理</w:t>
      </w:r>
      <w:r>
        <w:rPr>
          <w:spacing w:val="141"/>
          <w:sz w:val="21"/>
        </w:rPr>
        <w:t xml:space="preserve"> </w:t>
      </w:r>
      <w:r>
        <w:rPr>
          <w:sz w:val="21"/>
        </w:rPr>
        <w:t>费用的方法是（）。</w:t>
      </w:r>
    </w:p>
    <w:p>
      <w:pPr>
        <w:pStyle w:val="BodyText"/>
        <w:spacing w:line="357" w:lineRule="auto"/>
        <w:ind w:right="8706"/>
      </w:pPr>
      <w:r>
        <w:rPr>
          <w:spacing w:val="-1"/>
        </w:rPr>
        <w:t>A.费率计费法B.工时计费法</w:t>
      </w:r>
    </w:p>
    <w:p>
      <w:pPr>
        <w:spacing w:after="0" w:line="357" w:lineRule="auto"/>
        <w:sectPr>
          <w:pgSz w:w="11910" w:h="16840"/>
          <w:pgMar w:top="1920" w:right="860" w:bottom="280" w:left="860" w:header="1632" w:footer="0" w:gutter="0"/>
          <w:pgNumType w:start="16"/>
          <w:cols w:space="708"/>
        </w:sectPr>
      </w:pPr>
    </w:p>
    <w:p>
      <w:pPr>
        <w:pStyle w:val="BodyText"/>
        <w:ind w:left="0"/>
        <w:rPr>
          <w:sz w:val="20"/>
        </w:rPr>
      </w:pPr>
    </w:p>
    <w:p>
      <w:pPr>
        <w:pStyle w:val="BodyText"/>
        <w:spacing w:before="7"/>
        <w:ind w:left="0"/>
        <w:rPr>
          <w:sz w:val="17"/>
        </w:rPr>
      </w:pPr>
    </w:p>
    <w:p>
      <w:pPr>
        <w:pStyle w:val="BodyText"/>
        <w:spacing w:before="70"/>
      </w:pPr>
      <w:r>
        <w:t>C.固定単价法</w:t>
      </w:r>
    </w:p>
    <w:p>
      <w:pPr>
        <w:pStyle w:val="BodyText"/>
        <w:spacing w:before="132"/>
      </w:pPr>
      <w:r>
        <w:t>D.服务内容计量法</w:t>
      </w:r>
    </w:p>
    <w:p>
      <w:pPr>
        <w:pStyle w:val="BodyText"/>
        <w:spacing w:before="132"/>
      </w:pPr>
      <w:r>
        <w:t>【答案】A</w:t>
      </w:r>
    </w:p>
    <w:p>
      <w:pPr>
        <w:pStyle w:val="BodyText"/>
        <w:spacing w:before="129" w:line="357" w:lineRule="auto"/>
        <w:ind w:right="223"/>
      </w:pPr>
      <w:r>
        <w:rPr>
          <w:w w:val="95"/>
        </w:rPr>
        <w:t>【解析】费率计费法是按照工程规模大小和所委托的咨询工作繁简，以建设投资的一定百分比来计算。一</w:t>
      </w:r>
      <w:r>
        <w:rPr>
          <w:spacing w:val="256"/>
        </w:rPr>
        <w:t xml:space="preserve"> </w:t>
      </w:r>
      <w:r>
        <w:t>般情况下，工程规模越大，建设投资越多，计算咨询费</w:t>
      </w:r>
    </w:p>
    <w:p>
      <w:pPr>
        <w:pStyle w:val="BodyText"/>
        <w:spacing w:line="269" w:lineRule="exact"/>
      </w:pPr>
      <w:r>
        <w:t>的百分比越小。</w:t>
      </w:r>
    </w:p>
    <w:p>
      <w:pPr>
        <w:pStyle w:val="BodyText"/>
        <w:spacing w:before="129"/>
      </w:pPr>
      <w:r>
        <w:t>【考点来源】建设工程监理费用计取方法</w:t>
      </w:r>
    </w:p>
    <w:p>
      <w:pPr>
        <w:pStyle w:val="BodyText"/>
        <w:ind w:left="0"/>
        <w:rPr>
          <w:sz w:val="20"/>
        </w:rPr>
      </w:pPr>
    </w:p>
    <w:p>
      <w:pPr>
        <w:pStyle w:val="BodyText"/>
        <w:spacing w:before="7"/>
        <w:ind w:left="0"/>
      </w:pPr>
    </w:p>
    <w:p>
      <w:pPr>
        <w:pStyle w:val="ListParagraph"/>
        <w:numPr>
          <w:ilvl w:val="0"/>
          <w:numId w:val="12"/>
        </w:numPr>
        <w:tabs>
          <w:tab w:val="left" w:pos="537"/>
        </w:tabs>
        <w:spacing w:before="0" w:after="0" w:line="355" w:lineRule="auto"/>
        <w:ind w:left="220" w:right="6081" w:firstLine="0"/>
        <w:jc w:val="left"/>
        <w:rPr>
          <w:sz w:val="21"/>
        </w:rPr>
      </w:pPr>
      <w:r>
        <w:rPr>
          <w:w w:val="95"/>
          <w:sz w:val="21"/>
        </w:rPr>
        <w:t>关于全过程工程咨询的说法，正确的是</w:t>
      </w:r>
      <w:r>
        <w:rPr>
          <w:sz w:val="21"/>
        </w:rPr>
        <w:t>A.全过程工程咨询不包含项目的规划咨询</w:t>
      </w:r>
    </w:p>
    <w:p>
      <w:pPr>
        <w:pStyle w:val="BodyText"/>
        <w:spacing w:before="3" w:line="357" w:lineRule="auto"/>
        <w:ind w:right="4507"/>
      </w:pPr>
      <w:r>
        <w:rPr>
          <w:w w:val="95"/>
        </w:rPr>
        <w:t>B.全过程工程咨询是针对工程建设“全寿命期”进行的咨询</w:t>
      </w:r>
      <w:r>
        <w:rPr>
          <w:spacing w:val="1"/>
          <w:w w:val="95"/>
        </w:rPr>
        <w:t xml:space="preserve"> </w:t>
      </w:r>
      <w:r>
        <w:t>C.全过程工程咨询强调工程建设全过程管理咨询</w:t>
      </w:r>
    </w:p>
    <w:p>
      <w:pPr>
        <w:pStyle w:val="BodyText"/>
        <w:spacing w:line="266" w:lineRule="exact"/>
      </w:pPr>
      <w:r>
        <w:t>D.全过程工程咨询强调通过多阶段集成化咨询服务为委托方创造价值</w:t>
      </w:r>
    </w:p>
    <w:p>
      <w:pPr>
        <w:pStyle w:val="BodyText"/>
        <w:spacing w:before="132"/>
      </w:pPr>
      <w:r>
        <w:t>【答案】D</w:t>
      </w:r>
    </w:p>
    <w:p>
      <w:pPr>
        <w:pStyle w:val="BodyText"/>
        <w:spacing w:before="132"/>
      </w:pPr>
      <w:r>
        <w:t>【解析】</w:t>
      </w:r>
    </w:p>
    <w:p>
      <w:pPr>
        <w:pStyle w:val="BodyText"/>
        <w:spacing w:before="129"/>
        <w:ind w:left="644"/>
      </w:pPr>
      <w:r>
        <w:t>⒈全过程工程咨询的含义</w:t>
      </w:r>
    </w:p>
    <w:p>
      <w:pPr>
        <w:spacing w:before="132" w:line="357" w:lineRule="auto"/>
        <w:ind w:left="220" w:right="285" w:firstLine="424"/>
        <w:jc w:val="both"/>
        <w:rPr>
          <w:b/>
          <w:sz w:val="21"/>
        </w:rPr>
      </w:pPr>
      <w:r>
        <w:rPr>
          <w:b/>
          <w:w w:val="95"/>
          <w:sz w:val="21"/>
        </w:rPr>
        <w:t>所谓全过程工程咨询</w:t>
      </w:r>
      <w:r>
        <w:rPr>
          <w:w w:val="95"/>
          <w:sz w:val="21"/>
        </w:rPr>
        <w:t>，是指工程咨询方综合运用多学科知识、工程实践经验、现代科学技术和经济管</w:t>
      </w:r>
      <w:r>
        <w:rPr>
          <w:spacing w:val="172"/>
          <w:sz w:val="21"/>
        </w:rPr>
        <w:t xml:space="preserve"> </w:t>
      </w:r>
      <w:r>
        <w:rPr>
          <w:w w:val="95"/>
          <w:sz w:val="21"/>
        </w:rPr>
        <w:t>理方法，采用多种服务方式组合，</w:t>
      </w:r>
      <w:r>
        <w:rPr>
          <w:b/>
          <w:w w:val="95"/>
          <w:sz w:val="21"/>
        </w:rPr>
        <w:t>为委托方在项目投资决策、建设实施乃至运营维护阶段持续提供局部或</w:t>
      </w:r>
      <w:r>
        <w:rPr>
          <w:b/>
          <w:spacing w:val="168"/>
          <w:sz w:val="21"/>
        </w:rPr>
        <w:t xml:space="preserve"> </w:t>
      </w:r>
      <w:r>
        <w:rPr>
          <w:b/>
          <w:sz w:val="21"/>
        </w:rPr>
        <w:t>整体解决方案的智力性服务活动。</w:t>
      </w:r>
    </w:p>
    <w:p>
      <w:pPr>
        <w:spacing w:before="0" w:line="266" w:lineRule="exact"/>
        <w:ind w:left="644" w:right="0" w:firstLine="0"/>
        <w:jc w:val="left"/>
        <w:rPr>
          <w:b/>
          <w:sz w:val="21"/>
        </w:rPr>
      </w:pPr>
      <w:r>
        <w:rPr>
          <w:b/>
          <w:w w:val="95"/>
          <w:sz w:val="21"/>
        </w:rPr>
        <w:t>全过程工程咨询服务内容包括投资决策综合性咨询和工程建设全过程咨询。</w:t>
      </w:r>
    </w:p>
    <w:p>
      <w:pPr>
        <w:pStyle w:val="BodyText"/>
        <w:spacing w:before="131"/>
        <w:ind w:left="644"/>
      </w:pPr>
      <w:r>
        <w:t>⒉全过程工程咨询的特点</w:t>
      </w:r>
    </w:p>
    <w:p>
      <w:pPr>
        <w:spacing w:before="130"/>
        <w:ind w:left="644" w:right="0" w:firstLine="0"/>
        <w:jc w:val="left"/>
        <w:rPr>
          <w:sz w:val="21"/>
        </w:rPr>
      </w:pPr>
      <w:r>
        <w:rPr>
          <w:b/>
          <w:w w:val="95"/>
          <w:sz w:val="21"/>
        </w:rPr>
        <w:t>与传统“碎片化”咨询相比，</w:t>
      </w:r>
      <w:r>
        <w:rPr>
          <w:w w:val="95"/>
          <w:sz w:val="21"/>
        </w:rPr>
        <w:t>全过程工程咨询具有以下三大特点：</w:t>
      </w:r>
    </w:p>
    <w:p>
      <w:pPr>
        <w:spacing w:before="132" w:line="357" w:lineRule="auto"/>
        <w:ind w:left="220" w:right="114" w:firstLine="424"/>
        <w:jc w:val="left"/>
        <w:rPr>
          <w:sz w:val="21"/>
        </w:rPr>
      </w:pPr>
      <w:r>
        <w:rPr>
          <w:sz w:val="21"/>
        </w:rPr>
        <w:t>⑴</w:t>
      </w:r>
      <w:r>
        <w:rPr>
          <w:b/>
          <w:sz w:val="21"/>
        </w:rPr>
        <w:t>咨询服务范围广。</w:t>
      </w:r>
      <w:r>
        <w:rPr>
          <w:sz w:val="21"/>
        </w:rPr>
        <w:t>全过程工程咨询服务覆盖面广，主要体现在两个方面：一是</w:t>
      </w:r>
      <w:r>
        <w:rPr>
          <w:b/>
          <w:sz w:val="21"/>
        </w:rPr>
        <w:t>从服务阶段看，全过程工程咨询覆盖项目投资决策、建设实施(设计、招标、施工)全过程集成化服务，有时还会包括运营维护</w:t>
      </w:r>
      <w:r>
        <w:rPr>
          <w:b/>
          <w:w w:val="95"/>
          <w:sz w:val="21"/>
        </w:rPr>
        <w:t>阶段咨询服务</w:t>
      </w:r>
      <w:r>
        <w:rPr>
          <w:w w:val="95"/>
          <w:sz w:val="21"/>
        </w:rPr>
        <w:t>；二是</w:t>
      </w:r>
      <w:r>
        <w:rPr>
          <w:b/>
          <w:w w:val="95"/>
          <w:sz w:val="21"/>
        </w:rPr>
        <w:t>从服务内容看，全过程工程咨询包含技术咨询和管理咨询，而不只是侧重于管理咨询</w:t>
      </w:r>
      <w:r>
        <w:rPr>
          <w:w w:val="95"/>
          <w:sz w:val="21"/>
        </w:rPr>
        <w:t>。</w:t>
      </w:r>
    </w:p>
    <w:p>
      <w:pPr>
        <w:spacing w:before="0" w:line="266" w:lineRule="exact"/>
        <w:ind w:left="644" w:right="0" w:firstLine="0"/>
        <w:jc w:val="left"/>
        <w:rPr>
          <w:sz w:val="21"/>
        </w:rPr>
      </w:pPr>
      <w:r>
        <w:rPr>
          <w:w w:val="95"/>
          <w:sz w:val="21"/>
        </w:rPr>
        <w:t>⑵</w:t>
      </w:r>
      <w:r>
        <w:rPr>
          <w:b/>
          <w:w w:val="95"/>
          <w:sz w:val="21"/>
        </w:rPr>
        <w:t>强调智力性策划</w:t>
      </w:r>
      <w:r>
        <w:rPr>
          <w:w w:val="95"/>
          <w:sz w:val="21"/>
        </w:rPr>
        <w:t>。</w:t>
      </w:r>
    </w:p>
    <w:p>
      <w:pPr>
        <w:spacing w:before="131"/>
        <w:ind w:left="644" w:right="0" w:firstLine="0"/>
        <w:jc w:val="left"/>
        <w:rPr>
          <w:sz w:val="21"/>
        </w:rPr>
      </w:pPr>
      <w:r>
        <w:rPr>
          <w:w w:val="95"/>
          <w:sz w:val="21"/>
        </w:rPr>
        <w:t>⑶</w:t>
      </w:r>
      <w:r>
        <w:rPr>
          <w:b/>
          <w:w w:val="95"/>
          <w:sz w:val="21"/>
        </w:rPr>
        <w:t>实施多阶段集成</w:t>
      </w:r>
      <w:r>
        <w:rPr>
          <w:w w:val="95"/>
          <w:sz w:val="21"/>
        </w:rPr>
        <w:t>。</w:t>
      </w:r>
    </w:p>
    <w:p>
      <w:pPr>
        <w:pStyle w:val="BodyText"/>
        <w:spacing w:before="130"/>
        <w:ind w:left="644"/>
      </w:pPr>
      <w:r>
        <w:rPr>
          <w:b/>
        </w:rPr>
        <w:t>㈡</w:t>
      </w:r>
      <w:r>
        <w:t>全过程工程咨询的本质和实施策略</w:t>
      </w:r>
    </w:p>
    <w:p>
      <w:pPr>
        <w:pStyle w:val="BodyText"/>
        <w:spacing w:before="131"/>
        <w:ind w:left="644"/>
      </w:pPr>
      <w:r>
        <w:t>⒈全过程工程咨询的本质</w:t>
      </w:r>
    </w:p>
    <w:p>
      <w:pPr>
        <w:pStyle w:val="BodyText"/>
        <w:spacing w:before="132"/>
        <w:ind w:left="644"/>
      </w:pPr>
      <w:r>
        <w:rPr>
          <w:b/>
        </w:rPr>
        <w:t>首先</w:t>
      </w:r>
      <w:r>
        <w:t>，要将“制度”与“模式”相区别。</w:t>
      </w:r>
    </w:p>
    <w:p>
      <w:pPr>
        <w:pStyle w:val="BodyText"/>
        <w:spacing w:before="129"/>
        <w:ind w:left="644"/>
      </w:pPr>
      <w:r>
        <w:rPr>
          <w:b/>
        </w:rPr>
        <w:t>其次</w:t>
      </w:r>
      <w:r>
        <w:t>，要将“全过程工程咨询”与“项目管理服务”相区别。</w:t>
      </w:r>
    </w:p>
    <w:p>
      <w:pPr>
        <w:spacing w:after="0"/>
        <w:sectPr>
          <w:pgSz w:w="11910" w:h="16840"/>
          <w:pgMar w:top="1820" w:right="860" w:bottom="280" w:left="860" w:header="1620" w:footer="0" w:gutter="0"/>
          <w:pgNumType w:start="17"/>
          <w:cols w:space="708"/>
        </w:sectPr>
      </w:pPr>
    </w:p>
    <w:p>
      <w:pPr>
        <w:pStyle w:val="BodyText"/>
        <w:ind w:left="0"/>
        <w:rPr>
          <w:sz w:val="20"/>
        </w:rPr>
      </w:pPr>
    </w:p>
    <w:p>
      <w:pPr>
        <w:pStyle w:val="BodyText"/>
        <w:ind w:left="0"/>
        <w:rPr>
          <w:sz w:val="16"/>
        </w:rPr>
      </w:pPr>
    </w:p>
    <w:p>
      <w:pPr>
        <w:pStyle w:val="BodyText"/>
        <w:spacing w:line="357" w:lineRule="auto"/>
        <w:ind w:right="300" w:firstLine="424"/>
        <w:jc w:val="both"/>
      </w:pPr>
      <w:r>
        <w:rPr>
          <w:b/>
          <w:w w:val="95"/>
        </w:rPr>
        <w:t>第三</w:t>
      </w:r>
      <w:r>
        <w:rPr>
          <w:w w:val="95"/>
        </w:rPr>
        <w:t>，要将“全过程”与“全寿命期”相区别。全过程工程咨询业务可以覆盖项目投资决策、建设实</w:t>
      </w:r>
      <w:r>
        <w:rPr>
          <w:spacing w:val="162"/>
        </w:rPr>
        <w:t xml:space="preserve"> </w:t>
      </w:r>
      <w:r>
        <w:rPr>
          <w:w w:val="95"/>
        </w:rPr>
        <w:t>施全过程，但并非每一个项目都需要从头到尾进行咨询，也可以是其中若干阶段。而且，项目运营维护期</w:t>
      </w:r>
      <w:r>
        <w:rPr>
          <w:spacing w:val="179"/>
        </w:rPr>
        <w:t xml:space="preserve"> </w:t>
      </w:r>
      <w:r>
        <w:t>咨询可看作是全过程工程咨询的“外延”。</w:t>
      </w:r>
    </w:p>
    <w:p>
      <w:pPr>
        <w:pStyle w:val="BodyText"/>
        <w:spacing w:line="266" w:lineRule="exact"/>
        <w:ind w:left="644"/>
      </w:pPr>
      <w:r>
        <w:t>⒉全过程工程咨询实施策略</w:t>
      </w:r>
    </w:p>
    <w:p>
      <w:pPr>
        <w:spacing w:before="132" w:line="357" w:lineRule="auto"/>
        <w:ind w:left="220" w:right="296" w:firstLine="424"/>
        <w:jc w:val="left"/>
        <w:rPr>
          <w:sz w:val="21"/>
        </w:rPr>
      </w:pPr>
      <w:r>
        <w:rPr>
          <w:w w:val="95"/>
          <w:sz w:val="21"/>
        </w:rPr>
        <w:t>全过程工程咨询的</w:t>
      </w:r>
      <w:r>
        <w:rPr>
          <w:b/>
          <w:w w:val="95"/>
          <w:sz w:val="21"/>
        </w:rPr>
        <w:t>核心</w:t>
      </w:r>
      <w:r>
        <w:rPr>
          <w:w w:val="95"/>
          <w:sz w:val="21"/>
        </w:rPr>
        <w:t>是通过采用一系列工程技术、经济、管理方法和多阶段集成化服务，</w:t>
      </w:r>
      <w:r>
        <w:rPr>
          <w:b/>
          <w:w w:val="95"/>
          <w:sz w:val="21"/>
        </w:rPr>
        <w:t>为委托方</w:t>
      </w:r>
      <w:r>
        <w:rPr>
          <w:b/>
          <w:spacing w:val="151"/>
          <w:sz w:val="21"/>
        </w:rPr>
        <w:t xml:space="preserve"> </w:t>
      </w:r>
      <w:r>
        <w:rPr>
          <w:b/>
          <w:sz w:val="21"/>
        </w:rPr>
        <w:t>提供增值服务</w:t>
      </w:r>
      <w:r>
        <w:rPr>
          <w:sz w:val="21"/>
        </w:rPr>
        <w:t>。</w:t>
      </w:r>
    </w:p>
    <w:p>
      <w:pPr>
        <w:pStyle w:val="BodyText"/>
        <w:spacing w:line="266" w:lineRule="exact"/>
      </w:pPr>
      <w:r>
        <w:rPr>
          <w:spacing w:val="-3"/>
        </w:rPr>
        <w:t>【考点来源】第二章 工程建设程序及组织实施模式 第二节 工程建设组织实施模式</w:t>
      </w:r>
    </w:p>
    <w:p>
      <w:pPr>
        <w:pStyle w:val="BodyText"/>
        <w:ind w:left="0"/>
        <w:rPr>
          <w:sz w:val="20"/>
        </w:rPr>
      </w:pPr>
    </w:p>
    <w:p>
      <w:pPr>
        <w:pStyle w:val="BodyText"/>
        <w:spacing w:before="7"/>
        <w:ind w:left="0"/>
      </w:pPr>
    </w:p>
    <w:p>
      <w:pPr>
        <w:pStyle w:val="ListParagraph"/>
        <w:numPr>
          <w:ilvl w:val="0"/>
          <w:numId w:val="12"/>
        </w:numPr>
        <w:tabs>
          <w:tab w:val="left" w:pos="537"/>
        </w:tabs>
        <w:spacing w:before="0" w:after="0" w:line="240" w:lineRule="auto"/>
        <w:ind w:left="536" w:right="0" w:hanging="317"/>
        <w:jc w:val="left"/>
        <w:rPr>
          <w:sz w:val="21"/>
        </w:rPr>
      </w:pPr>
      <w:r>
        <w:rPr>
          <w:spacing w:val="-3"/>
          <w:sz w:val="21"/>
        </w:rPr>
        <w:t>根据 《民法典》，关于建设工程合同的说法，正确的是(</w:t>
      </w:r>
      <w:r>
        <w:rPr>
          <w:sz w:val="21"/>
        </w:rPr>
        <w:t>）。</w:t>
      </w:r>
    </w:p>
    <w:p>
      <w:pPr>
        <w:pStyle w:val="BodyText"/>
        <w:spacing w:before="129" w:line="357" w:lineRule="auto"/>
        <w:ind w:right="3459"/>
      </w:pPr>
      <w:r>
        <w:rPr>
          <w:w w:val="95"/>
        </w:rPr>
        <w:t>A.总承包人经发包人同意，可以将自己承包的工作全部交由第三人完成</w:t>
      </w:r>
      <w:r>
        <w:rPr>
          <w:spacing w:val="17"/>
          <w:w w:val="95"/>
        </w:rPr>
        <w:t xml:space="preserve"> </w:t>
      </w:r>
      <w:r>
        <w:t>B.建设工程施工合同无效时，对于已完工程，承包人无权请求补偿</w:t>
      </w:r>
    </w:p>
    <w:p>
      <w:pPr>
        <w:pStyle w:val="BodyText"/>
        <w:spacing w:line="269" w:lineRule="exact"/>
      </w:pPr>
      <w:r>
        <w:t>C.发包人与监理人的权利和义务当依照建设工程合同规进行约定</w:t>
      </w:r>
    </w:p>
    <w:p>
      <w:pPr>
        <w:pStyle w:val="BodyText"/>
        <w:spacing w:before="129"/>
      </w:pPr>
      <w:r>
        <w:t>D.发包人对因建设工程不合格造成的损失有过错的，应当承担相应的责任</w:t>
      </w:r>
    </w:p>
    <w:p>
      <w:pPr>
        <w:pStyle w:val="BodyText"/>
        <w:spacing w:before="132"/>
      </w:pPr>
      <w:r>
        <w:t>【答案】D</w:t>
      </w:r>
    </w:p>
    <w:p>
      <w:pPr>
        <w:pStyle w:val="BodyText"/>
        <w:spacing w:before="132"/>
      </w:pPr>
      <w:r>
        <w:t>【解析】</w:t>
      </w:r>
    </w:p>
    <w:p>
      <w:pPr>
        <w:pStyle w:val="BodyText"/>
        <w:spacing w:before="129"/>
        <w:ind w:left="640"/>
      </w:pPr>
      <w:r>
        <w:t>⒉建设工程合同的有关规定</w:t>
      </w:r>
    </w:p>
    <w:p>
      <w:pPr>
        <w:pStyle w:val="BodyText"/>
        <w:spacing w:before="132" w:line="357" w:lineRule="auto"/>
        <w:ind w:left="640" w:right="1988"/>
      </w:pPr>
      <w:r>
        <w:rPr>
          <w:w w:val="95"/>
        </w:rPr>
        <w:t>发包人在不妨碍承包人正常作业的情况下，可以随时对作业进度、质量进行检查。</w:t>
      </w:r>
      <w:r>
        <w:rPr>
          <w:spacing w:val="71"/>
          <w:w w:val="95"/>
        </w:rPr>
        <w:t xml:space="preserve"> </w:t>
      </w:r>
      <w:r>
        <w:t>承包人将建设工程转包、违法分包的，发包人可以解除合同。</w:t>
      </w:r>
    </w:p>
    <w:p>
      <w:pPr>
        <w:pStyle w:val="BodyText"/>
        <w:spacing w:line="357" w:lineRule="auto"/>
        <w:ind w:right="223" w:firstLine="420"/>
      </w:pPr>
      <w:r>
        <w:rPr>
          <w:w w:val="95"/>
        </w:rPr>
        <w:t>建设工程施工合同无效，但是建设工程经验收合格的可以参照合同关于工程价款的约定折价补偿承包</w:t>
      </w:r>
      <w:r>
        <w:rPr>
          <w:spacing w:val="235"/>
        </w:rPr>
        <w:t xml:space="preserve"> </w:t>
      </w:r>
      <w:r>
        <w:t>人。建设工程施工合同无效，且建设工程经验收不合格的，按照以下情形处理：</w:t>
      </w:r>
    </w:p>
    <w:p>
      <w:pPr>
        <w:pStyle w:val="ListParagraph"/>
        <w:numPr>
          <w:ilvl w:val="0"/>
          <w:numId w:val="13"/>
        </w:numPr>
        <w:tabs>
          <w:tab w:val="left" w:pos="852"/>
        </w:tabs>
        <w:spacing w:before="0" w:after="0" w:line="269" w:lineRule="exact"/>
        <w:ind w:left="851" w:right="0" w:hanging="212"/>
        <w:jc w:val="left"/>
        <w:rPr>
          <w:sz w:val="21"/>
        </w:rPr>
      </w:pPr>
      <w:r>
        <w:rPr>
          <w:sz w:val="21"/>
        </w:rPr>
        <w:t>修复后的建设工程经验收合格的，发包人可以请求承包人承担修复费用；</w:t>
      </w:r>
    </w:p>
    <w:p>
      <w:pPr>
        <w:pStyle w:val="ListParagraph"/>
        <w:numPr>
          <w:ilvl w:val="0"/>
          <w:numId w:val="13"/>
        </w:numPr>
        <w:tabs>
          <w:tab w:val="left" w:pos="852"/>
        </w:tabs>
        <w:spacing w:before="127" w:after="0" w:line="357" w:lineRule="auto"/>
        <w:ind w:left="640" w:right="728" w:firstLine="0"/>
        <w:jc w:val="left"/>
        <w:rPr>
          <w:sz w:val="21"/>
        </w:rPr>
      </w:pPr>
      <w:r>
        <w:rPr>
          <w:w w:val="95"/>
          <w:sz w:val="21"/>
        </w:rPr>
        <w:t>修复后的建设工程经验收不合格的，承包人无权请求参照合同关于工程价款的约定折价补偿。</w:t>
      </w:r>
      <w:r>
        <w:rPr>
          <w:spacing w:val="117"/>
          <w:sz w:val="21"/>
        </w:rPr>
        <w:t xml:space="preserve"> </w:t>
      </w:r>
      <w:r>
        <w:rPr>
          <w:sz w:val="21"/>
        </w:rPr>
        <w:t>发包人对因建设工程不合格造成的损失有过错的，应当承担相应的责任。</w:t>
      </w:r>
    </w:p>
    <w:p>
      <w:pPr>
        <w:pStyle w:val="BodyText"/>
        <w:spacing w:line="269" w:lineRule="exact"/>
      </w:pPr>
      <w:r>
        <w:rPr>
          <w:spacing w:val="-3"/>
        </w:rPr>
        <w:t>【考点来源】第三章 建设工程监理相关法律法规及标准 第一节 建设工程监理相关法律及行政法规</w:t>
      </w:r>
    </w:p>
    <w:p>
      <w:pPr>
        <w:pStyle w:val="BodyText"/>
        <w:ind w:left="0"/>
        <w:rPr>
          <w:sz w:val="20"/>
        </w:rPr>
      </w:pPr>
    </w:p>
    <w:p>
      <w:pPr>
        <w:pStyle w:val="BodyText"/>
        <w:spacing w:before="4"/>
        <w:ind w:left="0"/>
      </w:pPr>
    </w:p>
    <w:p>
      <w:pPr>
        <w:pStyle w:val="BodyText"/>
        <w:spacing w:before="1" w:line="357" w:lineRule="auto"/>
        <w:ind w:right="5241"/>
      </w:pPr>
      <w:r>
        <w:rPr>
          <w:w w:val="95"/>
        </w:rPr>
        <w:t>36、根据《民法典》，不属于新要约的情形是（)。</w:t>
      </w:r>
      <w:r>
        <w:rPr>
          <w:spacing w:val="1"/>
          <w:w w:val="95"/>
        </w:rPr>
        <w:t xml:space="preserve"> </w:t>
      </w:r>
      <w:r>
        <w:t>A.受要约人超过承诺期限发出承诺的</w:t>
      </w:r>
    </w:p>
    <w:p>
      <w:pPr>
        <w:pStyle w:val="BodyText"/>
        <w:spacing w:line="266" w:lineRule="exact"/>
      </w:pPr>
      <w:r>
        <w:t>B.受要约人在承诺期限内发出承诺，按通常情形不能及时到达要约人的</w:t>
      </w:r>
    </w:p>
    <w:p>
      <w:pPr>
        <w:pStyle w:val="BodyText"/>
        <w:spacing w:before="131" w:line="357" w:lineRule="auto"/>
        <w:ind w:right="3092"/>
      </w:pPr>
      <w:r>
        <w:rPr>
          <w:w w:val="95"/>
        </w:rPr>
        <w:t>C</w:t>
      </w:r>
      <w:r>
        <w:rPr>
          <w:spacing w:val="176"/>
        </w:rPr>
        <w:t xml:space="preserve"> </w:t>
      </w:r>
      <w:r>
        <w:rPr>
          <w:w w:val="95"/>
        </w:rPr>
        <w:t>受要约人超过承诺期限发出承诺，而要约人及时通知受要约人该承诺有效</w:t>
      </w:r>
      <w:r>
        <w:t>D.受要约人对要约的内容作出实质性变</w:t>
      </w:r>
    </w:p>
    <w:p>
      <w:pPr>
        <w:pStyle w:val="BodyText"/>
        <w:spacing w:line="266" w:lineRule="exact"/>
      </w:pPr>
      <w:r>
        <w:t>更的</w:t>
      </w:r>
    </w:p>
    <w:p>
      <w:pPr>
        <w:spacing w:after="0" w:line="266"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https://d.book118.com/498065075142006024</w:t>
        </w:r>
      </w:hyperlink>
    </w:p>
    <w:p>
      <w:pPr>
        <w:spacing w:after="0" w:line="266" w:lineRule="exact"/>
      </w:pPr>
    </w:p>
    <w:sectPr>
      <w:pgSz w:w="11910" w:h="16840"/>
      <w:pgMar w:top="1920" w:right="860" w:bottom="280" w:left="860" w:header="1632" w:footer="0"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239341B"/>
    <w:multiLevelType w:val="multilevel"/>
    <w:tmpl w:val="9239341B"/>
    <w:lvl w:ilvl="0">
      <w:start w:val="2"/>
      <w:numFmt w:val="upperLetter"/>
      <w:lvlText w:val="%1."/>
      <w:lvlJc w:val="left"/>
      <w:pPr>
        <w:ind w:left="431" w:hanging="212"/>
        <w:jc w:val="left"/>
      </w:pPr>
      <w:rPr>
        <w:rFonts w:ascii="黑体" w:eastAsia="黑体" w:hAnsi="黑体" w:cs="黑体" w:hint="default"/>
        <w:b w:val="0"/>
        <w:bCs w:val="0"/>
        <w:i w:val="0"/>
        <w:iCs w:val="0"/>
        <w:spacing w:val="-2"/>
        <w:w w:val="99"/>
        <w:sz w:val="19"/>
        <w:szCs w:val="19"/>
        <w:lang w:val="en-US" w:eastAsia="zh-CN" w:bidi="ar-SA"/>
      </w:rPr>
    </w:lvl>
    <w:lvl w:ilvl="1">
      <w:start w:val="0"/>
      <w:numFmt w:val="bullet"/>
      <w:lvlText w:val="•"/>
      <w:lvlJc w:val="left"/>
      <w:pPr>
        <w:ind w:left="1414" w:hanging="212"/>
      </w:pPr>
      <w:rPr>
        <w:rFonts w:hint="default"/>
        <w:lang w:val="en-US" w:eastAsia="zh-CN" w:bidi="ar-SA"/>
      </w:rPr>
    </w:lvl>
    <w:lvl w:ilvl="2">
      <w:start w:val="0"/>
      <w:numFmt w:val="bullet"/>
      <w:lvlText w:val="•"/>
      <w:lvlJc w:val="left"/>
      <w:pPr>
        <w:ind w:left="2389" w:hanging="212"/>
      </w:pPr>
      <w:rPr>
        <w:rFonts w:hint="default"/>
        <w:lang w:val="en-US" w:eastAsia="zh-CN" w:bidi="ar-SA"/>
      </w:rPr>
    </w:lvl>
    <w:lvl w:ilvl="3">
      <w:start w:val="0"/>
      <w:numFmt w:val="bullet"/>
      <w:lvlText w:val="•"/>
      <w:lvlJc w:val="left"/>
      <w:pPr>
        <w:ind w:left="3363" w:hanging="212"/>
      </w:pPr>
      <w:rPr>
        <w:rFonts w:hint="default"/>
        <w:lang w:val="en-US" w:eastAsia="zh-CN" w:bidi="ar-SA"/>
      </w:rPr>
    </w:lvl>
    <w:lvl w:ilvl="4">
      <w:start w:val="0"/>
      <w:numFmt w:val="bullet"/>
      <w:lvlText w:val="•"/>
      <w:lvlJc w:val="left"/>
      <w:pPr>
        <w:ind w:left="4338" w:hanging="212"/>
      </w:pPr>
      <w:rPr>
        <w:rFonts w:hint="default"/>
        <w:lang w:val="en-US" w:eastAsia="zh-CN" w:bidi="ar-SA"/>
      </w:rPr>
    </w:lvl>
    <w:lvl w:ilvl="5">
      <w:start w:val="0"/>
      <w:numFmt w:val="bullet"/>
      <w:lvlText w:val="•"/>
      <w:lvlJc w:val="left"/>
      <w:pPr>
        <w:ind w:left="5313" w:hanging="212"/>
      </w:pPr>
      <w:rPr>
        <w:rFonts w:hint="default"/>
        <w:lang w:val="en-US" w:eastAsia="zh-CN" w:bidi="ar-SA"/>
      </w:rPr>
    </w:lvl>
    <w:lvl w:ilvl="6">
      <w:start w:val="0"/>
      <w:numFmt w:val="bullet"/>
      <w:lvlText w:val="•"/>
      <w:lvlJc w:val="left"/>
      <w:pPr>
        <w:ind w:left="6287" w:hanging="212"/>
      </w:pPr>
      <w:rPr>
        <w:rFonts w:hint="default"/>
        <w:lang w:val="en-US" w:eastAsia="zh-CN" w:bidi="ar-SA"/>
      </w:rPr>
    </w:lvl>
    <w:lvl w:ilvl="7">
      <w:start w:val="0"/>
      <w:numFmt w:val="bullet"/>
      <w:lvlText w:val="•"/>
      <w:lvlJc w:val="left"/>
      <w:pPr>
        <w:ind w:left="7262" w:hanging="212"/>
      </w:pPr>
      <w:rPr>
        <w:rFonts w:hint="default"/>
        <w:lang w:val="en-US" w:eastAsia="zh-CN" w:bidi="ar-SA"/>
      </w:rPr>
    </w:lvl>
    <w:lvl w:ilvl="8">
      <w:start w:val="0"/>
      <w:numFmt w:val="bullet"/>
      <w:lvlText w:val="•"/>
      <w:lvlJc w:val="left"/>
      <w:pPr>
        <w:ind w:left="8236" w:hanging="212"/>
      </w:pPr>
      <w:rPr>
        <w:rFonts w:hint="default"/>
        <w:lang w:val="en-US" w:eastAsia="zh-CN" w:bidi="ar-SA"/>
      </w:rPr>
    </w:lvl>
  </w:abstractNum>
  <w:abstractNum w:abstractNumId="1">
    <w:nsid w:val="9C8AC8EF"/>
    <w:multiLevelType w:val="multilevel"/>
    <w:tmpl w:val="9C8AC8EF"/>
    <w:lvl w:ilvl="0">
      <w:start w:val="2"/>
      <w:numFmt w:val="upperLetter"/>
      <w:lvlText w:val="%1."/>
      <w:lvlJc w:val="left"/>
      <w:pPr>
        <w:ind w:left="431" w:hanging="212"/>
        <w:jc w:val="left"/>
      </w:pPr>
      <w:rPr>
        <w:rFonts w:ascii="黑体" w:eastAsia="黑体" w:hAnsi="黑体" w:cs="黑体" w:hint="default"/>
        <w:b w:val="0"/>
        <w:bCs w:val="0"/>
        <w:i w:val="0"/>
        <w:iCs w:val="0"/>
        <w:spacing w:val="-2"/>
        <w:w w:val="99"/>
        <w:sz w:val="19"/>
        <w:szCs w:val="19"/>
        <w:lang w:val="en-US" w:eastAsia="zh-CN" w:bidi="ar-SA"/>
      </w:rPr>
    </w:lvl>
    <w:lvl w:ilvl="1">
      <w:start w:val="0"/>
      <w:numFmt w:val="bullet"/>
      <w:lvlText w:val="•"/>
      <w:lvlJc w:val="left"/>
      <w:pPr>
        <w:ind w:left="1414" w:hanging="212"/>
      </w:pPr>
      <w:rPr>
        <w:rFonts w:hint="default"/>
        <w:lang w:val="en-US" w:eastAsia="zh-CN" w:bidi="ar-SA"/>
      </w:rPr>
    </w:lvl>
    <w:lvl w:ilvl="2">
      <w:start w:val="0"/>
      <w:numFmt w:val="bullet"/>
      <w:lvlText w:val="•"/>
      <w:lvlJc w:val="left"/>
      <w:pPr>
        <w:ind w:left="2389" w:hanging="212"/>
      </w:pPr>
      <w:rPr>
        <w:rFonts w:hint="default"/>
        <w:lang w:val="en-US" w:eastAsia="zh-CN" w:bidi="ar-SA"/>
      </w:rPr>
    </w:lvl>
    <w:lvl w:ilvl="3">
      <w:start w:val="0"/>
      <w:numFmt w:val="bullet"/>
      <w:lvlText w:val="•"/>
      <w:lvlJc w:val="left"/>
      <w:pPr>
        <w:ind w:left="3363" w:hanging="212"/>
      </w:pPr>
      <w:rPr>
        <w:rFonts w:hint="default"/>
        <w:lang w:val="en-US" w:eastAsia="zh-CN" w:bidi="ar-SA"/>
      </w:rPr>
    </w:lvl>
    <w:lvl w:ilvl="4">
      <w:start w:val="0"/>
      <w:numFmt w:val="bullet"/>
      <w:lvlText w:val="•"/>
      <w:lvlJc w:val="left"/>
      <w:pPr>
        <w:ind w:left="4338" w:hanging="212"/>
      </w:pPr>
      <w:rPr>
        <w:rFonts w:hint="default"/>
        <w:lang w:val="en-US" w:eastAsia="zh-CN" w:bidi="ar-SA"/>
      </w:rPr>
    </w:lvl>
    <w:lvl w:ilvl="5">
      <w:start w:val="0"/>
      <w:numFmt w:val="bullet"/>
      <w:lvlText w:val="•"/>
      <w:lvlJc w:val="left"/>
      <w:pPr>
        <w:ind w:left="5313" w:hanging="212"/>
      </w:pPr>
      <w:rPr>
        <w:rFonts w:hint="default"/>
        <w:lang w:val="en-US" w:eastAsia="zh-CN" w:bidi="ar-SA"/>
      </w:rPr>
    </w:lvl>
    <w:lvl w:ilvl="6">
      <w:start w:val="0"/>
      <w:numFmt w:val="bullet"/>
      <w:lvlText w:val="•"/>
      <w:lvlJc w:val="left"/>
      <w:pPr>
        <w:ind w:left="6287" w:hanging="212"/>
      </w:pPr>
      <w:rPr>
        <w:rFonts w:hint="default"/>
        <w:lang w:val="en-US" w:eastAsia="zh-CN" w:bidi="ar-SA"/>
      </w:rPr>
    </w:lvl>
    <w:lvl w:ilvl="7">
      <w:start w:val="0"/>
      <w:numFmt w:val="bullet"/>
      <w:lvlText w:val="•"/>
      <w:lvlJc w:val="left"/>
      <w:pPr>
        <w:ind w:left="7262" w:hanging="212"/>
      </w:pPr>
      <w:rPr>
        <w:rFonts w:hint="default"/>
        <w:lang w:val="en-US" w:eastAsia="zh-CN" w:bidi="ar-SA"/>
      </w:rPr>
    </w:lvl>
    <w:lvl w:ilvl="8">
      <w:start w:val="0"/>
      <w:numFmt w:val="bullet"/>
      <w:lvlText w:val="•"/>
      <w:lvlJc w:val="left"/>
      <w:pPr>
        <w:ind w:left="8236" w:hanging="212"/>
      </w:pPr>
      <w:rPr>
        <w:rFonts w:hint="default"/>
        <w:lang w:val="en-US" w:eastAsia="zh-CN" w:bidi="ar-SA"/>
      </w:rPr>
    </w:lvl>
  </w:abstractNum>
  <w:abstractNum w:abstractNumId="2">
    <w:nsid w:val="B0F1ACD9"/>
    <w:multiLevelType w:val="multilevel"/>
    <w:tmpl w:val="B0F1ACD9"/>
    <w:lvl w:ilvl="0">
      <w:start w:val="1"/>
      <w:numFmt w:val="upperLetter"/>
      <w:lvlText w:val="%1."/>
      <w:lvlJc w:val="left"/>
      <w:pPr>
        <w:ind w:left="220" w:hanging="212"/>
        <w:jc w:val="left"/>
      </w:pPr>
      <w:rPr>
        <w:rFonts w:ascii="黑体" w:eastAsia="黑体" w:hAnsi="黑体" w:cs="黑体" w:hint="default"/>
        <w:b w:val="0"/>
        <w:bCs w:val="0"/>
        <w:i w:val="0"/>
        <w:iCs w:val="0"/>
        <w:spacing w:val="-2"/>
        <w:w w:val="99"/>
        <w:sz w:val="19"/>
        <w:szCs w:val="19"/>
        <w:lang w:val="en-US" w:eastAsia="zh-CN" w:bidi="ar-SA"/>
      </w:rPr>
    </w:lvl>
    <w:lvl w:ilvl="1">
      <w:start w:val="0"/>
      <w:numFmt w:val="bullet"/>
      <w:lvlText w:val="•"/>
      <w:lvlJc w:val="left"/>
      <w:pPr>
        <w:ind w:left="1216" w:hanging="212"/>
      </w:pPr>
      <w:rPr>
        <w:rFonts w:hint="default"/>
        <w:lang w:val="en-US" w:eastAsia="zh-CN" w:bidi="ar-SA"/>
      </w:rPr>
    </w:lvl>
    <w:lvl w:ilvl="2">
      <w:start w:val="0"/>
      <w:numFmt w:val="bullet"/>
      <w:lvlText w:val="•"/>
      <w:lvlJc w:val="left"/>
      <w:pPr>
        <w:ind w:left="2213" w:hanging="212"/>
      </w:pPr>
      <w:rPr>
        <w:rFonts w:hint="default"/>
        <w:lang w:val="en-US" w:eastAsia="zh-CN" w:bidi="ar-SA"/>
      </w:rPr>
    </w:lvl>
    <w:lvl w:ilvl="3">
      <w:start w:val="0"/>
      <w:numFmt w:val="bullet"/>
      <w:lvlText w:val="•"/>
      <w:lvlJc w:val="left"/>
      <w:pPr>
        <w:ind w:left="3209" w:hanging="212"/>
      </w:pPr>
      <w:rPr>
        <w:rFonts w:hint="default"/>
        <w:lang w:val="en-US" w:eastAsia="zh-CN" w:bidi="ar-SA"/>
      </w:rPr>
    </w:lvl>
    <w:lvl w:ilvl="4">
      <w:start w:val="0"/>
      <w:numFmt w:val="bullet"/>
      <w:lvlText w:val="•"/>
      <w:lvlJc w:val="left"/>
      <w:pPr>
        <w:ind w:left="4206" w:hanging="212"/>
      </w:pPr>
      <w:rPr>
        <w:rFonts w:hint="default"/>
        <w:lang w:val="en-US" w:eastAsia="zh-CN" w:bidi="ar-SA"/>
      </w:rPr>
    </w:lvl>
    <w:lvl w:ilvl="5">
      <w:start w:val="0"/>
      <w:numFmt w:val="bullet"/>
      <w:lvlText w:val="•"/>
      <w:lvlJc w:val="left"/>
      <w:pPr>
        <w:ind w:left="5203" w:hanging="212"/>
      </w:pPr>
      <w:rPr>
        <w:rFonts w:hint="default"/>
        <w:lang w:val="en-US" w:eastAsia="zh-CN" w:bidi="ar-SA"/>
      </w:rPr>
    </w:lvl>
    <w:lvl w:ilvl="6">
      <w:start w:val="0"/>
      <w:numFmt w:val="bullet"/>
      <w:lvlText w:val="•"/>
      <w:lvlJc w:val="left"/>
      <w:pPr>
        <w:ind w:left="6199" w:hanging="212"/>
      </w:pPr>
      <w:rPr>
        <w:rFonts w:hint="default"/>
        <w:lang w:val="en-US" w:eastAsia="zh-CN" w:bidi="ar-SA"/>
      </w:rPr>
    </w:lvl>
    <w:lvl w:ilvl="7">
      <w:start w:val="0"/>
      <w:numFmt w:val="bullet"/>
      <w:lvlText w:val="•"/>
      <w:lvlJc w:val="left"/>
      <w:pPr>
        <w:ind w:left="7196" w:hanging="212"/>
      </w:pPr>
      <w:rPr>
        <w:rFonts w:hint="default"/>
        <w:lang w:val="en-US" w:eastAsia="zh-CN" w:bidi="ar-SA"/>
      </w:rPr>
    </w:lvl>
    <w:lvl w:ilvl="8">
      <w:start w:val="0"/>
      <w:numFmt w:val="bullet"/>
      <w:lvlText w:val="•"/>
      <w:lvlJc w:val="left"/>
      <w:pPr>
        <w:ind w:left="8192" w:hanging="212"/>
      </w:pPr>
      <w:rPr>
        <w:rFonts w:hint="default"/>
        <w:lang w:val="en-US" w:eastAsia="zh-CN" w:bidi="ar-SA"/>
      </w:rPr>
    </w:lvl>
  </w:abstractNum>
  <w:abstractNum w:abstractNumId="3">
    <w:nsid w:val="B5E306ED"/>
    <w:multiLevelType w:val="multilevel"/>
    <w:tmpl w:val="B5E306ED"/>
    <w:lvl w:ilvl="0">
      <w:start w:val="1"/>
      <w:numFmt w:val="decimal"/>
      <w:lvlText w:val="%1)"/>
      <w:lvlJc w:val="left"/>
      <w:pPr>
        <w:ind w:left="220" w:hanging="212"/>
        <w:jc w:val="left"/>
      </w:pPr>
      <w:rPr>
        <w:rFonts w:hint="default"/>
        <w:spacing w:val="1"/>
        <w:w w:val="99"/>
        <w:lang w:val="en-US" w:eastAsia="zh-CN" w:bidi="ar-SA"/>
      </w:rPr>
    </w:lvl>
    <w:lvl w:ilvl="1">
      <w:start w:val="0"/>
      <w:numFmt w:val="bullet"/>
      <w:lvlText w:val="•"/>
      <w:lvlJc w:val="left"/>
      <w:pPr>
        <w:ind w:left="1216" w:hanging="212"/>
      </w:pPr>
      <w:rPr>
        <w:rFonts w:hint="default"/>
        <w:lang w:val="en-US" w:eastAsia="zh-CN" w:bidi="ar-SA"/>
      </w:rPr>
    </w:lvl>
    <w:lvl w:ilvl="2">
      <w:start w:val="0"/>
      <w:numFmt w:val="bullet"/>
      <w:lvlText w:val="•"/>
      <w:lvlJc w:val="left"/>
      <w:pPr>
        <w:ind w:left="2213" w:hanging="212"/>
      </w:pPr>
      <w:rPr>
        <w:rFonts w:hint="default"/>
        <w:lang w:val="en-US" w:eastAsia="zh-CN" w:bidi="ar-SA"/>
      </w:rPr>
    </w:lvl>
    <w:lvl w:ilvl="3">
      <w:start w:val="0"/>
      <w:numFmt w:val="bullet"/>
      <w:lvlText w:val="•"/>
      <w:lvlJc w:val="left"/>
      <w:pPr>
        <w:ind w:left="3209" w:hanging="212"/>
      </w:pPr>
      <w:rPr>
        <w:rFonts w:hint="default"/>
        <w:lang w:val="en-US" w:eastAsia="zh-CN" w:bidi="ar-SA"/>
      </w:rPr>
    </w:lvl>
    <w:lvl w:ilvl="4">
      <w:start w:val="0"/>
      <w:numFmt w:val="bullet"/>
      <w:lvlText w:val="•"/>
      <w:lvlJc w:val="left"/>
      <w:pPr>
        <w:ind w:left="4206" w:hanging="212"/>
      </w:pPr>
      <w:rPr>
        <w:rFonts w:hint="default"/>
        <w:lang w:val="en-US" w:eastAsia="zh-CN" w:bidi="ar-SA"/>
      </w:rPr>
    </w:lvl>
    <w:lvl w:ilvl="5">
      <w:start w:val="0"/>
      <w:numFmt w:val="bullet"/>
      <w:lvlText w:val="•"/>
      <w:lvlJc w:val="left"/>
      <w:pPr>
        <w:ind w:left="5203" w:hanging="212"/>
      </w:pPr>
      <w:rPr>
        <w:rFonts w:hint="default"/>
        <w:lang w:val="en-US" w:eastAsia="zh-CN" w:bidi="ar-SA"/>
      </w:rPr>
    </w:lvl>
    <w:lvl w:ilvl="6">
      <w:start w:val="0"/>
      <w:numFmt w:val="bullet"/>
      <w:lvlText w:val="•"/>
      <w:lvlJc w:val="left"/>
      <w:pPr>
        <w:ind w:left="6199" w:hanging="212"/>
      </w:pPr>
      <w:rPr>
        <w:rFonts w:hint="default"/>
        <w:lang w:val="en-US" w:eastAsia="zh-CN" w:bidi="ar-SA"/>
      </w:rPr>
    </w:lvl>
    <w:lvl w:ilvl="7">
      <w:start w:val="0"/>
      <w:numFmt w:val="bullet"/>
      <w:lvlText w:val="•"/>
      <w:lvlJc w:val="left"/>
      <w:pPr>
        <w:ind w:left="7196" w:hanging="212"/>
      </w:pPr>
      <w:rPr>
        <w:rFonts w:hint="default"/>
        <w:lang w:val="en-US" w:eastAsia="zh-CN" w:bidi="ar-SA"/>
      </w:rPr>
    </w:lvl>
    <w:lvl w:ilvl="8">
      <w:start w:val="0"/>
      <w:numFmt w:val="bullet"/>
      <w:lvlText w:val="•"/>
      <w:lvlJc w:val="left"/>
      <w:pPr>
        <w:ind w:left="8192" w:hanging="212"/>
      </w:pPr>
      <w:rPr>
        <w:rFonts w:hint="default"/>
        <w:lang w:val="en-US" w:eastAsia="zh-CN" w:bidi="ar-SA"/>
      </w:rPr>
    </w:lvl>
  </w:abstractNum>
  <w:abstractNum w:abstractNumId="4">
    <w:nsid w:val="BF205925"/>
    <w:multiLevelType w:val="multilevel"/>
    <w:tmpl w:val="BF205925"/>
    <w:lvl w:ilvl="0">
      <w:start w:val="1"/>
      <w:numFmt w:val="upperLetter"/>
      <w:lvlText w:val="%1."/>
      <w:lvlJc w:val="left"/>
      <w:pPr>
        <w:ind w:left="431" w:hanging="212"/>
        <w:jc w:val="left"/>
      </w:pPr>
      <w:rPr>
        <w:rFonts w:ascii="黑体" w:eastAsia="黑体" w:hAnsi="黑体" w:cs="黑体" w:hint="default"/>
        <w:b w:val="0"/>
        <w:bCs w:val="0"/>
        <w:i w:val="0"/>
        <w:iCs w:val="0"/>
        <w:spacing w:val="-2"/>
        <w:w w:val="99"/>
        <w:sz w:val="19"/>
        <w:szCs w:val="19"/>
        <w:lang w:val="en-US" w:eastAsia="zh-CN" w:bidi="ar-SA"/>
      </w:rPr>
    </w:lvl>
    <w:lvl w:ilvl="1">
      <w:start w:val="0"/>
      <w:numFmt w:val="bullet"/>
      <w:lvlText w:val="•"/>
      <w:lvlJc w:val="left"/>
      <w:pPr>
        <w:ind w:left="1414" w:hanging="212"/>
      </w:pPr>
      <w:rPr>
        <w:rFonts w:hint="default"/>
        <w:lang w:val="en-US" w:eastAsia="zh-CN" w:bidi="ar-SA"/>
      </w:rPr>
    </w:lvl>
    <w:lvl w:ilvl="2">
      <w:start w:val="0"/>
      <w:numFmt w:val="bullet"/>
      <w:lvlText w:val="•"/>
      <w:lvlJc w:val="left"/>
      <w:pPr>
        <w:ind w:left="2389" w:hanging="212"/>
      </w:pPr>
      <w:rPr>
        <w:rFonts w:hint="default"/>
        <w:lang w:val="en-US" w:eastAsia="zh-CN" w:bidi="ar-SA"/>
      </w:rPr>
    </w:lvl>
    <w:lvl w:ilvl="3">
      <w:start w:val="0"/>
      <w:numFmt w:val="bullet"/>
      <w:lvlText w:val="•"/>
      <w:lvlJc w:val="left"/>
      <w:pPr>
        <w:ind w:left="3363" w:hanging="212"/>
      </w:pPr>
      <w:rPr>
        <w:rFonts w:hint="default"/>
        <w:lang w:val="en-US" w:eastAsia="zh-CN" w:bidi="ar-SA"/>
      </w:rPr>
    </w:lvl>
    <w:lvl w:ilvl="4">
      <w:start w:val="0"/>
      <w:numFmt w:val="bullet"/>
      <w:lvlText w:val="•"/>
      <w:lvlJc w:val="left"/>
      <w:pPr>
        <w:ind w:left="4338" w:hanging="212"/>
      </w:pPr>
      <w:rPr>
        <w:rFonts w:hint="default"/>
        <w:lang w:val="en-US" w:eastAsia="zh-CN" w:bidi="ar-SA"/>
      </w:rPr>
    </w:lvl>
    <w:lvl w:ilvl="5">
      <w:start w:val="0"/>
      <w:numFmt w:val="bullet"/>
      <w:lvlText w:val="•"/>
      <w:lvlJc w:val="left"/>
      <w:pPr>
        <w:ind w:left="5313" w:hanging="212"/>
      </w:pPr>
      <w:rPr>
        <w:rFonts w:hint="default"/>
        <w:lang w:val="en-US" w:eastAsia="zh-CN" w:bidi="ar-SA"/>
      </w:rPr>
    </w:lvl>
    <w:lvl w:ilvl="6">
      <w:start w:val="0"/>
      <w:numFmt w:val="bullet"/>
      <w:lvlText w:val="•"/>
      <w:lvlJc w:val="left"/>
      <w:pPr>
        <w:ind w:left="6287" w:hanging="212"/>
      </w:pPr>
      <w:rPr>
        <w:rFonts w:hint="default"/>
        <w:lang w:val="en-US" w:eastAsia="zh-CN" w:bidi="ar-SA"/>
      </w:rPr>
    </w:lvl>
    <w:lvl w:ilvl="7">
      <w:start w:val="0"/>
      <w:numFmt w:val="bullet"/>
      <w:lvlText w:val="•"/>
      <w:lvlJc w:val="left"/>
      <w:pPr>
        <w:ind w:left="7262" w:hanging="212"/>
      </w:pPr>
      <w:rPr>
        <w:rFonts w:hint="default"/>
        <w:lang w:val="en-US" w:eastAsia="zh-CN" w:bidi="ar-SA"/>
      </w:rPr>
    </w:lvl>
    <w:lvl w:ilvl="8">
      <w:start w:val="0"/>
      <w:numFmt w:val="bullet"/>
      <w:lvlText w:val="•"/>
      <w:lvlJc w:val="left"/>
      <w:pPr>
        <w:ind w:left="8236" w:hanging="212"/>
      </w:pPr>
      <w:rPr>
        <w:rFonts w:hint="default"/>
        <w:lang w:val="en-US" w:eastAsia="zh-CN" w:bidi="ar-SA"/>
      </w:rPr>
    </w:lvl>
  </w:abstractNum>
  <w:abstractNum w:abstractNumId="5">
    <w:nsid w:val="C8879AEF"/>
    <w:multiLevelType w:val="multilevel"/>
    <w:tmpl w:val="C8879AEF"/>
    <w:lvl w:ilvl="0">
      <w:start w:val="1"/>
      <w:numFmt w:val="decimal"/>
      <w:lvlText w:val="%1)"/>
      <w:lvlJc w:val="left"/>
      <w:pPr>
        <w:ind w:left="851" w:hanging="212"/>
        <w:jc w:val="left"/>
      </w:pPr>
      <w:rPr>
        <w:rFonts w:ascii="黑体" w:eastAsia="黑体" w:hAnsi="黑体" w:cs="黑体" w:hint="default"/>
        <w:b w:val="0"/>
        <w:bCs w:val="0"/>
        <w:i w:val="0"/>
        <w:iCs w:val="0"/>
        <w:spacing w:val="-2"/>
        <w:w w:val="99"/>
        <w:sz w:val="19"/>
        <w:szCs w:val="19"/>
        <w:lang w:val="en-US" w:eastAsia="zh-CN" w:bidi="ar-SA"/>
      </w:rPr>
    </w:lvl>
    <w:lvl w:ilvl="1">
      <w:start w:val="0"/>
      <w:numFmt w:val="bullet"/>
      <w:lvlText w:val="•"/>
      <w:lvlJc w:val="left"/>
      <w:pPr>
        <w:ind w:left="1792" w:hanging="212"/>
      </w:pPr>
      <w:rPr>
        <w:rFonts w:hint="default"/>
        <w:lang w:val="en-US" w:eastAsia="zh-CN" w:bidi="ar-SA"/>
      </w:rPr>
    </w:lvl>
    <w:lvl w:ilvl="2">
      <w:start w:val="0"/>
      <w:numFmt w:val="bullet"/>
      <w:lvlText w:val="•"/>
      <w:lvlJc w:val="left"/>
      <w:pPr>
        <w:ind w:left="2725" w:hanging="212"/>
      </w:pPr>
      <w:rPr>
        <w:rFonts w:hint="default"/>
        <w:lang w:val="en-US" w:eastAsia="zh-CN" w:bidi="ar-SA"/>
      </w:rPr>
    </w:lvl>
    <w:lvl w:ilvl="3">
      <w:start w:val="0"/>
      <w:numFmt w:val="bullet"/>
      <w:lvlText w:val="•"/>
      <w:lvlJc w:val="left"/>
      <w:pPr>
        <w:ind w:left="3657" w:hanging="212"/>
      </w:pPr>
      <w:rPr>
        <w:rFonts w:hint="default"/>
        <w:lang w:val="en-US" w:eastAsia="zh-CN" w:bidi="ar-SA"/>
      </w:rPr>
    </w:lvl>
    <w:lvl w:ilvl="4">
      <w:start w:val="0"/>
      <w:numFmt w:val="bullet"/>
      <w:lvlText w:val="•"/>
      <w:lvlJc w:val="left"/>
      <w:pPr>
        <w:ind w:left="4590" w:hanging="212"/>
      </w:pPr>
      <w:rPr>
        <w:rFonts w:hint="default"/>
        <w:lang w:val="en-US" w:eastAsia="zh-CN" w:bidi="ar-SA"/>
      </w:rPr>
    </w:lvl>
    <w:lvl w:ilvl="5">
      <w:start w:val="0"/>
      <w:numFmt w:val="bullet"/>
      <w:lvlText w:val="•"/>
      <w:lvlJc w:val="left"/>
      <w:pPr>
        <w:ind w:left="5523" w:hanging="212"/>
      </w:pPr>
      <w:rPr>
        <w:rFonts w:hint="default"/>
        <w:lang w:val="en-US" w:eastAsia="zh-CN" w:bidi="ar-SA"/>
      </w:rPr>
    </w:lvl>
    <w:lvl w:ilvl="6">
      <w:start w:val="0"/>
      <w:numFmt w:val="bullet"/>
      <w:lvlText w:val="•"/>
      <w:lvlJc w:val="left"/>
      <w:pPr>
        <w:ind w:left="6455" w:hanging="212"/>
      </w:pPr>
      <w:rPr>
        <w:rFonts w:hint="default"/>
        <w:lang w:val="en-US" w:eastAsia="zh-CN" w:bidi="ar-SA"/>
      </w:rPr>
    </w:lvl>
    <w:lvl w:ilvl="7">
      <w:start w:val="0"/>
      <w:numFmt w:val="bullet"/>
      <w:lvlText w:val="•"/>
      <w:lvlJc w:val="left"/>
      <w:pPr>
        <w:ind w:left="7388" w:hanging="212"/>
      </w:pPr>
      <w:rPr>
        <w:rFonts w:hint="default"/>
        <w:lang w:val="en-US" w:eastAsia="zh-CN" w:bidi="ar-SA"/>
      </w:rPr>
    </w:lvl>
    <w:lvl w:ilvl="8">
      <w:start w:val="0"/>
      <w:numFmt w:val="bullet"/>
      <w:lvlText w:val="•"/>
      <w:lvlJc w:val="left"/>
      <w:pPr>
        <w:ind w:left="8320" w:hanging="212"/>
      </w:pPr>
      <w:rPr>
        <w:rFonts w:hint="default"/>
        <w:lang w:val="en-US" w:eastAsia="zh-CN" w:bidi="ar-SA"/>
      </w:rPr>
    </w:lvl>
  </w:abstractNum>
  <w:abstractNum w:abstractNumId="6">
    <w:nsid w:val="CF092B84"/>
    <w:multiLevelType w:val="multilevel"/>
    <w:tmpl w:val="CF092B84"/>
    <w:lvl w:ilvl="0">
      <w:start w:val="2"/>
      <w:numFmt w:val="upperLetter"/>
      <w:lvlText w:val="%1."/>
      <w:lvlJc w:val="left"/>
      <w:pPr>
        <w:ind w:left="431" w:hanging="212"/>
        <w:jc w:val="left"/>
      </w:pPr>
      <w:rPr>
        <w:rFonts w:ascii="黑体" w:eastAsia="黑体" w:hAnsi="黑体" w:cs="黑体" w:hint="default"/>
        <w:b w:val="0"/>
        <w:bCs w:val="0"/>
        <w:i w:val="0"/>
        <w:iCs w:val="0"/>
        <w:spacing w:val="-2"/>
        <w:w w:val="99"/>
        <w:sz w:val="19"/>
        <w:szCs w:val="19"/>
        <w:lang w:val="en-US" w:eastAsia="zh-CN" w:bidi="ar-SA"/>
      </w:rPr>
    </w:lvl>
    <w:lvl w:ilvl="1">
      <w:start w:val="0"/>
      <w:numFmt w:val="bullet"/>
      <w:lvlText w:val="•"/>
      <w:lvlJc w:val="left"/>
      <w:pPr>
        <w:ind w:left="1414" w:hanging="212"/>
      </w:pPr>
      <w:rPr>
        <w:rFonts w:hint="default"/>
        <w:lang w:val="en-US" w:eastAsia="zh-CN" w:bidi="ar-SA"/>
      </w:rPr>
    </w:lvl>
    <w:lvl w:ilvl="2">
      <w:start w:val="0"/>
      <w:numFmt w:val="bullet"/>
      <w:lvlText w:val="•"/>
      <w:lvlJc w:val="left"/>
      <w:pPr>
        <w:ind w:left="2389" w:hanging="212"/>
      </w:pPr>
      <w:rPr>
        <w:rFonts w:hint="default"/>
        <w:lang w:val="en-US" w:eastAsia="zh-CN" w:bidi="ar-SA"/>
      </w:rPr>
    </w:lvl>
    <w:lvl w:ilvl="3">
      <w:start w:val="0"/>
      <w:numFmt w:val="bullet"/>
      <w:lvlText w:val="•"/>
      <w:lvlJc w:val="left"/>
      <w:pPr>
        <w:ind w:left="3363" w:hanging="212"/>
      </w:pPr>
      <w:rPr>
        <w:rFonts w:hint="default"/>
        <w:lang w:val="en-US" w:eastAsia="zh-CN" w:bidi="ar-SA"/>
      </w:rPr>
    </w:lvl>
    <w:lvl w:ilvl="4">
      <w:start w:val="0"/>
      <w:numFmt w:val="bullet"/>
      <w:lvlText w:val="•"/>
      <w:lvlJc w:val="left"/>
      <w:pPr>
        <w:ind w:left="4338" w:hanging="212"/>
      </w:pPr>
      <w:rPr>
        <w:rFonts w:hint="default"/>
        <w:lang w:val="en-US" w:eastAsia="zh-CN" w:bidi="ar-SA"/>
      </w:rPr>
    </w:lvl>
    <w:lvl w:ilvl="5">
      <w:start w:val="0"/>
      <w:numFmt w:val="bullet"/>
      <w:lvlText w:val="•"/>
      <w:lvlJc w:val="left"/>
      <w:pPr>
        <w:ind w:left="5313" w:hanging="212"/>
      </w:pPr>
      <w:rPr>
        <w:rFonts w:hint="default"/>
        <w:lang w:val="en-US" w:eastAsia="zh-CN" w:bidi="ar-SA"/>
      </w:rPr>
    </w:lvl>
    <w:lvl w:ilvl="6">
      <w:start w:val="0"/>
      <w:numFmt w:val="bullet"/>
      <w:lvlText w:val="•"/>
      <w:lvlJc w:val="left"/>
      <w:pPr>
        <w:ind w:left="6287" w:hanging="212"/>
      </w:pPr>
      <w:rPr>
        <w:rFonts w:hint="default"/>
        <w:lang w:val="en-US" w:eastAsia="zh-CN" w:bidi="ar-SA"/>
      </w:rPr>
    </w:lvl>
    <w:lvl w:ilvl="7">
      <w:start w:val="0"/>
      <w:numFmt w:val="bullet"/>
      <w:lvlText w:val="•"/>
      <w:lvlJc w:val="left"/>
      <w:pPr>
        <w:ind w:left="7262" w:hanging="212"/>
      </w:pPr>
      <w:rPr>
        <w:rFonts w:hint="default"/>
        <w:lang w:val="en-US" w:eastAsia="zh-CN" w:bidi="ar-SA"/>
      </w:rPr>
    </w:lvl>
    <w:lvl w:ilvl="8">
      <w:start w:val="0"/>
      <w:numFmt w:val="bullet"/>
      <w:lvlText w:val="•"/>
      <w:lvlJc w:val="left"/>
      <w:pPr>
        <w:ind w:left="8236" w:hanging="212"/>
      </w:pPr>
      <w:rPr>
        <w:rFonts w:hint="default"/>
        <w:lang w:val="en-US" w:eastAsia="zh-CN" w:bidi="ar-SA"/>
      </w:rPr>
    </w:lvl>
  </w:abstractNum>
  <w:abstractNum w:abstractNumId="7">
    <w:nsid w:val="D7F9FE59"/>
    <w:multiLevelType w:val="multilevel"/>
    <w:tmpl w:val="D7F9FE59"/>
    <w:lvl w:ilvl="0">
      <w:start w:val="55"/>
      <w:numFmt w:val="decimal"/>
      <w:lvlText w:val="%1."/>
      <w:lvlJc w:val="left"/>
      <w:pPr>
        <w:ind w:left="220" w:hanging="317"/>
        <w:jc w:val="right"/>
      </w:pPr>
      <w:rPr>
        <w:rFonts w:ascii="黑体" w:eastAsia="黑体" w:hAnsi="黑体" w:cs="黑体" w:hint="default"/>
        <w:b w:val="0"/>
        <w:bCs w:val="0"/>
        <w:i w:val="0"/>
        <w:iCs w:val="0"/>
        <w:spacing w:val="-2"/>
        <w:w w:val="99"/>
        <w:sz w:val="19"/>
        <w:szCs w:val="19"/>
        <w:lang w:val="en-US" w:eastAsia="zh-CN" w:bidi="ar-SA"/>
      </w:rPr>
    </w:lvl>
    <w:lvl w:ilvl="1">
      <w:start w:val="0"/>
      <w:numFmt w:val="bullet"/>
      <w:lvlText w:val="•"/>
      <w:lvlJc w:val="left"/>
      <w:pPr>
        <w:ind w:left="1216" w:hanging="317"/>
      </w:pPr>
      <w:rPr>
        <w:rFonts w:hint="default"/>
        <w:lang w:val="en-US" w:eastAsia="zh-CN" w:bidi="ar-SA"/>
      </w:rPr>
    </w:lvl>
    <w:lvl w:ilvl="2">
      <w:start w:val="0"/>
      <w:numFmt w:val="bullet"/>
      <w:lvlText w:val="•"/>
      <w:lvlJc w:val="left"/>
      <w:pPr>
        <w:ind w:left="2213" w:hanging="317"/>
      </w:pPr>
      <w:rPr>
        <w:rFonts w:hint="default"/>
        <w:lang w:val="en-US" w:eastAsia="zh-CN" w:bidi="ar-SA"/>
      </w:rPr>
    </w:lvl>
    <w:lvl w:ilvl="3">
      <w:start w:val="0"/>
      <w:numFmt w:val="bullet"/>
      <w:lvlText w:val="•"/>
      <w:lvlJc w:val="left"/>
      <w:pPr>
        <w:ind w:left="3209" w:hanging="317"/>
      </w:pPr>
      <w:rPr>
        <w:rFonts w:hint="default"/>
        <w:lang w:val="en-US" w:eastAsia="zh-CN" w:bidi="ar-SA"/>
      </w:rPr>
    </w:lvl>
    <w:lvl w:ilvl="4">
      <w:start w:val="0"/>
      <w:numFmt w:val="bullet"/>
      <w:lvlText w:val="•"/>
      <w:lvlJc w:val="left"/>
      <w:pPr>
        <w:ind w:left="4206" w:hanging="317"/>
      </w:pPr>
      <w:rPr>
        <w:rFonts w:hint="default"/>
        <w:lang w:val="en-US" w:eastAsia="zh-CN" w:bidi="ar-SA"/>
      </w:rPr>
    </w:lvl>
    <w:lvl w:ilvl="5">
      <w:start w:val="0"/>
      <w:numFmt w:val="bullet"/>
      <w:lvlText w:val="•"/>
      <w:lvlJc w:val="left"/>
      <w:pPr>
        <w:ind w:left="5203" w:hanging="317"/>
      </w:pPr>
      <w:rPr>
        <w:rFonts w:hint="default"/>
        <w:lang w:val="en-US" w:eastAsia="zh-CN" w:bidi="ar-SA"/>
      </w:rPr>
    </w:lvl>
    <w:lvl w:ilvl="6">
      <w:start w:val="0"/>
      <w:numFmt w:val="bullet"/>
      <w:lvlText w:val="•"/>
      <w:lvlJc w:val="left"/>
      <w:pPr>
        <w:ind w:left="6199" w:hanging="317"/>
      </w:pPr>
      <w:rPr>
        <w:rFonts w:hint="default"/>
        <w:lang w:val="en-US" w:eastAsia="zh-CN" w:bidi="ar-SA"/>
      </w:rPr>
    </w:lvl>
    <w:lvl w:ilvl="7">
      <w:start w:val="0"/>
      <w:numFmt w:val="bullet"/>
      <w:lvlText w:val="•"/>
      <w:lvlJc w:val="left"/>
      <w:pPr>
        <w:ind w:left="7196" w:hanging="317"/>
      </w:pPr>
      <w:rPr>
        <w:rFonts w:hint="default"/>
        <w:lang w:val="en-US" w:eastAsia="zh-CN" w:bidi="ar-SA"/>
      </w:rPr>
    </w:lvl>
    <w:lvl w:ilvl="8">
      <w:start w:val="0"/>
      <w:numFmt w:val="bullet"/>
      <w:lvlText w:val="•"/>
      <w:lvlJc w:val="left"/>
      <w:pPr>
        <w:ind w:left="8192" w:hanging="317"/>
      </w:pPr>
      <w:rPr>
        <w:rFonts w:hint="default"/>
        <w:lang w:val="en-US" w:eastAsia="zh-CN" w:bidi="ar-SA"/>
      </w:rPr>
    </w:lvl>
  </w:abstractNum>
  <w:abstractNum w:abstractNumId="8">
    <w:nsid w:val="DCBA6B53"/>
    <w:multiLevelType w:val="multilevel"/>
    <w:tmpl w:val="DCBA6B53"/>
    <w:lvl w:ilvl="0">
      <w:start w:val="1"/>
      <w:numFmt w:val="upperLetter"/>
      <w:lvlText w:val="%1."/>
      <w:lvlJc w:val="left"/>
      <w:pPr>
        <w:ind w:left="431" w:hanging="212"/>
        <w:jc w:val="left"/>
      </w:pPr>
      <w:rPr>
        <w:rFonts w:ascii="黑体" w:eastAsia="黑体" w:hAnsi="黑体" w:cs="黑体" w:hint="default"/>
        <w:b w:val="0"/>
        <w:bCs w:val="0"/>
        <w:i w:val="0"/>
        <w:iCs w:val="0"/>
        <w:spacing w:val="-2"/>
        <w:w w:val="99"/>
        <w:sz w:val="19"/>
        <w:szCs w:val="19"/>
        <w:lang w:val="en-US" w:eastAsia="zh-CN" w:bidi="ar-SA"/>
      </w:rPr>
    </w:lvl>
    <w:lvl w:ilvl="1">
      <w:start w:val="0"/>
      <w:numFmt w:val="bullet"/>
      <w:lvlText w:val="•"/>
      <w:lvlJc w:val="left"/>
      <w:pPr>
        <w:ind w:left="1414" w:hanging="212"/>
      </w:pPr>
      <w:rPr>
        <w:rFonts w:hint="default"/>
        <w:lang w:val="en-US" w:eastAsia="zh-CN" w:bidi="ar-SA"/>
      </w:rPr>
    </w:lvl>
    <w:lvl w:ilvl="2">
      <w:start w:val="0"/>
      <w:numFmt w:val="bullet"/>
      <w:lvlText w:val="•"/>
      <w:lvlJc w:val="left"/>
      <w:pPr>
        <w:ind w:left="2389" w:hanging="212"/>
      </w:pPr>
      <w:rPr>
        <w:rFonts w:hint="default"/>
        <w:lang w:val="en-US" w:eastAsia="zh-CN" w:bidi="ar-SA"/>
      </w:rPr>
    </w:lvl>
    <w:lvl w:ilvl="3">
      <w:start w:val="0"/>
      <w:numFmt w:val="bullet"/>
      <w:lvlText w:val="•"/>
      <w:lvlJc w:val="left"/>
      <w:pPr>
        <w:ind w:left="3363" w:hanging="212"/>
      </w:pPr>
      <w:rPr>
        <w:rFonts w:hint="default"/>
        <w:lang w:val="en-US" w:eastAsia="zh-CN" w:bidi="ar-SA"/>
      </w:rPr>
    </w:lvl>
    <w:lvl w:ilvl="4">
      <w:start w:val="0"/>
      <w:numFmt w:val="bullet"/>
      <w:lvlText w:val="•"/>
      <w:lvlJc w:val="left"/>
      <w:pPr>
        <w:ind w:left="4338" w:hanging="212"/>
      </w:pPr>
      <w:rPr>
        <w:rFonts w:hint="default"/>
        <w:lang w:val="en-US" w:eastAsia="zh-CN" w:bidi="ar-SA"/>
      </w:rPr>
    </w:lvl>
    <w:lvl w:ilvl="5">
      <w:start w:val="0"/>
      <w:numFmt w:val="bullet"/>
      <w:lvlText w:val="•"/>
      <w:lvlJc w:val="left"/>
      <w:pPr>
        <w:ind w:left="5313" w:hanging="212"/>
      </w:pPr>
      <w:rPr>
        <w:rFonts w:hint="default"/>
        <w:lang w:val="en-US" w:eastAsia="zh-CN" w:bidi="ar-SA"/>
      </w:rPr>
    </w:lvl>
    <w:lvl w:ilvl="6">
      <w:start w:val="0"/>
      <w:numFmt w:val="bullet"/>
      <w:lvlText w:val="•"/>
      <w:lvlJc w:val="left"/>
      <w:pPr>
        <w:ind w:left="6287" w:hanging="212"/>
      </w:pPr>
      <w:rPr>
        <w:rFonts w:hint="default"/>
        <w:lang w:val="en-US" w:eastAsia="zh-CN" w:bidi="ar-SA"/>
      </w:rPr>
    </w:lvl>
    <w:lvl w:ilvl="7">
      <w:start w:val="0"/>
      <w:numFmt w:val="bullet"/>
      <w:lvlText w:val="•"/>
      <w:lvlJc w:val="left"/>
      <w:pPr>
        <w:ind w:left="7262" w:hanging="212"/>
      </w:pPr>
      <w:rPr>
        <w:rFonts w:hint="default"/>
        <w:lang w:val="en-US" w:eastAsia="zh-CN" w:bidi="ar-SA"/>
      </w:rPr>
    </w:lvl>
    <w:lvl w:ilvl="8">
      <w:start w:val="0"/>
      <w:numFmt w:val="bullet"/>
      <w:lvlText w:val="•"/>
      <w:lvlJc w:val="left"/>
      <w:pPr>
        <w:ind w:left="8236" w:hanging="212"/>
      </w:pPr>
      <w:rPr>
        <w:rFonts w:hint="default"/>
        <w:lang w:val="en-US" w:eastAsia="zh-CN" w:bidi="ar-SA"/>
      </w:rPr>
    </w:lvl>
  </w:abstractNum>
  <w:abstractNum w:abstractNumId="9">
    <w:nsid w:val="F4B5D9F5"/>
    <w:multiLevelType w:val="multilevel"/>
    <w:tmpl w:val="F4B5D9F5"/>
    <w:lvl w:ilvl="0">
      <w:start w:val="43"/>
      <w:numFmt w:val="decimal"/>
      <w:lvlText w:val="%1."/>
      <w:lvlJc w:val="left"/>
      <w:pPr>
        <w:ind w:left="220" w:hanging="317"/>
        <w:jc w:val="right"/>
      </w:pPr>
      <w:rPr>
        <w:rFonts w:ascii="黑体" w:eastAsia="黑体" w:hAnsi="黑体" w:cs="黑体" w:hint="default"/>
        <w:b w:val="0"/>
        <w:bCs w:val="0"/>
        <w:i w:val="0"/>
        <w:iCs w:val="0"/>
        <w:spacing w:val="-2"/>
        <w:w w:val="99"/>
        <w:sz w:val="19"/>
        <w:szCs w:val="19"/>
        <w:lang w:val="en-US" w:eastAsia="zh-CN" w:bidi="ar-SA"/>
      </w:rPr>
    </w:lvl>
    <w:lvl w:ilvl="1">
      <w:start w:val="0"/>
      <w:numFmt w:val="bullet"/>
      <w:lvlText w:val="•"/>
      <w:lvlJc w:val="left"/>
      <w:pPr>
        <w:ind w:left="1216" w:hanging="317"/>
      </w:pPr>
      <w:rPr>
        <w:rFonts w:hint="default"/>
        <w:lang w:val="en-US" w:eastAsia="zh-CN" w:bidi="ar-SA"/>
      </w:rPr>
    </w:lvl>
    <w:lvl w:ilvl="2">
      <w:start w:val="0"/>
      <w:numFmt w:val="bullet"/>
      <w:lvlText w:val="•"/>
      <w:lvlJc w:val="left"/>
      <w:pPr>
        <w:ind w:left="2213" w:hanging="317"/>
      </w:pPr>
      <w:rPr>
        <w:rFonts w:hint="default"/>
        <w:lang w:val="en-US" w:eastAsia="zh-CN" w:bidi="ar-SA"/>
      </w:rPr>
    </w:lvl>
    <w:lvl w:ilvl="3">
      <w:start w:val="0"/>
      <w:numFmt w:val="bullet"/>
      <w:lvlText w:val="•"/>
      <w:lvlJc w:val="left"/>
      <w:pPr>
        <w:ind w:left="3209" w:hanging="317"/>
      </w:pPr>
      <w:rPr>
        <w:rFonts w:hint="default"/>
        <w:lang w:val="en-US" w:eastAsia="zh-CN" w:bidi="ar-SA"/>
      </w:rPr>
    </w:lvl>
    <w:lvl w:ilvl="4">
      <w:start w:val="0"/>
      <w:numFmt w:val="bullet"/>
      <w:lvlText w:val="•"/>
      <w:lvlJc w:val="left"/>
      <w:pPr>
        <w:ind w:left="4206" w:hanging="317"/>
      </w:pPr>
      <w:rPr>
        <w:rFonts w:hint="default"/>
        <w:lang w:val="en-US" w:eastAsia="zh-CN" w:bidi="ar-SA"/>
      </w:rPr>
    </w:lvl>
    <w:lvl w:ilvl="5">
      <w:start w:val="0"/>
      <w:numFmt w:val="bullet"/>
      <w:lvlText w:val="•"/>
      <w:lvlJc w:val="left"/>
      <w:pPr>
        <w:ind w:left="5203" w:hanging="317"/>
      </w:pPr>
      <w:rPr>
        <w:rFonts w:hint="default"/>
        <w:lang w:val="en-US" w:eastAsia="zh-CN" w:bidi="ar-SA"/>
      </w:rPr>
    </w:lvl>
    <w:lvl w:ilvl="6">
      <w:start w:val="0"/>
      <w:numFmt w:val="bullet"/>
      <w:lvlText w:val="•"/>
      <w:lvlJc w:val="left"/>
      <w:pPr>
        <w:ind w:left="6199" w:hanging="317"/>
      </w:pPr>
      <w:rPr>
        <w:rFonts w:hint="default"/>
        <w:lang w:val="en-US" w:eastAsia="zh-CN" w:bidi="ar-SA"/>
      </w:rPr>
    </w:lvl>
    <w:lvl w:ilvl="7">
      <w:start w:val="0"/>
      <w:numFmt w:val="bullet"/>
      <w:lvlText w:val="•"/>
      <w:lvlJc w:val="left"/>
      <w:pPr>
        <w:ind w:left="7196" w:hanging="317"/>
      </w:pPr>
      <w:rPr>
        <w:rFonts w:hint="default"/>
        <w:lang w:val="en-US" w:eastAsia="zh-CN" w:bidi="ar-SA"/>
      </w:rPr>
    </w:lvl>
    <w:lvl w:ilvl="8">
      <w:start w:val="0"/>
      <w:numFmt w:val="bullet"/>
      <w:lvlText w:val="•"/>
      <w:lvlJc w:val="left"/>
      <w:pPr>
        <w:ind w:left="8192" w:hanging="317"/>
      </w:pPr>
      <w:rPr>
        <w:rFonts w:hint="default"/>
        <w:lang w:val="en-US" w:eastAsia="zh-CN" w:bidi="ar-SA"/>
      </w:rPr>
    </w:lvl>
  </w:abstractNum>
  <w:abstractNum w:abstractNumId="10">
    <w:nsid w:val="0053208E"/>
    <w:multiLevelType w:val="multilevel"/>
    <w:tmpl w:val="0053208E"/>
    <w:lvl w:ilvl="0">
      <w:start w:val="1"/>
      <w:numFmt w:val="decimal"/>
      <w:lvlText w:val="%1."/>
      <w:lvlJc w:val="left"/>
      <w:pPr>
        <w:ind w:left="220" w:hanging="212"/>
        <w:jc w:val="left"/>
      </w:pPr>
      <w:rPr>
        <w:rFonts w:ascii="黑体" w:eastAsia="黑体" w:hAnsi="黑体" w:cs="黑体" w:hint="default"/>
        <w:b w:val="0"/>
        <w:bCs w:val="0"/>
        <w:i w:val="0"/>
        <w:iCs w:val="0"/>
        <w:spacing w:val="-2"/>
        <w:w w:val="99"/>
        <w:sz w:val="19"/>
        <w:szCs w:val="19"/>
        <w:lang w:val="en-US" w:eastAsia="zh-CN" w:bidi="ar-SA"/>
      </w:rPr>
    </w:lvl>
    <w:lvl w:ilvl="1">
      <w:start w:val="0"/>
      <w:numFmt w:val="bullet"/>
      <w:lvlText w:val="•"/>
      <w:lvlJc w:val="left"/>
      <w:pPr>
        <w:ind w:left="1216" w:hanging="212"/>
      </w:pPr>
      <w:rPr>
        <w:rFonts w:hint="default"/>
        <w:lang w:val="en-US" w:eastAsia="zh-CN" w:bidi="ar-SA"/>
      </w:rPr>
    </w:lvl>
    <w:lvl w:ilvl="2">
      <w:start w:val="0"/>
      <w:numFmt w:val="bullet"/>
      <w:lvlText w:val="•"/>
      <w:lvlJc w:val="left"/>
      <w:pPr>
        <w:ind w:left="2213" w:hanging="212"/>
      </w:pPr>
      <w:rPr>
        <w:rFonts w:hint="default"/>
        <w:lang w:val="en-US" w:eastAsia="zh-CN" w:bidi="ar-SA"/>
      </w:rPr>
    </w:lvl>
    <w:lvl w:ilvl="3">
      <w:start w:val="0"/>
      <w:numFmt w:val="bullet"/>
      <w:lvlText w:val="•"/>
      <w:lvlJc w:val="left"/>
      <w:pPr>
        <w:ind w:left="3209" w:hanging="212"/>
      </w:pPr>
      <w:rPr>
        <w:rFonts w:hint="default"/>
        <w:lang w:val="en-US" w:eastAsia="zh-CN" w:bidi="ar-SA"/>
      </w:rPr>
    </w:lvl>
    <w:lvl w:ilvl="4">
      <w:start w:val="0"/>
      <w:numFmt w:val="bullet"/>
      <w:lvlText w:val="•"/>
      <w:lvlJc w:val="left"/>
      <w:pPr>
        <w:ind w:left="4206" w:hanging="212"/>
      </w:pPr>
      <w:rPr>
        <w:rFonts w:hint="default"/>
        <w:lang w:val="en-US" w:eastAsia="zh-CN" w:bidi="ar-SA"/>
      </w:rPr>
    </w:lvl>
    <w:lvl w:ilvl="5">
      <w:start w:val="0"/>
      <w:numFmt w:val="bullet"/>
      <w:lvlText w:val="•"/>
      <w:lvlJc w:val="left"/>
      <w:pPr>
        <w:ind w:left="5203" w:hanging="212"/>
      </w:pPr>
      <w:rPr>
        <w:rFonts w:hint="default"/>
        <w:lang w:val="en-US" w:eastAsia="zh-CN" w:bidi="ar-SA"/>
      </w:rPr>
    </w:lvl>
    <w:lvl w:ilvl="6">
      <w:start w:val="0"/>
      <w:numFmt w:val="bullet"/>
      <w:lvlText w:val="•"/>
      <w:lvlJc w:val="left"/>
      <w:pPr>
        <w:ind w:left="6199" w:hanging="212"/>
      </w:pPr>
      <w:rPr>
        <w:rFonts w:hint="default"/>
        <w:lang w:val="en-US" w:eastAsia="zh-CN" w:bidi="ar-SA"/>
      </w:rPr>
    </w:lvl>
    <w:lvl w:ilvl="7">
      <w:start w:val="0"/>
      <w:numFmt w:val="bullet"/>
      <w:lvlText w:val="•"/>
      <w:lvlJc w:val="left"/>
      <w:pPr>
        <w:ind w:left="7196" w:hanging="212"/>
      </w:pPr>
      <w:rPr>
        <w:rFonts w:hint="default"/>
        <w:lang w:val="en-US" w:eastAsia="zh-CN" w:bidi="ar-SA"/>
      </w:rPr>
    </w:lvl>
    <w:lvl w:ilvl="8">
      <w:start w:val="0"/>
      <w:numFmt w:val="bullet"/>
      <w:lvlText w:val="•"/>
      <w:lvlJc w:val="left"/>
      <w:pPr>
        <w:ind w:left="8192" w:hanging="212"/>
      </w:pPr>
      <w:rPr>
        <w:rFonts w:hint="default"/>
        <w:lang w:val="en-US" w:eastAsia="zh-CN" w:bidi="ar-SA"/>
      </w:rPr>
    </w:lvl>
  </w:abstractNum>
  <w:abstractNum w:abstractNumId="11">
    <w:nsid w:val="0248C179"/>
    <w:multiLevelType w:val="multilevel"/>
    <w:tmpl w:val="0248C179"/>
    <w:lvl w:ilvl="0">
      <w:start w:val="27"/>
      <w:numFmt w:val="decimal"/>
      <w:lvlText w:val="%1."/>
      <w:lvlJc w:val="left"/>
      <w:pPr>
        <w:ind w:left="220" w:hanging="317"/>
        <w:jc w:val="left"/>
      </w:pPr>
      <w:rPr>
        <w:rFonts w:ascii="黑体" w:eastAsia="黑体" w:hAnsi="黑体" w:cs="黑体" w:hint="default"/>
        <w:b w:val="0"/>
        <w:bCs w:val="0"/>
        <w:i w:val="0"/>
        <w:iCs w:val="0"/>
        <w:spacing w:val="-2"/>
        <w:w w:val="99"/>
        <w:sz w:val="19"/>
        <w:szCs w:val="19"/>
        <w:lang w:val="en-US" w:eastAsia="zh-CN" w:bidi="ar-SA"/>
      </w:rPr>
    </w:lvl>
    <w:lvl w:ilvl="1">
      <w:start w:val="0"/>
      <w:numFmt w:val="bullet"/>
      <w:lvlText w:val="•"/>
      <w:lvlJc w:val="left"/>
      <w:pPr>
        <w:ind w:left="1216" w:hanging="317"/>
      </w:pPr>
      <w:rPr>
        <w:rFonts w:hint="default"/>
        <w:lang w:val="en-US" w:eastAsia="zh-CN" w:bidi="ar-SA"/>
      </w:rPr>
    </w:lvl>
    <w:lvl w:ilvl="2">
      <w:start w:val="0"/>
      <w:numFmt w:val="bullet"/>
      <w:lvlText w:val="•"/>
      <w:lvlJc w:val="left"/>
      <w:pPr>
        <w:ind w:left="2213" w:hanging="317"/>
      </w:pPr>
      <w:rPr>
        <w:rFonts w:hint="default"/>
        <w:lang w:val="en-US" w:eastAsia="zh-CN" w:bidi="ar-SA"/>
      </w:rPr>
    </w:lvl>
    <w:lvl w:ilvl="3">
      <w:start w:val="0"/>
      <w:numFmt w:val="bullet"/>
      <w:lvlText w:val="•"/>
      <w:lvlJc w:val="left"/>
      <w:pPr>
        <w:ind w:left="3209" w:hanging="317"/>
      </w:pPr>
      <w:rPr>
        <w:rFonts w:hint="default"/>
        <w:lang w:val="en-US" w:eastAsia="zh-CN" w:bidi="ar-SA"/>
      </w:rPr>
    </w:lvl>
    <w:lvl w:ilvl="4">
      <w:start w:val="0"/>
      <w:numFmt w:val="bullet"/>
      <w:lvlText w:val="•"/>
      <w:lvlJc w:val="left"/>
      <w:pPr>
        <w:ind w:left="4206" w:hanging="317"/>
      </w:pPr>
      <w:rPr>
        <w:rFonts w:hint="default"/>
        <w:lang w:val="en-US" w:eastAsia="zh-CN" w:bidi="ar-SA"/>
      </w:rPr>
    </w:lvl>
    <w:lvl w:ilvl="5">
      <w:start w:val="0"/>
      <w:numFmt w:val="bullet"/>
      <w:lvlText w:val="•"/>
      <w:lvlJc w:val="left"/>
      <w:pPr>
        <w:ind w:left="5203" w:hanging="317"/>
      </w:pPr>
      <w:rPr>
        <w:rFonts w:hint="default"/>
        <w:lang w:val="en-US" w:eastAsia="zh-CN" w:bidi="ar-SA"/>
      </w:rPr>
    </w:lvl>
    <w:lvl w:ilvl="6">
      <w:start w:val="0"/>
      <w:numFmt w:val="bullet"/>
      <w:lvlText w:val="•"/>
      <w:lvlJc w:val="left"/>
      <w:pPr>
        <w:ind w:left="6199" w:hanging="317"/>
      </w:pPr>
      <w:rPr>
        <w:rFonts w:hint="default"/>
        <w:lang w:val="en-US" w:eastAsia="zh-CN" w:bidi="ar-SA"/>
      </w:rPr>
    </w:lvl>
    <w:lvl w:ilvl="7">
      <w:start w:val="0"/>
      <w:numFmt w:val="bullet"/>
      <w:lvlText w:val="•"/>
      <w:lvlJc w:val="left"/>
      <w:pPr>
        <w:ind w:left="7196" w:hanging="317"/>
      </w:pPr>
      <w:rPr>
        <w:rFonts w:hint="default"/>
        <w:lang w:val="en-US" w:eastAsia="zh-CN" w:bidi="ar-SA"/>
      </w:rPr>
    </w:lvl>
    <w:lvl w:ilvl="8">
      <w:start w:val="0"/>
      <w:numFmt w:val="bullet"/>
      <w:lvlText w:val="•"/>
      <w:lvlJc w:val="left"/>
      <w:pPr>
        <w:ind w:left="8192" w:hanging="317"/>
      </w:pPr>
      <w:rPr>
        <w:rFonts w:hint="default"/>
        <w:lang w:val="en-US" w:eastAsia="zh-CN" w:bidi="ar-SA"/>
      </w:rPr>
    </w:lvl>
  </w:abstractNum>
  <w:abstractNum w:abstractNumId="12">
    <w:nsid w:val="03D62ECE"/>
    <w:multiLevelType w:val="multilevel"/>
    <w:tmpl w:val="03D62ECE"/>
    <w:lvl w:ilvl="0">
      <w:start w:val="13"/>
      <w:numFmt w:val="decimal"/>
      <w:lvlText w:val="%1."/>
      <w:lvlJc w:val="left"/>
      <w:pPr>
        <w:ind w:left="220" w:hanging="317"/>
        <w:jc w:val="left"/>
      </w:pPr>
      <w:rPr>
        <w:rFonts w:ascii="黑体" w:eastAsia="黑体" w:hAnsi="黑体" w:cs="黑体" w:hint="default"/>
        <w:b w:val="0"/>
        <w:bCs w:val="0"/>
        <w:i w:val="0"/>
        <w:iCs w:val="0"/>
        <w:spacing w:val="-2"/>
        <w:w w:val="99"/>
        <w:sz w:val="19"/>
        <w:szCs w:val="19"/>
        <w:lang w:val="en-US" w:eastAsia="zh-CN" w:bidi="ar-SA"/>
      </w:rPr>
    </w:lvl>
    <w:lvl w:ilvl="1">
      <w:start w:val="0"/>
      <w:numFmt w:val="bullet"/>
      <w:lvlText w:val="•"/>
      <w:lvlJc w:val="left"/>
      <w:pPr>
        <w:ind w:left="1216" w:hanging="317"/>
      </w:pPr>
      <w:rPr>
        <w:rFonts w:hint="default"/>
        <w:lang w:val="en-US" w:eastAsia="zh-CN" w:bidi="ar-SA"/>
      </w:rPr>
    </w:lvl>
    <w:lvl w:ilvl="2">
      <w:start w:val="0"/>
      <w:numFmt w:val="bullet"/>
      <w:lvlText w:val="•"/>
      <w:lvlJc w:val="left"/>
      <w:pPr>
        <w:ind w:left="2213" w:hanging="317"/>
      </w:pPr>
      <w:rPr>
        <w:rFonts w:hint="default"/>
        <w:lang w:val="en-US" w:eastAsia="zh-CN" w:bidi="ar-SA"/>
      </w:rPr>
    </w:lvl>
    <w:lvl w:ilvl="3">
      <w:start w:val="0"/>
      <w:numFmt w:val="bullet"/>
      <w:lvlText w:val="•"/>
      <w:lvlJc w:val="left"/>
      <w:pPr>
        <w:ind w:left="3209" w:hanging="317"/>
      </w:pPr>
      <w:rPr>
        <w:rFonts w:hint="default"/>
        <w:lang w:val="en-US" w:eastAsia="zh-CN" w:bidi="ar-SA"/>
      </w:rPr>
    </w:lvl>
    <w:lvl w:ilvl="4">
      <w:start w:val="0"/>
      <w:numFmt w:val="bullet"/>
      <w:lvlText w:val="•"/>
      <w:lvlJc w:val="left"/>
      <w:pPr>
        <w:ind w:left="4206" w:hanging="317"/>
      </w:pPr>
      <w:rPr>
        <w:rFonts w:hint="default"/>
        <w:lang w:val="en-US" w:eastAsia="zh-CN" w:bidi="ar-SA"/>
      </w:rPr>
    </w:lvl>
    <w:lvl w:ilvl="5">
      <w:start w:val="0"/>
      <w:numFmt w:val="bullet"/>
      <w:lvlText w:val="•"/>
      <w:lvlJc w:val="left"/>
      <w:pPr>
        <w:ind w:left="5203" w:hanging="317"/>
      </w:pPr>
      <w:rPr>
        <w:rFonts w:hint="default"/>
        <w:lang w:val="en-US" w:eastAsia="zh-CN" w:bidi="ar-SA"/>
      </w:rPr>
    </w:lvl>
    <w:lvl w:ilvl="6">
      <w:start w:val="0"/>
      <w:numFmt w:val="bullet"/>
      <w:lvlText w:val="•"/>
      <w:lvlJc w:val="left"/>
      <w:pPr>
        <w:ind w:left="6199" w:hanging="317"/>
      </w:pPr>
      <w:rPr>
        <w:rFonts w:hint="default"/>
        <w:lang w:val="en-US" w:eastAsia="zh-CN" w:bidi="ar-SA"/>
      </w:rPr>
    </w:lvl>
    <w:lvl w:ilvl="7">
      <w:start w:val="0"/>
      <w:numFmt w:val="bullet"/>
      <w:lvlText w:val="•"/>
      <w:lvlJc w:val="left"/>
      <w:pPr>
        <w:ind w:left="7196" w:hanging="317"/>
      </w:pPr>
      <w:rPr>
        <w:rFonts w:hint="default"/>
        <w:lang w:val="en-US" w:eastAsia="zh-CN" w:bidi="ar-SA"/>
      </w:rPr>
    </w:lvl>
    <w:lvl w:ilvl="8">
      <w:start w:val="0"/>
      <w:numFmt w:val="bullet"/>
      <w:lvlText w:val="•"/>
      <w:lvlJc w:val="left"/>
      <w:pPr>
        <w:ind w:left="8192" w:hanging="317"/>
      </w:pPr>
      <w:rPr>
        <w:rFonts w:hint="default"/>
        <w:lang w:val="en-US" w:eastAsia="zh-CN" w:bidi="ar-SA"/>
      </w:rPr>
    </w:lvl>
  </w:abstractNum>
  <w:abstractNum w:abstractNumId="13">
    <w:nsid w:val="0E640482"/>
    <w:multiLevelType w:val="multilevel"/>
    <w:tmpl w:val="0E640482"/>
    <w:lvl w:ilvl="0">
      <w:start w:val="1"/>
      <w:numFmt w:val="decimal"/>
      <w:lvlText w:val="%1)"/>
      <w:lvlJc w:val="left"/>
      <w:pPr>
        <w:ind w:left="220" w:hanging="212"/>
        <w:jc w:val="left"/>
      </w:pPr>
      <w:rPr>
        <w:rFonts w:ascii="黑体" w:eastAsia="黑体" w:hAnsi="黑体" w:cs="黑体" w:hint="default"/>
        <w:b w:val="0"/>
        <w:bCs w:val="0"/>
        <w:i w:val="0"/>
        <w:iCs w:val="0"/>
        <w:spacing w:val="1"/>
        <w:w w:val="99"/>
        <w:sz w:val="19"/>
        <w:szCs w:val="19"/>
        <w:lang w:val="en-US" w:eastAsia="zh-CN" w:bidi="ar-SA"/>
      </w:rPr>
    </w:lvl>
    <w:lvl w:ilvl="1">
      <w:start w:val="0"/>
      <w:numFmt w:val="bullet"/>
      <w:lvlText w:val="•"/>
      <w:lvlJc w:val="left"/>
      <w:pPr>
        <w:ind w:left="1216" w:hanging="212"/>
      </w:pPr>
      <w:rPr>
        <w:rFonts w:hint="default"/>
        <w:lang w:val="en-US" w:eastAsia="zh-CN" w:bidi="ar-SA"/>
      </w:rPr>
    </w:lvl>
    <w:lvl w:ilvl="2">
      <w:start w:val="0"/>
      <w:numFmt w:val="bullet"/>
      <w:lvlText w:val="•"/>
      <w:lvlJc w:val="left"/>
      <w:pPr>
        <w:ind w:left="2213" w:hanging="212"/>
      </w:pPr>
      <w:rPr>
        <w:rFonts w:hint="default"/>
        <w:lang w:val="en-US" w:eastAsia="zh-CN" w:bidi="ar-SA"/>
      </w:rPr>
    </w:lvl>
    <w:lvl w:ilvl="3">
      <w:start w:val="0"/>
      <w:numFmt w:val="bullet"/>
      <w:lvlText w:val="•"/>
      <w:lvlJc w:val="left"/>
      <w:pPr>
        <w:ind w:left="3209" w:hanging="212"/>
      </w:pPr>
      <w:rPr>
        <w:rFonts w:hint="default"/>
        <w:lang w:val="en-US" w:eastAsia="zh-CN" w:bidi="ar-SA"/>
      </w:rPr>
    </w:lvl>
    <w:lvl w:ilvl="4">
      <w:start w:val="0"/>
      <w:numFmt w:val="bullet"/>
      <w:lvlText w:val="•"/>
      <w:lvlJc w:val="left"/>
      <w:pPr>
        <w:ind w:left="4206" w:hanging="212"/>
      </w:pPr>
      <w:rPr>
        <w:rFonts w:hint="default"/>
        <w:lang w:val="en-US" w:eastAsia="zh-CN" w:bidi="ar-SA"/>
      </w:rPr>
    </w:lvl>
    <w:lvl w:ilvl="5">
      <w:start w:val="0"/>
      <w:numFmt w:val="bullet"/>
      <w:lvlText w:val="•"/>
      <w:lvlJc w:val="left"/>
      <w:pPr>
        <w:ind w:left="5203" w:hanging="212"/>
      </w:pPr>
      <w:rPr>
        <w:rFonts w:hint="default"/>
        <w:lang w:val="en-US" w:eastAsia="zh-CN" w:bidi="ar-SA"/>
      </w:rPr>
    </w:lvl>
    <w:lvl w:ilvl="6">
      <w:start w:val="0"/>
      <w:numFmt w:val="bullet"/>
      <w:lvlText w:val="•"/>
      <w:lvlJc w:val="left"/>
      <w:pPr>
        <w:ind w:left="6199" w:hanging="212"/>
      </w:pPr>
      <w:rPr>
        <w:rFonts w:hint="default"/>
        <w:lang w:val="en-US" w:eastAsia="zh-CN" w:bidi="ar-SA"/>
      </w:rPr>
    </w:lvl>
    <w:lvl w:ilvl="7">
      <w:start w:val="0"/>
      <w:numFmt w:val="bullet"/>
      <w:lvlText w:val="•"/>
      <w:lvlJc w:val="left"/>
      <w:pPr>
        <w:ind w:left="7196" w:hanging="212"/>
      </w:pPr>
      <w:rPr>
        <w:rFonts w:hint="default"/>
        <w:lang w:val="en-US" w:eastAsia="zh-CN" w:bidi="ar-SA"/>
      </w:rPr>
    </w:lvl>
    <w:lvl w:ilvl="8">
      <w:start w:val="0"/>
      <w:numFmt w:val="bullet"/>
      <w:lvlText w:val="•"/>
      <w:lvlJc w:val="left"/>
      <w:pPr>
        <w:ind w:left="8192" w:hanging="212"/>
      </w:pPr>
      <w:rPr>
        <w:rFonts w:hint="default"/>
        <w:lang w:val="en-US" w:eastAsia="zh-CN" w:bidi="ar-SA"/>
      </w:rPr>
    </w:lvl>
  </w:abstractNum>
  <w:abstractNum w:abstractNumId="14">
    <w:nsid w:val="2470EC97"/>
    <w:multiLevelType w:val="multilevel"/>
    <w:tmpl w:val="2470EC97"/>
    <w:lvl w:ilvl="0">
      <w:start w:val="1"/>
      <w:numFmt w:val="upperLetter"/>
      <w:lvlText w:val="%1."/>
      <w:lvlJc w:val="left"/>
      <w:pPr>
        <w:ind w:left="220" w:hanging="212"/>
        <w:jc w:val="left"/>
      </w:pPr>
      <w:rPr>
        <w:rFonts w:ascii="黑体" w:eastAsia="黑体" w:hAnsi="黑体" w:cs="黑体" w:hint="default"/>
        <w:b w:val="0"/>
        <w:bCs w:val="0"/>
        <w:i w:val="0"/>
        <w:iCs w:val="0"/>
        <w:spacing w:val="-2"/>
        <w:w w:val="99"/>
        <w:sz w:val="19"/>
        <w:szCs w:val="19"/>
        <w:lang w:val="en-US" w:eastAsia="zh-CN" w:bidi="ar-SA"/>
      </w:rPr>
    </w:lvl>
    <w:lvl w:ilvl="1">
      <w:start w:val="0"/>
      <w:numFmt w:val="bullet"/>
      <w:lvlText w:val="•"/>
      <w:lvlJc w:val="left"/>
      <w:pPr>
        <w:ind w:left="1216" w:hanging="212"/>
      </w:pPr>
      <w:rPr>
        <w:rFonts w:hint="default"/>
        <w:lang w:val="en-US" w:eastAsia="zh-CN" w:bidi="ar-SA"/>
      </w:rPr>
    </w:lvl>
    <w:lvl w:ilvl="2">
      <w:start w:val="0"/>
      <w:numFmt w:val="bullet"/>
      <w:lvlText w:val="•"/>
      <w:lvlJc w:val="left"/>
      <w:pPr>
        <w:ind w:left="2213" w:hanging="212"/>
      </w:pPr>
      <w:rPr>
        <w:rFonts w:hint="default"/>
        <w:lang w:val="en-US" w:eastAsia="zh-CN" w:bidi="ar-SA"/>
      </w:rPr>
    </w:lvl>
    <w:lvl w:ilvl="3">
      <w:start w:val="0"/>
      <w:numFmt w:val="bullet"/>
      <w:lvlText w:val="•"/>
      <w:lvlJc w:val="left"/>
      <w:pPr>
        <w:ind w:left="3209" w:hanging="212"/>
      </w:pPr>
      <w:rPr>
        <w:rFonts w:hint="default"/>
        <w:lang w:val="en-US" w:eastAsia="zh-CN" w:bidi="ar-SA"/>
      </w:rPr>
    </w:lvl>
    <w:lvl w:ilvl="4">
      <w:start w:val="0"/>
      <w:numFmt w:val="bullet"/>
      <w:lvlText w:val="•"/>
      <w:lvlJc w:val="left"/>
      <w:pPr>
        <w:ind w:left="4206" w:hanging="212"/>
      </w:pPr>
      <w:rPr>
        <w:rFonts w:hint="default"/>
        <w:lang w:val="en-US" w:eastAsia="zh-CN" w:bidi="ar-SA"/>
      </w:rPr>
    </w:lvl>
    <w:lvl w:ilvl="5">
      <w:start w:val="0"/>
      <w:numFmt w:val="bullet"/>
      <w:lvlText w:val="•"/>
      <w:lvlJc w:val="left"/>
      <w:pPr>
        <w:ind w:left="5203" w:hanging="212"/>
      </w:pPr>
      <w:rPr>
        <w:rFonts w:hint="default"/>
        <w:lang w:val="en-US" w:eastAsia="zh-CN" w:bidi="ar-SA"/>
      </w:rPr>
    </w:lvl>
    <w:lvl w:ilvl="6">
      <w:start w:val="0"/>
      <w:numFmt w:val="bullet"/>
      <w:lvlText w:val="•"/>
      <w:lvlJc w:val="left"/>
      <w:pPr>
        <w:ind w:left="6199" w:hanging="212"/>
      </w:pPr>
      <w:rPr>
        <w:rFonts w:hint="default"/>
        <w:lang w:val="en-US" w:eastAsia="zh-CN" w:bidi="ar-SA"/>
      </w:rPr>
    </w:lvl>
    <w:lvl w:ilvl="7">
      <w:start w:val="0"/>
      <w:numFmt w:val="bullet"/>
      <w:lvlText w:val="•"/>
      <w:lvlJc w:val="left"/>
      <w:pPr>
        <w:ind w:left="7196" w:hanging="212"/>
      </w:pPr>
      <w:rPr>
        <w:rFonts w:hint="default"/>
        <w:lang w:val="en-US" w:eastAsia="zh-CN" w:bidi="ar-SA"/>
      </w:rPr>
    </w:lvl>
    <w:lvl w:ilvl="8">
      <w:start w:val="0"/>
      <w:numFmt w:val="bullet"/>
      <w:lvlText w:val="•"/>
      <w:lvlJc w:val="left"/>
      <w:pPr>
        <w:ind w:left="8192" w:hanging="212"/>
      </w:pPr>
      <w:rPr>
        <w:rFonts w:hint="default"/>
        <w:lang w:val="en-US" w:eastAsia="zh-CN" w:bidi="ar-SA"/>
      </w:rPr>
    </w:lvl>
  </w:abstractNum>
  <w:abstractNum w:abstractNumId="15">
    <w:nsid w:val="25B654F3"/>
    <w:multiLevelType w:val="multilevel"/>
    <w:tmpl w:val="25B654F3"/>
    <w:lvl w:ilvl="0">
      <w:start w:val="1"/>
      <w:numFmt w:val="decimal"/>
      <w:lvlText w:val="%1)"/>
      <w:lvlJc w:val="left"/>
      <w:pPr>
        <w:ind w:left="220" w:hanging="212"/>
        <w:jc w:val="left"/>
      </w:pPr>
      <w:rPr>
        <w:rFonts w:hint="default"/>
        <w:spacing w:val="1"/>
        <w:w w:val="99"/>
        <w:lang w:val="en-US" w:eastAsia="zh-CN" w:bidi="ar-SA"/>
      </w:rPr>
    </w:lvl>
    <w:lvl w:ilvl="1">
      <w:start w:val="0"/>
      <w:numFmt w:val="bullet"/>
      <w:lvlText w:val="•"/>
      <w:lvlJc w:val="left"/>
      <w:pPr>
        <w:ind w:left="1216" w:hanging="212"/>
      </w:pPr>
      <w:rPr>
        <w:rFonts w:hint="default"/>
        <w:lang w:val="en-US" w:eastAsia="zh-CN" w:bidi="ar-SA"/>
      </w:rPr>
    </w:lvl>
    <w:lvl w:ilvl="2">
      <w:start w:val="0"/>
      <w:numFmt w:val="bullet"/>
      <w:lvlText w:val="•"/>
      <w:lvlJc w:val="left"/>
      <w:pPr>
        <w:ind w:left="2213" w:hanging="212"/>
      </w:pPr>
      <w:rPr>
        <w:rFonts w:hint="default"/>
        <w:lang w:val="en-US" w:eastAsia="zh-CN" w:bidi="ar-SA"/>
      </w:rPr>
    </w:lvl>
    <w:lvl w:ilvl="3">
      <w:start w:val="0"/>
      <w:numFmt w:val="bullet"/>
      <w:lvlText w:val="•"/>
      <w:lvlJc w:val="left"/>
      <w:pPr>
        <w:ind w:left="3209" w:hanging="212"/>
      </w:pPr>
      <w:rPr>
        <w:rFonts w:hint="default"/>
        <w:lang w:val="en-US" w:eastAsia="zh-CN" w:bidi="ar-SA"/>
      </w:rPr>
    </w:lvl>
    <w:lvl w:ilvl="4">
      <w:start w:val="0"/>
      <w:numFmt w:val="bullet"/>
      <w:lvlText w:val="•"/>
      <w:lvlJc w:val="left"/>
      <w:pPr>
        <w:ind w:left="4206" w:hanging="212"/>
      </w:pPr>
      <w:rPr>
        <w:rFonts w:hint="default"/>
        <w:lang w:val="en-US" w:eastAsia="zh-CN" w:bidi="ar-SA"/>
      </w:rPr>
    </w:lvl>
    <w:lvl w:ilvl="5">
      <w:start w:val="0"/>
      <w:numFmt w:val="bullet"/>
      <w:lvlText w:val="•"/>
      <w:lvlJc w:val="left"/>
      <w:pPr>
        <w:ind w:left="5203" w:hanging="212"/>
      </w:pPr>
      <w:rPr>
        <w:rFonts w:hint="default"/>
        <w:lang w:val="en-US" w:eastAsia="zh-CN" w:bidi="ar-SA"/>
      </w:rPr>
    </w:lvl>
    <w:lvl w:ilvl="6">
      <w:start w:val="0"/>
      <w:numFmt w:val="bullet"/>
      <w:lvlText w:val="•"/>
      <w:lvlJc w:val="left"/>
      <w:pPr>
        <w:ind w:left="6199" w:hanging="212"/>
      </w:pPr>
      <w:rPr>
        <w:rFonts w:hint="default"/>
        <w:lang w:val="en-US" w:eastAsia="zh-CN" w:bidi="ar-SA"/>
      </w:rPr>
    </w:lvl>
    <w:lvl w:ilvl="7">
      <w:start w:val="0"/>
      <w:numFmt w:val="bullet"/>
      <w:lvlText w:val="•"/>
      <w:lvlJc w:val="left"/>
      <w:pPr>
        <w:ind w:left="7196" w:hanging="212"/>
      </w:pPr>
      <w:rPr>
        <w:rFonts w:hint="default"/>
        <w:lang w:val="en-US" w:eastAsia="zh-CN" w:bidi="ar-SA"/>
      </w:rPr>
    </w:lvl>
    <w:lvl w:ilvl="8">
      <w:start w:val="0"/>
      <w:numFmt w:val="bullet"/>
      <w:lvlText w:val="•"/>
      <w:lvlJc w:val="left"/>
      <w:pPr>
        <w:ind w:left="8192" w:hanging="212"/>
      </w:pPr>
      <w:rPr>
        <w:rFonts w:hint="default"/>
        <w:lang w:val="en-US" w:eastAsia="zh-CN" w:bidi="ar-SA"/>
      </w:rPr>
    </w:lvl>
  </w:abstractNum>
  <w:abstractNum w:abstractNumId="16">
    <w:nsid w:val="2A8F537B"/>
    <w:multiLevelType w:val="multilevel"/>
    <w:tmpl w:val="2A8F537B"/>
    <w:lvl w:ilvl="0">
      <w:start w:val="2"/>
      <w:numFmt w:val="upperLetter"/>
      <w:lvlText w:val="%1."/>
      <w:lvlJc w:val="left"/>
      <w:pPr>
        <w:ind w:left="431" w:hanging="212"/>
        <w:jc w:val="left"/>
      </w:pPr>
      <w:rPr>
        <w:rFonts w:ascii="黑体" w:eastAsia="黑体" w:hAnsi="黑体" w:cs="黑体" w:hint="default"/>
        <w:b w:val="0"/>
        <w:bCs w:val="0"/>
        <w:i w:val="0"/>
        <w:iCs w:val="0"/>
        <w:spacing w:val="-2"/>
        <w:w w:val="99"/>
        <w:sz w:val="19"/>
        <w:szCs w:val="19"/>
        <w:lang w:val="en-US" w:eastAsia="zh-CN" w:bidi="ar-SA"/>
      </w:rPr>
    </w:lvl>
    <w:lvl w:ilvl="1">
      <w:start w:val="0"/>
      <w:numFmt w:val="bullet"/>
      <w:lvlText w:val="•"/>
      <w:lvlJc w:val="left"/>
      <w:pPr>
        <w:ind w:left="1414" w:hanging="212"/>
      </w:pPr>
      <w:rPr>
        <w:rFonts w:hint="default"/>
        <w:lang w:val="en-US" w:eastAsia="zh-CN" w:bidi="ar-SA"/>
      </w:rPr>
    </w:lvl>
    <w:lvl w:ilvl="2">
      <w:start w:val="0"/>
      <w:numFmt w:val="bullet"/>
      <w:lvlText w:val="•"/>
      <w:lvlJc w:val="left"/>
      <w:pPr>
        <w:ind w:left="2389" w:hanging="212"/>
      </w:pPr>
      <w:rPr>
        <w:rFonts w:hint="default"/>
        <w:lang w:val="en-US" w:eastAsia="zh-CN" w:bidi="ar-SA"/>
      </w:rPr>
    </w:lvl>
    <w:lvl w:ilvl="3">
      <w:start w:val="0"/>
      <w:numFmt w:val="bullet"/>
      <w:lvlText w:val="•"/>
      <w:lvlJc w:val="left"/>
      <w:pPr>
        <w:ind w:left="3363" w:hanging="212"/>
      </w:pPr>
      <w:rPr>
        <w:rFonts w:hint="default"/>
        <w:lang w:val="en-US" w:eastAsia="zh-CN" w:bidi="ar-SA"/>
      </w:rPr>
    </w:lvl>
    <w:lvl w:ilvl="4">
      <w:start w:val="0"/>
      <w:numFmt w:val="bullet"/>
      <w:lvlText w:val="•"/>
      <w:lvlJc w:val="left"/>
      <w:pPr>
        <w:ind w:left="4338" w:hanging="212"/>
      </w:pPr>
      <w:rPr>
        <w:rFonts w:hint="default"/>
        <w:lang w:val="en-US" w:eastAsia="zh-CN" w:bidi="ar-SA"/>
      </w:rPr>
    </w:lvl>
    <w:lvl w:ilvl="5">
      <w:start w:val="0"/>
      <w:numFmt w:val="bullet"/>
      <w:lvlText w:val="•"/>
      <w:lvlJc w:val="left"/>
      <w:pPr>
        <w:ind w:left="5313" w:hanging="212"/>
      </w:pPr>
      <w:rPr>
        <w:rFonts w:hint="default"/>
        <w:lang w:val="en-US" w:eastAsia="zh-CN" w:bidi="ar-SA"/>
      </w:rPr>
    </w:lvl>
    <w:lvl w:ilvl="6">
      <w:start w:val="0"/>
      <w:numFmt w:val="bullet"/>
      <w:lvlText w:val="•"/>
      <w:lvlJc w:val="left"/>
      <w:pPr>
        <w:ind w:left="6287" w:hanging="212"/>
      </w:pPr>
      <w:rPr>
        <w:rFonts w:hint="default"/>
        <w:lang w:val="en-US" w:eastAsia="zh-CN" w:bidi="ar-SA"/>
      </w:rPr>
    </w:lvl>
    <w:lvl w:ilvl="7">
      <w:start w:val="0"/>
      <w:numFmt w:val="bullet"/>
      <w:lvlText w:val="•"/>
      <w:lvlJc w:val="left"/>
      <w:pPr>
        <w:ind w:left="7262" w:hanging="212"/>
      </w:pPr>
      <w:rPr>
        <w:rFonts w:hint="default"/>
        <w:lang w:val="en-US" w:eastAsia="zh-CN" w:bidi="ar-SA"/>
      </w:rPr>
    </w:lvl>
    <w:lvl w:ilvl="8">
      <w:start w:val="0"/>
      <w:numFmt w:val="bullet"/>
      <w:lvlText w:val="•"/>
      <w:lvlJc w:val="left"/>
      <w:pPr>
        <w:ind w:left="8236" w:hanging="212"/>
      </w:pPr>
      <w:rPr>
        <w:rFonts w:hint="default"/>
        <w:lang w:val="en-US" w:eastAsia="zh-CN" w:bidi="ar-SA"/>
      </w:rPr>
    </w:lvl>
  </w:abstractNum>
  <w:abstractNum w:abstractNumId="17">
    <w:nsid w:val="46A08BB8"/>
    <w:multiLevelType w:val="multilevel"/>
    <w:tmpl w:val="46A08BB8"/>
    <w:lvl w:ilvl="0">
      <w:start w:val="2"/>
      <w:numFmt w:val="upperLetter"/>
      <w:lvlText w:val="%1."/>
      <w:lvlJc w:val="left"/>
      <w:pPr>
        <w:ind w:left="431" w:hanging="212"/>
        <w:jc w:val="left"/>
      </w:pPr>
      <w:rPr>
        <w:rFonts w:ascii="黑体" w:eastAsia="黑体" w:hAnsi="黑体" w:cs="黑体" w:hint="default"/>
        <w:b w:val="0"/>
        <w:bCs w:val="0"/>
        <w:i w:val="0"/>
        <w:iCs w:val="0"/>
        <w:spacing w:val="-2"/>
        <w:w w:val="99"/>
        <w:sz w:val="19"/>
        <w:szCs w:val="19"/>
        <w:lang w:val="en-US" w:eastAsia="zh-CN" w:bidi="ar-SA"/>
      </w:rPr>
    </w:lvl>
    <w:lvl w:ilvl="1">
      <w:start w:val="0"/>
      <w:numFmt w:val="bullet"/>
      <w:lvlText w:val="•"/>
      <w:lvlJc w:val="left"/>
      <w:pPr>
        <w:ind w:left="1414" w:hanging="212"/>
      </w:pPr>
      <w:rPr>
        <w:rFonts w:hint="default"/>
        <w:lang w:val="en-US" w:eastAsia="zh-CN" w:bidi="ar-SA"/>
      </w:rPr>
    </w:lvl>
    <w:lvl w:ilvl="2">
      <w:start w:val="0"/>
      <w:numFmt w:val="bullet"/>
      <w:lvlText w:val="•"/>
      <w:lvlJc w:val="left"/>
      <w:pPr>
        <w:ind w:left="2389" w:hanging="212"/>
      </w:pPr>
      <w:rPr>
        <w:rFonts w:hint="default"/>
        <w:lang w:val="en-US" w:eastAsia="zh-CN" w:bidi="ar-SA"/>
      </w:rPr>
    </w:lvl>
    <w:lvl w:ilvl="3">
      <w:start w:val="0"/>
      <w:numFmt w:val="bullet"/>
      <w:lvlText w:val="•"/>
      <w:lvlJc w:val="left"/>
      <w:pPr>
        <w:ind w:left="3363" w:hanging="212"/>
      </w:pPr>
      <w:rPr>
        <w:rFonts w:hint="default"/>
        <w:lang w:val="en-US" w:eastAsia="zh-CN" w:bidi="ar-SA"/>
      </w:rPr>
    </w:lvl>
    <w:lvl w:ilvl="4">
      <w:start w:val="0"/>
      <w:numFmt w:val="bullet"/>
      <w:lvlText w:val="•"/>
      <w:lvlJc w:val="left"/>
      <w:pPr>
        <w:ind w:left="4338" w:hanging="212"/>
      </w:pPr>
      <w:rPr>
        <w:rFonts w:hint="default"/>
        <w:lang w:val="en-US" w:eastAsia="zh-CN" w:bidi="ar-SA"/>
      </w:rPr>
    </w:lvl>
    <w:lvl w:ilvl="5">
      <w:start w:val="0"/>
      <w:numFmt w:val="bullet"/>
      <w:lvlText w:val="•"/>
      <w:lvlJc w:val="left"/>
      <w:pPr>
        <w:ind w:left="5313" w:hanging="212"/>
      </w:pPr>
      <w:rPr>
        <w:rFonts w:hint="default"/>
        <w:lang w:val="en-US" w:eastAsia="zh-CN" w:bidi="ar-SA"/>
      </w:rPr>
    </w:lvl>
    <w:lvl w:ilvl="6">
      <w:start w:val="0"/>
      <w:numFmt w:val="bullet"/>
      <w:lvlText w:val="•"/>
      <w:lvlJc w:val="left"/>
      <w:pPr>
        <w:ind w:left="6287" w:hanging="212"/>
      </w:pPr>
      <w:rPr>
        <w:rFonts w:hint="default"/>
        <w:lang w:val="en-US" w:eastAsia="zh-CN" w:bidi="ar-SA"/>
      </w:rPr>
    </w:lvl>
    <w:lvl w:ilvl="7">
      <w:start w:val="0"/>
      <w:numFmt w:val="bullet"/>
      <w:lvlText w:val="•"/>
      <w:lvlJc w:val="left"/>
      <w:pPr>
        <w:ind w:left="7262" w:hanging="212"/>
      </w:pPr>
      <w:rPr>
        <w:rFonts w:hint="default"/>
        <w:lang w:val="en-US" w:eastAsia="zh-CN" w:bidi="ar-SA"/>
      </w:rPr>
    </w:lvl>
    <w:lvl w:ilvl="8">
      <w:start w:val="0"/>
      <w:numFmt w:val="bullet"/>
      <w:lvlText w:val="•"/>
      <w:lvlJc w:val="left"/>
      <w:pPr>
        <w:ind w:left="8236" w:hanging="212"/>
      </w:pPr>
      <w:rPr>
        <w:rFonts w:hint="default"/>
        <w:lang w:val="en-US" w:eastAsia="zh-CN" w:bidi="ar-SA"/>
      </w:rPr>
    </w:lvl>
  </w:abstractNum>
  <w:abstractNum w:abstractNumId="18">
    <w:nsid w:val="4C1BAE26"/>
    <w:multiLevelType w:val="multilevel"/>
    <w:tmpl w:val="4C1BAE26"/>
    <w:lvl w:ilvl="0">
      <w:start w:val="2"/>
      <w:numFmt w:val="upperLetter"/>
      <w:lvlText w:val="%1."/>
      <w:lvlJc w:val="left"/>
      <w:pPr>
        <w:ind w:left="431" w:hanging="212"/>
        <w:jc w:val="left"/>
      </w:pPr>
      <w:rPr>
        <w:rFonts w:ascii="黑体" w:eastAsia="黑体" w:hAnsi="黑体" w:cs="黑体" w:hint="default"/>
        <w:b w:val="0"/>
        <w:bCs w:val="0"/>
        <w:i w:val="0"/>
        <w:iCs w:val="0"/>
        <w:spacing w:val="-2"/>
        <w:w w:val="99"/>
        <w:sz w:val="19"/>
        <w:szCs w:val="19"/>
        <w:lang w:val="en-US" w:eastAsia="zh-CN" w:bidi="ar-SA"/>
      </w:rPr>
    </w:lvl>
    <w:lvl w:ilvl="1">
      <w:start w:val="0"/>
      <w:numFmt w:val="bullet"/>
      <w:lvlText w:val="•"/>
      <w:lvlJc w:val="left"/>
      <w:pPr>
        <w:ind w:left="1414" w:hanging="212"/>
      </w:pPr>
      <w:rPr>
        <w:rFonts w:hint="default"/>
        <w:lang w:val="en-US" w:eastAsia="zh-CN" w:bidi="ar-SA"/>
      </w:rPr>
    </w:lvl>
    <w:lvl w:ilvl="2">
      <w:start w:val="0"/>
      <w:numFmt w:val="bullet"/>
      <w:lvlText w:val="•"/>
      <w:lvlJc w:val="left"/>
      <w:pPr>
        <w:ind w:left="2389" w:hanging="212"/>
      </w:pPr>
      <w:rPr>
        <w:rFonts w:hint="default"/>
        <w:lang w:val="en-US" w:eastAsia="zh-CN" w:bidi="ar-SA"/>
      </w:rPr>
    </w:lvl>
    <w:lvl w:ilvl="3">
      <w:start w:val="0"/>
      <w:numFmt w:val="bullet"/>
      <w:lvlText w:val="•"/>
      <w:lvlJc w:val="left"/>
      <w:pPr>
        <w:ind w:left="3363" w:hanging="212"/>
      </w:pPr>
      <w:rPr>
        <w:rFonts w:hint="default"/>
        <w:lang w:val="en-US" w:eastAsia="zh-CN" w:bidi="ar-SA"/>
      </w:rPr>
    </w:lvl>
    <w:lvl w:ilvl="4">
      <w:start w:val="0"/>
      <w:numFmt w:val="bullet"/>
      <w:lvlText w:val="•"/>
      <w:lvlJc w:val="left"/>
      <w:pPr>
        <w:ind w:left="4338" w:hanging="212"/>
      </w:pPr>
      <w:rPr>
        <w:rFonts w:hint="default"/>
        <w:lang w:val="en-US" w:eastAsia="zh-CN" w:bidi="ar-SA"/>
      </w:rPr>
    </w:lvl>
    <w:lvl w:ilvl="5">
      <w:start w:val="0"/>
      <w:numFmt w:val="bullet"/>
      <w:lvlText w:val="•"/>
      <w:lvlJc w:val="left"/>
      <w:pPr>
        <w:ind w:left="5313" w:hanging="212"/>
      </w:pPr>
      <w:rPr>
        <w:rFonts w:hint="default"/>
        <w:lang w:val="en-US" w:eastAsia="zh-CN" w:bidi="ar-SA"/>
      </w:rPr>
    </w:lvl>
    <w:lvl w:ilvl="6">
      <w:start w:val="0"/>
      <w:numFmt w:val="bullet"/>
      <w:lvlText w:val="•"/>
      <w:lvlJc w:val="left"/>
      <w:pPr>
        <w:ind w:left="6287" w:hanging="212"/>
      </w:pPr>
      <w:rPr>
        <w:rFonts w:hint="default"/>
        <w:lang w:val="en-US" w:eastAsia="zh-CN" w:bidi="ar-SA"/>
      </w:rPr>
    </w:lvl>
    <w:lvl w:ilvl="7">
      <w:start w:val="0"/>
      <w:numFmt w:val="bullet"/>
      <w:lvlText w:val="•"/>
      <w:lvlJc w:val="left"/>
      <w:pPr>
        <w:ind w:left="7262" w:hanging="212"/>
      </w:pPr>
      <w:rPr>
        <w:rFonts w:hint="default"/>
        <w:lang w:val="en-US" w:eastAsia="zh-CN" w:bidi="ar-SA"/>
      </w:rPr>
    </w:lvl>
    <w:lvl w:ilvl="8">
      <w:start w:val="0"/>
      <w:numFmt w:val="bullet"/>
      <w:lvlText w:val="•"/>
      <w:lvlJc w:val="left"/>
      <w:pPr>
        <w:ind w:left="8236" w:hanging="212"/>
      </w:pPr>
      <w:rPr>
        <w:rFonts w:hint="default"/>
        <w:lang w:val="en-US" w:eastAsia="zh-CN" w:bidi="ar-SA"/>
      </w:rPr>
    </w:lvl>
  </w:abstractNum>
  <w:abstractNum w:abstractNumId="19">
    <w:nsid w:val="4D4DC07F"/>
    <w:multiLevelType w:val="multilevel"/>
    <w:tmpl w:val="4D4DC07F"/>
    <w:lvl w:ilvl="0">
      <w:start w:val="37"/>
      <w:numFmt w:val="decimal"/>
      <w:lvlText w:val="%1."/>
      <w:lvlJc w:val="left"/>
      <w:pPr>
        <w:ind w:left="639" w:hanging="420"/>
        <w:jc w:val="right"/>
      </w:pPr>
      <w:rPr>
        <w:rFonts w:ascii="黑体" w:eastAsia="黑体" w:hAnsi="黑体" w:cs="黑体" w:hint="default"/>
        <w:b w:val="0"/>
        <w:bCs w:val="0"/>
        <w:i w:val="0"/>
        <w:iCs w:val="0"/>
        <w:spacing w:val="0"/>
        <w:w w:val="99"/>
        <w:sz w:val="21"/>
        <w:szCs w:val="21"/>
        <w:lang w:val="en-US" w:eastAsia="zh-CN" w:bidi="ar-SA"/>
      </w:rPr>
    </w:lvl>
    <w:lvl w:ilvl="1">
      <w:start w:val="0"/>
      <w:numFmt w:val="bullet"/>
      <w:lvlText w:val="•"/>
      <w:lvlJc w:val="left"/>
      <w:pPr>
        <w:ind w:left="1594" w:hanging="420"/>
      </w:pPr>
      <w:rPr>
        <w:rFonts w:hint="default"/>
        <w:lang w:val="en-US" w:eastAsia="zh-CN" w:bidi="ar-SA"/>
      </w:rPr>
    </w:lvl>
    <w:lvl w:ilvl="2">
      <w:start w:val="0"/>
      <w:numFmt w:val="bullet"/>
      <w:lvlText w:val="•"/>
      <w:lvlJc w:val="left"/>
      <w:pPr>
        <w:ind w:left="2549" w:hanging="420"/>
      </w:pPr>
      <w:rPr>
        <w:rFonts w:hint="default"/>
        <w:lang w:val="en-US" w:eastAsia="zh-CN" w:bidi="ar-SA"/>
      </w:rPr>
    </w:lvl>
    <w:lvl w:ilvl="3">
      <w:start w:val="0"/>
      <w:numFmt w:val="bullet"/>
      <w:lvlText w:val="•"/>
      <w:lvlJc w:val="left"/>
      <w:pPr>
        <w:ind w:left="3503" w:hanging="420"/>
      </w:pPr>
      <w:rPr>
        <w:rFonts w:hint="default"/>
        <w:lang w:val="en-US" w:eastAsia="zh-CN" w:bidi="ar-SA"/>
      </w:rPr>
    </w:lvl>
    <w:lvl w:ilvl="4">
      <w:start w:val="0"/>
      <w:numFmt w:val="bullet"/>
      <w:lvlText w:val="•"/>
      <w:lvlJc w:val="left"/>
      <w:pPr>
        <w:ind w:left="4458" w:hanging="420"/>
      </w:pPr>
      <w:rPr>
        <w:rFonts w:hint="default"/>
        <w:lang w:val="en-US" w:eastAsia="zh-CN" w:bidi="ar-SA"/>
      </w:rPr>
    </w:lvl>
    <w:lvl w:ilvl="5">
      <w:start w:val="0"/>
      <w:numFmt w:val="bullet"/>
      <w:lvlText w:val="•"/>
      <w:lvlJc w:val="left"/>
      <w:pPr>
        <w:ind w:left="5413" w:hanging="420"/>
      </w:pPr>
      <w:rPr>
        <w:rFonts w:hint="default"/>
        <w:lang w:val="en-US" w:eastAsia="zh-CN" w:bidi="ar-SA"/>
      </w:rPr>
    </w:lvl>
    <w:lvl w:ilvl="6">
      <w:start w:val="0"/>
      <w:numFmt w:val="bullet"/>
      <w:lvlText w:val="•"/>
      <w:lvlJc w:val="left"/>
      <w:pPr>
        <w:ind w:left="6367" w:hanging="420"/>
      </w:pPr>
      <w:rPr>
        <w:rFonts w:hint="default"/>
        <w:lang w:val="en-US" w:eastAsia="zh-CN" w:bidi="ar-SA"/>
      </w:rPr>
    </w:lvl>
    <w:lvl w:ilvl="7">
      <w:start w:val="0"/>
      <w:numFmt w:val="bullet"/>
      <w:lvlText w:val="•"/>
      <w:lvlJc w:val="left"/>
      <w:pPr>
        <w:ind w:left="7322" w:hanging="420"/>
      </w:pPr>
      <w:rPr>
        <w:rFonts w:hint="default"/>
        <w:lang w:val="en-US" w:eastAsia="zh-CN" w:bidi="ar-SA"/>
      </w:rPr>
    </w:lvl>
    <w:lvl w:ilvl="8">
      <w:start w:val="0"/>
      <w:numFmt w:val="bullet"/>
      <w:lvlText w:val="•"/>
      <w:lvlJc w:val="left"/>
      <w:pPr>
        <w:ind w:left="8276" w:hanging="420"/>
      </w:pPr>
      <w:rPr>
        <w:rFonts w:hint="default"/>
        <w:lang w:val="en-US" w:eastAsia="zh-CN" w:bidi="ar-SA"/>
      </w:rPr>
    </w:lvl>
  </w:abstractNum>
  <w:abstractNum w:abstractNumId="20">
    <w:nsid w:val="59ADCABA"/>
    <w:multiLevelType w:val="multilevel"/>
    <w:tmpl w:val="59ADCABA"/>
    <w:lvl w:ilvl="0">
      <w:start w:val="1"/>
      <w:numFmt w:val="upperLetter"/>
      <w:lvlText w:val="%1."/>
      <w:lvlJc w:val="left"/>
      <w:pPr>
        <w:ind w:left="431" w:hanging="212"/>
        <w:jc w:val="left"/>
      </w:pPr>
      <w:rPr>
        <w:rFonts w:ascii="黑体" w:eastAsia="黑体" w:hAnsi="黑体" w:cs="黑体" w:hint="default"/>
        <w:b w:val="0"/>
        <w:bCs w:val="0"/>
        <w:i w:val="0"/>
        <w:iCs w:val="0"/>
        <w:spacing w:val="-2"/>
        <w:w w:val="99"/>
        <w:sz w:val="19"/>
        <w:szCs w:val="19"/>
        <w:lang w:val="en-US" w:eastAsia="zh-CN" w:bidi="ar-SA"/>
      </w:rPr>
    </w:lvl>
    <w:lvl w:ilvl="1">
      <w:start w:val="0"/>
      <w:numFmt w:val="bullet"/>
      <w:lvlText w:val="•"/>
      <w:lvlJc w:val="left"/>
      <w:pPr>
        <w:ind w:left="1414" w:hanging="212"/>
      </w:pPr>
      <w:rPr>
        <w:rFonts w:hint="default"/>
        <w:lang w:val="en-US" w:eastAsia="zh-CN" w:bidi="ar-SA"/>
      </w:rPr>
    </w:lvl>
    <w:lvl w:ilvl="2">
      <w:start w:val="0"/>
      <w:numFmt w:val="bullet"/>
      <w:lvlText w:val="•"/>
      <w:lvlJc w:val="left"/>
      <w:pPr>
        <w:ind w:left="2389" w:hanging="212"/>
      </w:pPr>
      <w:rPr>
        <w:rFonts w:hint="default"/>
        <w:lang w:val="en-US" w:eastAsia="zh-CN" w:bidi="ar-SA"/>
      </w:rPr>
    </w:lvl>
    <w:lvl w:ilvl="3">
      <w:start w:val="0"/>
      <w:numFmt w:val="bullet"/>
      <w:lvlText w:val="•"/>
      <w:lvlJc w:val="left"/>
      <w:pPr>
        <w:ind w:left="3363" w:hanging="212"/>
      </w:pPr>
      <w:rPr>
        <w:rFonts w:hint="default"/>
        <w:lang w:val="en-US" w:eastAsia="zh-CN" w:bidi="ar-SA"/>
      </w:rPr>
    </w:lvl>
    <w:lvl w:ilvl="4">
      <w:start w:val="0"/>
      <w:numFmt w:val="bullet"/>
      <w:lvlText w:val="•"/>
      <w:lvlJc w:val="left"/>
      <w:pPr>
        <w:ind w:left="4338" w:hanging="212"/>
      </w:pPr>
      <w:rPr>
        <w:rFonts w:hint="default"/>
        <w:lang w:val="en-US" w:eastAsia="zh-CN" w:bidi="ar-SA"/>
      </w:rPr>
    </w:lvl>
    <w:lvl w:ilvl="5">
      <w:start w:val="0"/>
      <w:numFmt w:val="bullet"/>
      <w:lvlText w:val="•"/>
      <w:lvlJc w:val="left"/>
      <w:pPr>
        <w:ind w:left="5313" w:hanging="212"/>
      </w:pPr>
      <w:rPr>
        <w:rFonts w:hint="default"/>
        <w:lang w:val="en-US" w:eastAsia="zh-CN" w:bidi="ar-SA"/>
      </w:rPr>
    </w:lvl>
    <w:lvl w:ilvl="6">
      <w:start w:val="0"/>
      <w:numFmt w:val="bullet"/>
      <w:lvlText w:val="•"/>
      <w:lvlJc w:val="left"/>
      <w:pPr>
        <w:ind w:left="6287" w:hanging="212"/>
      </w:pPr>
      <w:rPr>
        <w:rFonts w:hint="default"/>
        <w:lang w:val="en-US" w:eastAsia="zh-CN" w:bidi="ar-SA"/>
      </w:rPr>
    </w:lvl>
    <w:lvl w:ilvl="7">
      <w:start w:val="0"/>
      <w:numFmt w:val="bullet"/>
      <w:lvlText w:val="•"/>
      <w:lvlJc w:val="left"/>
      <w:pPr>
        <w:ind w:left="7262" w:hanging="212"/>
      </w:pPr>
      <w:rPr>
        <w:rFonts w:hint="default"/>
        <w:lang w:val="en-US" w:eastAsia="zh-CN" w:bidi="ar-SA"/>
      </w:rPr>
    </w:lvl>
    <w:lvl w:ilvl="8">
      <w:start w:val="0"/>
      <w:numFmt w:val="bullet"/>
      <w:lvlText w:val="•"/>
      <w:lvlJc w:val="left"/>
      <w:pPr>
        <w:ind w:left="8236" w:hanging="212"/>
      </w:pPr>
      <w:rPr>
        <w:rFonts w:hint="default"/>
        <w:lang w:val="en-US" w:eastAsia="zh-CN" w:bidi="ar-SA"/>
      </w:rPr>
    </w:lvl>
  </w:abstractNum>
  <w:abstractNum w:abstractNumId="21">
    <w:nsid w:val="5A241D34"/>
    <w:multiLevelType w:val="multilevel"/>
    <w:tmpl w:val="5A241D34"/>
    <w:lvl w:ilvl="0">
      <w:start w:val="33"/>
      <w:numFmt w:val="decimal"/>
      <w:lvlText w:val="%1."/>
      <w:lvlJc w:val="left"/>
      <w:pPr>
        <w:ind w:left="220" w:hanging="317"/>
        <w:jc w:val="left"/>
      </w:pPr>
      <w:rPr>
        <w:rFonts w:ascii="黑体" w:eastAsia="黑体" w:hAnsi="黑体" w:cs="黑体" w:hint="default"/>
        <w:b w:val="0"/>
        <w:bCs w:val="0"/>
        <w:i w:val="0"/>
        <w:iCs w:val="0"/>
        <w:spacing w:val="-2"/>
        <w:w w:val="99"/>
        <w:sz w:val="19"/>
        <w:szCs w:val="19"/>
        <w:lang w:val="en-US" w:eastAsia="zh-CN" w:bidi="ar-SA"/>
      </w:rPr>
    </w:lvl>
    <w:lvl w:ilvl="1">
      <w:start w:val="0"/>
      <w:numFmt w:val="bullet"/>
      <w:lvlText w:val="•"/>
      <w:lvlJc w:val="left"/>
      <w:pPr>
        <w:ind w:left="1216" w:hanging="317"/>
      </w:pPr>
      <w:rPr>
        <w:rFonts w:hint="default"/>
        <w:lang w:val="en-US" w:eastAsia="zh-CN" w:bidi="ar-SA"/>
      </w:rPr>
    </w:lvl>
    <w:lvl w:ilvl="2">
      <w:start w:val="0"/>
      <w:numFmt w:val="bullet"/>
      <w:lvlText w:val="•"/>
      <w:lvlJc w:val="left"/>
      <w:pPr>
        <w:ind w:left="2213" w:hanging="317"/>
      </w:pPr>
      <w:rPr>
        <w:rFonts w:hint="default"/>
        <w:lang w:val="en-US" w:eastAsia="zh-CN" w:bidi="ar-SA"/>
      </w:rPr>
    </w:lvl>
    <w:lvl w:ilvl="3">
      <w:start w:val="0"/>
      <w:numFmt w:val="bullet"/>
      <w:lvlText w:val="•"/>
      <w:lvlJc w:val="left"/>
      <w:pPr>
        <w:ind w:left="3209" w:hanging="317"/>
      </w:pPr>
      <w:rPr>
        <w:rFonts w:hint="default"/>
        <w:lang w:val="en-US" w:eastAsia="zh-CN" w:bidi="ar-SA"/>
      </w:rPr>
    </w:lvl>
    <w:lvl w:ilvl="4">
      <w:start w:val="0"/>
      <w:numFmt w:val="bullet"/>
      <w:lvlText w:val="•"/>
      <w:lvlJc w:val="left"/>
      <w:pPr>
        <w:ind w:left="4206" w:hanging="317"/>
      </w:pPr>
      <w:rPr>
        <w:rFonts w:hint="default"/>
        <w:lang w:val="en-US" w:eastAsia="zh-CN" w:bidi="ar-SA"/>
      </w:rPr>
    </w:lvl>
    <w:lvl w:ilvl="5">
      <w:start w:val="0"/>
      <w:numFmt w:val="bullet"/>
      <w:lvlText w:val="•"/>
      <w:lvlJc w:val="left"/>
      <w:pPr>
        <w:ind w:left="5203" w:hanging="317"/>
      </w:pPr>
      <w:rPr>
        <w:rFonts w:hint="default"/>
        <w:lang w:val="en-US" w:eastAsia="zh-CN" w:bidi="ar-SA"/>
      </w:rPr>
    </w:lvl>
    <w:lvl w:ilvl="6">
      <w:start w:val="0"/>
      <w:numFmt w:val="bullet"/>
      <w:lvlText w:val="•"/>
      <w:lvlJc w:val="left"/>
      <w:pPr>
        <w:ind w:left="6199" w:hanging="317"/>
      </w:pPr>
      <w:rPr>
        <w:rFonts w:hint="default"/>
        <w:lang w:val="en-US" w:eastAsia="zh-CN" w:bidi="ar-SA"/>
      </w:rPr>
    </w:lvl>
    <w:lvl w:ilvl="7">
      <w:start w:val="0"/>
      <w:numFmt w:val="bullet"/>
      <w:lvlText w:val="•"/>
      <w:lvlJc w:val="left"/>
      <w:pPr>
        <w:ind w:left="7196" w:hanging="317"/>
      </w:pPr>
      <w:rPr>
        <w:rFonts w:hint="default"/>
        <w:lang w:val="en-US" w:eastAsia="zh-CN" w:bidi="ar-SA"/>
      </w:rPr>
    </w:lvl>
    <w:lvl w:ilvl="8">
      <w:start w:val="0"/>
      <w:numFmt w:val="bullet"/>
      <w:lvlText w:val="•"/>
      <w:lvlJc w:val="left"/>
      <w:pPr>
        <w:ind w:left="8192" w:hanging="317"/>
      </w:pPr>
      <w:rPr>
        <w:rFonts w:hint="default"/>
        <w:lang w:val="en-US" w:eastAsia="zh-CN" w:bidi="ar-SA"/>
      </w:rPr>
    </w:lvl>
  </w:abstractNum>
  <w:abstractNum w:abstractNumId="22">
    <w:nsid w:val="60382F6E"/>
    <w:multiLevelType w:val="multilevel"/>
    <w:tmpl w:val="60382F6E"/>
    <w:lvl w:ilvl="0">
      <w:start w:val="64"/>
      <w:numFmt w:val="decimal"/>
      <w:lvlText w:val="%1."/>
      <w:lvlJc w:val="left"/>
      <w:pPr>
        <w:ind w:left="220" w:hanging="317"/>
        <w:jc w:val="left"/>
      </w:pPr>
      <w:rPr>
        <w:rFonts w:ascii="黑体" w:eastAsia="黑体" w:hAnsi="黑体" w:cs="黑体" w:hint="default"/>
        <w:b w:val="0"/>
        <w:bCs w:val="0"/>
        <w:i w:val="0"/>
        <w:iCs w:val="0"/>
        <w:spacing w:val="-2"/>
        <w:w w:val="99"/>
        <w:sz w:val="19"/>
        <w:szCs w:val="19"/>
        <w:lang w:val="en-US" w:eastAsia="zh-CN" w:bidi="ar-SA"/>
      </w:rPr>
    </w:lvl>
    <w:lvl w:ilvl="1">
      <w:start w:val="0"/>
      <w:numFmt w:val="bullet"/>
      <w:lvlText w:val="•"/>
      <w:lvlJc w:val="left"/>
      <w:pPr>
        <w:ind w:left="1216" w:hanging="317"/>
      </w:pPr>
      <w:rPr>
        <w:rFonts w:hint="default"/>
        <w:lang w:val="en-US" w:eastAsia="zh-CN" w:bidi="ar-SA"/>
      </w:rPr>
    </w:lvl>
    <w:lvl w:ilvl="2">
      <w:start w:val="0"/>
      <w:numFmt w:val="bullet"/>
      <w:lvlText w:val="•"/>
      <w:lvlJc w:val="left"/>
      <w:pPr>
        <w:ind w:left="2213" w:hanging="317"/>
      </w:pPr>
      <w:rPr>
        <w:rFonts w:hint="default"/>
        <w:lang w:val="en-US" w:eastAsia="zh-CN" w:bidi="ar-SA"/>
      </w:rPr>
    </w:lvl>
    <w:lvl w:ilvl="3">
      <w:start w:val="0"/>
      <w:numFmt w:val="bullet"/>
      <w:lvlText w:val="•"/>
      <w:lvlJc w:val="left"/>
      <w:pPr>
        <w:ind w:left="3209" w:hanging="317"/>
      </w:pPr>
      <w:rPr>
        <w:rFonts w:hint="default"/>
        <w:lang w:val="en-US" w:eastAsia="zh-CN" w:bidi="ar-SA"/>
      </w:rPr>
    </w:lvl>
    <w:lvl w:ilvl="4">
      <w:start w:val="0"/>
      <w:numFmt w:val="bullet"/>
      <w:lvlText w:val="•"/>
      <w:lvlJc w:val="left"/>
      <w:pPr>
        <w:ind w:left="4206" w:hanging="317"/>
      </w:pPr>
      <w:rPr>
        <w:rFonts w:hint="default"/>
        <w:lang w:val="en-US" w:eastAsia="zh-CN" w:bidi="ar-SA"/>
      </w:rPr>
    </w:lvl>
    <w:lvl w:ilvl="5">
      <w:start w:val="0"/>
      <w:numFmt w:val="bullet"/>
      <w:lvlText w:val="•"/>
      <w:lvlJc w:val="left"/>
      <w:pPr>
        <w:ind w:left="5203" w:hanging="317"/>
      </w:pPr>
      <w:rPr>
        <w:rFonts w:hint="default"/>
        <w:lang w:val="en-US" w:eastAsia="zh-CN" w:bidi="ar-SA"/>
      </w:rPr>
    </w:lvl>
    <w:lvl w:ilvl="6">
      <w:start w:val="0"/>
      <w:numFmt w:val="bullet"/>
      <w:lvlText w:val="•"/>
      <w:lvlJc w:val="left"/>
      <w:pPr>
        <w:ind w:left="6199" w:hanging="317"/>
      </w:pPr>
      <w:rPr>
        <w:rFonts w:hint="default"/>
        <w:lang w:val="en-US" w:eastAsia="zh-CN" w:bidi="ar-SA"/>
      </w:rPr>
    </w:lvl>
    <w:lvl w:ilvl="7">
      <w:start w:val="0"/>
      <w:numFmt w:val="bullet"/>
      <w:lvlText w:val="•"/>
      <w:lvlJc w:val="left"/>
      <w:pPr>
        <w:ind w:left="7196" w:hanging="317"/>
      </w:pPr>
      <w:rPr>
        <w:rFonts w:hint="default"/>
        <w:lang w:val="en-US" w:eastAsia="zh-CN" w:bidi="ar-SA"/>
      </w:rPr>
    </w:lvl>
    <w:lvl w:ilvl="8">
      <w:start w:val="0"/>
      <w:numFmt w:val="bullet"/>
      <w:lvlText w:val="•"/>
      <w:lvlJc w:val="left"/>
      <w:pPr>
        <w:ind w:left="8192" w:hanging="317"/>
      </w:pPr>
      <w:rPr>
        <w:rFonts w:hint="default"/>
        <w:lang w:val="en-US" w:eastAsia="zh-CN" w:bidi="ar-SA"/>
      </w:rPr>
    </w:lvl>
  </w:abstractNum>
  <w:abstractNum w:abstractNumId="23">
    <w:nsid w:val="72183CF9"/>
    <w:multiLevelType w:val="multilevel"/>
    <w:tmpl w:val="72183CF9"/>
    <w:lvl w:ilvl="0">
      <w:start w:val="22"/>
      <w:numFmt w:val="decimal"/>
      <w:lvlText w:val="%1."/>
      <w:lvlJc w:val="left"/>
      <w:pPr>
        <w:ind w:left="536" w:hanging="317"/>
        <w:jc w:val="left"/>
      </w:pPr>
      <w:rPr>
        <w:rFonts w:ascii="黑体" w:eastAsia="黑体" w:hAnsi="黑体" w:cs="黑体" w:hint="default"/>
        <w:b w:val="0"/>
        <w:bCs w:val="0"/>
        <w:i w:val="0"/>
        <w:iCs w:val="0"/>
        <w:spacing w:val="-2"/>
        <w:w w:val="99"/>
        <w:sz w:val="19"/>
        <w:szCs w:val="19"/>
        <w:lang w:val="en-US" w:eastAsia="zh-CN" w:bidi="ar-SA"/>
      </w:rPr>
    </w:lvl>
    <w:lvl w:ilvl="1">
      <w:start w:val="0"/>
      <w:numFmt w:val="bullet"/>
      <w:lvlText w:val="•"/>
      <w:lvlJc w:val="left"/>
      <w:pPr>
        <w:ind w:left="1504" w:hanging="317"/>
      </w:pPr>
      <w:rPr>
        <w:rFonts w:hint="default"/>
        <w:lang w:val="en-US" w:eastAsia="zh-CN" w:bidi="ar-SA"/>
      </w:rPr>
    </w:lvl>
    <w:lvl w:ilvl="2">
      <w:start w:val="0"/>
      <w:numFmt w:val="bullet"/>
      <w:lvlText w:val="•"/>
      <w:lvlJc w:val="left"/>
      <w:pPr>
        <w:ind w:left="2469" w:hanging="317"/>
      </w:pPr>
      <w:rPr>
        <w:rFonts w:hint="default"/>
        <w:lang w:val="en-US" w:eastAsia="zh-CN" w:bidi="ar-SA"/>
      </w:rPr>
    </w:lvl>
    <w:lvl w:ilvl="3">
      <w:start w:val="0"/>
      <w:numFmt w:val="bullet"/>
      <w:lvlText w:val="•"/>
      <w:lvlJc w:val="left"/>
      <w:pPr>
        <w:ind w:left="3433" w:hanging="317"/>
      </w:pPr>
      <w:rPr>
        <w:rFonts w:hint="default"/>
        <w:lang w:val="en-US" w:eastAsia="zh-CN" w:bidi="ar-SA"/>
      </w:rPr>
    </w:lvl>
    <w:lvl w:ilvl="4">
      <w:start w:val="0"/>
      <w:numFmt w:val="bullet"/>
      <w:lvlText w:val="•"/>
      <w:lvlJc w:val="left"/>
      <w:pPr>
        <w:ind w:left="4398" w:hanging="317"/>
      </w:pPr>
      <w:rPr>
        <w:rFonts w:hint="default"/>
        <w:lang w:val="en-US" w:eastAsia="zh-CN" w:bidi="ar-SA"/>
      </w:rPr>
    </w:lvl>
    <w:lvl w:ilvl="5">
      <w:start w:val="0"/>
      <w:numFmt w:val="bullet"/>
      <w:lvlText w:val="•"/>
      <w:lvlJc w:val="left"/>
      <w:pPr>
        <w:ind w:left="5363" w:hanging="317"/>
      </w:pPr>
      <w:rPr>
        <w:rFonts w:hint="default"/>
        <w:lang w:val="en-US" w:eastAsia="zh-CN" w:bidi="ar-SA"/>
      </w:rPr>
    </w:lvl>
    <w:lvl w:ilvl="6">
      <w:start w:val="0"/>
      <w:numFmt w:val="bullet"/>
      <w:lvlText w:val="•"/>
      <w:lvlJc w:val="left"/>
      <w:pPr>
        <w:ind w:left="6327" w:hanging="317"/>
      </w:pPr>
      <w:rPr>
        <w:rFonts w:hint="default"/>
        <w:lang w:val="en-US" w:eastAsia="zh-CN" w:bidi="ar-SA"/>
      </w:rPr>
    </w:lvl>
    <w:lvl w:ilvl="7">
      <w:start w:val="0"/>
      <w:numFmt w:val="bullet"/>
      <w:lvlText w:val="•"/>
      <w:lvlJc w:val="left"/>
      <w:pPr>
        <w:ind w:left="7292" w:hanging="317"/>
      </w:pPr>
      <w:rPr>
        <w:rFonts w:hint="default"/>
        <w:lang w:val="en-US" w:eastAsia="zh-CN" w:bidi="ar-SA"/>
      </w:rPr>
    </w:lvl>
    <w:lvl w:ilvl="8">
      <w:start w:val="0"/>
      <w:numFmt w:val="bullet"/>
      <w:lvlText w:val="•"/>
      <w:lvlJc w:val="left"/>
      <w:pPr>
        <w:ind w:left="8256" w:hanging="317"/>
      </w:pPr>
      <w:rPr>
        <w:rFonts w:hint="default"/>
        <w:lang w:val="en-US" w:eastAsia="zh-CN" w:bidi="ar-SA"/>
      </w:rPr>
    </w:lvl>
  </w:abstractNum>
  <w:abstractNum w:abstractNumId="24">
    <w:nsid w:val="7C246926"/>
    <w:multiLevelType w:val="multilevel"/>
    <w:tmpl w:val="7C246926"/>
    <w:lvl w:ilvl="0">
      <w:start w:val="76"/>
      <w:numFmt w:val="decimal"/>
      <w:lvlText w:val="%1."/>
      <w:lvlJc w:val="left"/>
      <w:pPr>
        <w:ind w:left="220" w:hanging="317"/>
        <w:jc w:val="left"/>
      </w:pPr>
      <w:rPr>
        <w:rFonts w:ascii="黑体" w:eastAsia="黑体" w:hAnsi="黑体" w:cs="黑体" w:hint="default"/>
        <w:b w:val="0"/>
        <w:bCs w:val="0"/>
        <w:i w:val="0"/>
        <w:iCs w:val="0"/>
        <w:spacing w:val="-2"/>
        <w:w w:val="99"/>
        <w:sz w:val="19"/>
        <w:szCs w:val="19"/>
        <w:lang w:val="en-US" w:eastAsia="zh-CN" w:bidi="ar-SA"/>
      </w:rPr>
    </w:lvl>
    <w:lvl w:ilvl="1">
      <w:start w:val="0"/>
      <w:numFmt w:val="bullet"/>
      <w:lvlText w:val="•"/>
      <w:lvlJc w:val="left"/>
      <w:pPr>
        <w:ind w:left="1216" w:hanging="317"/>
      </w:pPr>
      <w:rPr>
        <w:rFonts w:hint="default"/>
        <w:lang w:val="en-US" w:eastAsia="zh-CN" w:bidi="ar-SA"/>
      </w:rPr>
    </w:lvl>
    <w:lvl w:ilvl="2">
      <w:start w:val="0"/>
      <w:numFmt w:val="bullet"/>
      <w:lvlText w:val="•"/>
      <w:lvlJc w:val="left"/>
      <w:pPr>
        <w:ind w:left="2213" w:hanging="317"/>
      </w:pPr>
      <w:rPr>
        <w:rFonts w:hint="default"/>
        <w:lang w:val="en-US" w:eastAsia="zh-CN" w:bidi="ar-SA"/>
      </w:rPr>
    </w:lvl>
    <w:lvl w:ilvl="3">
      <w:start w:val="0"/>
      <w:numFmt w:val="bullet"/>
      <w:lvlText w:val="•"/>
      <w:lvlJc w:val="left"/>
      <w:pPr>
        <w:ind w:left="3209" w:hanging="317"/>
      </w:pPr>
      <w:rPr>
        <w:rFonts w:hint="default"/>
        <w:lang w:val="en-US" w:eastAsia="zh-CN" w:bidi="ar-SA"/>
      </w:rPr>
    </w:lvl>
    <w:lvl w:ilvl="4">
      <w:start w:val="0"/>
      <w:numFmt w:val="bullet"/>
      <w:lvlText w:val="•"/>
      <w:lvlJc w:val="left"/>
      <w:pPr>
        <w:ind w:left="4206" w:hanging="317"/>
      </w:pPr>
      <w:rPr>
        <w:rFonts w:hint="default"/>
        <w:lang w:val="en-US" w:eastAsia="zh-CN" w:bidi="ar-SA"/>
      </w:rPr>
    </w:lvl>
    <w:lvl w:ilvl="5">
      <w:start w:val="0"/>
      <w:numFmt w:val="bullet"/>
      <w:lvlText w:val="•"/>
      <w:lvlJc w:val="left"/>
      <w:pPr>
        <w:ind w:left="5203" w:hanging="317"/>
      </w:pPr>
      <w:rPr>
        <w:rFonts w:hint="default"/>
        <w:lang w:val="en-US" w:eastAsia="zh-CN" w:bidi="ar-SA"/>
      </w:rPr>
    </w:lvl>
    <w:lvl w:ilvl="6">
      <w:start w:val="0"/>
      <w:numFmt w:val="bullet"/>
      <w:lvlText w:val="•"/>
      <w:lvlJc w:val="left"/>
      <w:pPr>
        <w:ind w:left="6199" w:hanging="317"/>
      </w:pPr>
      <w:rPr>
        <w:rFonts w:hint="default"/>
        <w:lang w:val="en-US" w:eastAsia="zh-CN" w:bidi="ar-SA"/>
      </w:rPr>
    </w:lvl>
    <w:lvl w:ilvl="7">
      <w:start w:val="0"/>
      <w:numFmt w:val="bullet"/>
      <w:lvlText w:val="•"/>
      <w:lvlJc w:val="left"/>
      <w:pPr>
        <w:ind w:left="7196" w:hanging="317"/>
      </w:pPr>
      <w:rPr>
        <w:rFonts w:hint="default"/>
        <w:lang w:val="en-US" w:eastAsia="zh-CN" w:bidi="ar-SA"/>
      </w:rPr>
    </w:lvl>
    <w:lvl w:ilvl="8">
      <w:start w:val="0"/>
      <w:numFmt w:val="bullet"/>
      <w:lvlText w:val="•"/>
      <w:lvlJc w:val="left"/>
      <w:pPr>
        <w:ind w:left="8192" w:hanging="317"/>
      </w:pPr>
      <w:rPr>
        <w:rFonts w:hint="default"/>
        <w:lang w:val="en-US" w:eastAsia="zh-CN" w:bidi="ar-SA"/>
      </w:rPr>
    </w:lvl>
  </w:abstractNum>
  <w:num w:numId="1">
    <w:abstractNumId w:val="10"/>
  </w:num>
  <w:num w:numId="2">
    <w:abstractNumId w:val="6"/>
  </w:num>
  <w:num w:numId="3">
    <w:abstractNumId w:val="20"/>
  </w:num>
  <w:num w:numId="4">
    <w:abstractNumId w:val="4"/>
  </w:num>
  <w:num w:numId="5">
    <w:abstractNumId w:val="3"/>
  </w:num>
  <w:num w:numId="6">
    <w:abstractNumId w:val="12"/>
  </w:num>
  <w:num w:numId="7">
    <w:abstractNumId w:val="15"/>
  </w:num>
  <w:num w:numId="8">
    <w:abstractNumId w:val="23"/>
  </w:num>
  <w:num w:numId="9">
    <w:abstractNumId w:val="11"/>
  </w:num>
  <w:num w:numId="10">
    <w:abstractNumId w:val="0"/>
  </w:num>
  <w:num w:numId="11">
    <w:abstractNumId w:val="16"/>
  </w:num>
  <w:num w:numId="12">
    <w:abstractNumId w:val="21"/>
  </w:num>
  <w:num w:numId="13">
    <w:abstractNumId w:val="5"/>
  </w:num>
  <w:num w:numId="14">
    <w:abstractNumId w:val="19"/>
  </w:num>
  <w:num w:numId="15">
    <w:abstractNumId w:val="9"/>
  </w:num>
  <w:num w:numId="16">
    <w:abstractNumId w:val="14"/>
  </w:num>
  <w:num w:numId="17">
    <w:abstractNumId w:val="8"/>
  </w:num>
  <w:num w:numId="18">
    <w:abstractNumId w:val="7"/>
  </w:num>
  <w:num w:numId="19">
    <w:abstractNumId w:val="1"/>
  </w:num>
  <w:num w:numId="20">
    <w:abstractNumId w:val="18"/>
  </w:num>
  <w:num w:numId="21">
    <w:abstractNumId w:val="22"/>
  </w:num>
  <w:num w:numId="22">
    <w:abstractNumId w:val="13"/>
  </w:num>
  <w:num w:numId="23">
    <w:abstractNumId w:val="17"/>
  </w:num>
  <w:num w:numId="24">
    <w:abstractNumId w:val="2"/>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evenAndOddHeaders/>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D160F24"/>
    <w:rsid w:val="572C3536"/>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1"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黑体" w:eastAsia="黑体" w:hAnsi="黑体" w:cs="黑体"/>
      <w:sz w:val="22"/>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semiHidden/>
    <w:qFormat/>
    <w:tblPr>
      <w:tblCellMar>
        <w:top w:w="0" w:type="dxa"/>
        <w:left w:w="108" w:type="dxa"/>
        <w:bottom w:w="0" w:type="dxa"/>
        <w:right w:w="108" w:type="dxa"/>
      </w:tblCellMar>
    </w:tblPr>
  </w:style>
  <w:style w:type="paragraph" w:styleId="BodyText">
    <w:name w:val="Body Text"/>
    <w:basedOn w:val="Normal"/>
    <w:uiPriority w:val="1"/>
    <w:qFormat/>
    <w:pPr>
      <w:ind w:left="220"/>
    </w:pPr>
    <w:rPr>
      <w:rFonts w:ascii="黑体" w:eastAsia="黑体" w:hAnsi="黑体" w:cs="黑体"/>
      <w:sz w:val="21"/>
      <w:szCs w:val="21"/>
      <w:lang w:val="en-US" w:eastAsia="zh-CN" w:bidi="ar-SA"/>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220"/>
    </w:pPr>
    <w:rPr>
      <w:rFonts w:ascii="黑体" w:eastAsia="黑体" w:hAnsi="黑体" w:cs="黑体"/>
      <w:lang w:val="en-US" w:eastAsia="zh-CN" w:bidi="ar-SA"/>
    </w:rPr>
  </w:style>
  <w:style w:type="paragraph" w:customStyle="1" w:styleId="TableParagraph">
    <w:name w:val="Table Paragraph"/>
    <w:basedOn w:val="Normal"/>
    <w:uiPriority w:val="1"/>
    <w:qFormat/>
    <w:rPr>
      <w:rFonts w:ascii="黑体" w:eastAsia="黑体" w:hAnsi="黑体" w:cs="黑体"/>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9806507514200602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9"/>
    <customShpInfo spid="_x0000_s1030"/>
    <customShpInfo spid="_x0000_s1031"/>
    <customShpInfo spid="_x0000_s1028"/>
    <customShpInfo spid="_x0000_s1033"/>
    <customShpInfo spid="_x0000_s1034"/>
    <customShpInfo spid="_x0000_s1032"/>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HQ</dc:creator>
  <cp:lastModifiedBy>lyp</cp:lastModifiedBy>
  <cp:revision>0</cp:revision>
  <dcterms:created xsi:type="dcterms:W3CDTF">2024-01-06T08:04:00Z</dcterms:created>
  <dcterms:modified xsi:type="dcterms:W3CDTF">2024-01-10T04:56:00Z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2023-05-14T00:00:00Z</vt:filetime>
  </property>
  <property fmtid="{D5CDD505-2E9C-101B-9397-08002B2CF9AE}" pid="3" name="Creator">
    <vt:lpwstr>WPS 文字</vt:lpwstr>
  </property>
  <property fmtid="{D5CDD505-2E9C-101B-9397-08002B2CF9AE}" pid="4" name="KSOProductBuildVer">
    <vt:lpwstr>2052-11.8.2.9022</vt:lpwstr>
  </property>
  <property fmtid="{D5CDD505-2E9C-101B-9397-08002B2CF9AE}" pid="5" name="LastSaved">
    <vt:filetime>2024-01-06T00:00:00Z</vt:filetime>
  </property>
</Properties>
</file>