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733" w:rsidP="009C49D7">
      <w:pPr>
        <w:jc w:val="center"/>
        <w:rPr>
          <w:rFonts w:ascii="ˎ̥,Verdana" w:hAnsi="ˎ̥,Verdana" w:hint="eastAsia"/>
          <w:b/>
          <w:bCs/>
          <w:color w:val="003CC8"/>
          <w:sz w:val="36"/>
          <w:szCs w:val="36"/>
        </w:rPr>
      </w:pPr>
      <w:r w:rsidR="009C49D7">
        <w:rPr>
          <w:rFonts w:ascii="ˎ̥,Verdana" w:hAnsi="ˎ̥,Verdana"/>
          <w:b/>
          <w:bCs/>
          <w:color w:val="003CC8"/>
          <w:sz w:val="36"/>
          <w:szCs w:val="36"/>
        </w:rPr>
        <w:t>广西壮族自治区食品平安事故应急预案</w:t>
      </w:r>
    </w:p>
    <w:p w:rsidR="009C49D7" w:rsidP="009C49D7">
      <w:pPr>
        <w:jc w:val="center"/>
        <w:rPr>
          <w:rFonts w:ascii="ˎ̥,Verdana" w:hAnsi="ˎ̥,Verdana" w:hint="eastAsia"/>
          <w:b/>
          <w:bCs/>
          <w:color w:val="003CC8"/>
          <w:sz w:val="36"/>
          <w:szCs w:val="36"/>
        </w:rPr>
      </w:pPr>
    </w:p>
    <w:p w:rsidR="009C49D7" w:rsidP="009C49D7">
      <w:pPr>
        <w:pStyle w:val="customunionstyle"/>
        <w:jc w:val="center"/>
        <w:rPr>
          <w:rFonts w:ascii="ˎ̥,Verdana" w:hAnsi="ˎ̥,Verdana"/>
        </w:rPr>
      </w:pPr>
      <w:r>
        <w:rPr>
          <w:rFonts w:ascii="ˎ̥,Verdana" w:hAnsi="ˎ̥,Verdana"/>
        </w:rPr>
        <w:t>（2012年2月7日修订）</w:t>
      </w:r>
    </w:p>
    <w:p w:rsidR="009C49D7" w:rsidP="009C49D7">
      <w:pPr>
        <w:pStyle w:val="customunionstyle"/>
        <w:rPr>
          <w:rFonts w:ascii="ˎ̥,Verdana" w:hAnsi="ˎ̥,Verdana"/>
        </w:rPr>
      </w:pPr>
      <w:r>
        <w:rPr>
          <w:rFonts w:ascii="ˎ̥,Verdana" w:hAnsi="ˎ̥,Verdana"/>
        </w:rPr>
        <w:t>　　1 总则</w:t>
      </w:r>
    </w:p>
    <w:p w:rsidR="009C49D7" w:rsidP="009C49D7">
      <w:pPr>
        <w:pStyle w:val="customunionstyle"/>
        <w:rPr>
          <w:rFonts w:ascii="ˎ̥,Verdana" w:hAnsi="ˎ̥,Verdana"/>
        </w:rPr>
      </w:pPr>
      <w:r>
        <w:rPr>
          <w:rFonts w:ascii="ˎ̥,Verdana" w:hAnsi="ˎ̥,Verdana"/>
        </w:rPr>
        <w:t>　　1.1编制目的</w:t>
      </w:r>
    </w:p>
    <w:p w:rsidR="009C49D7" w:rsidP="009C49D7">
      <w:pPr>
        <w:pStyle w:val="customunionstyle"/>
        <w:rPr>
          <w:rFonts w:ascii="ˎ̥,Verdana" w:hAnsi="ˎ̥,Verdana"/>
        </w:rPr>
      </w:pPr>
      <w:r>
        <w:rPr>
          <w:rFonts w:ascii="ˎ̥,Verdana" w:hAnsi="ˎ̥,Verdana"/>
        </w:rPr>
        <w:t>　　建立健全应对食品平安事故运行机制，规范和指导应急处理工作，主动应对、刚好限制食品平安事故，高效组织应急处置工作，最大限度地削减食品平安事故的危害，保障公众身体健康与生命平安，维护正常的社会经济秩序。</w:t>
      </w:r>
    </w:p>
    <w:p w:rsidR="009C49D7" w:rsidP="009C49D7">
      <w:pPr>
        <w:pStyle w:val="customunionstyle"/>
        <w:rPr>
          <w:rFonts w:ascii="ˎ̥,Verdana" w:hAnsi="ˎ̥,Verdana"/>
        </w:rPr>
      </w:pPr>
      <w:r>
        <w:rPr>
          <w:rFonts w:ascii="ˎ̥,Verdana" w:hAnsi="ˎ̥,Verdana"/>
        </w:rPr>
        <w:t>　　1.2 编制依据</w:t>
      </w:r>
    </w:p>
    <w:p w:rsidR="009C49D7" w:rsidP="009C49D7">
      <w:pPr>
        <w:pStyle w:val="customunionstyle"/>
        <w:rPr>
          <w:rFonts w:ascii="ˎ̥,Verdana" w:hAnsi="ˎ̥,Verdana"/>
        </w:rPr>
      </w:pPr>
      <w:r>
        <w:rPr>
          <w:rFonts w:ascii="ˎ̥,Verdana" w:hAnsi="ˎ̥,Verdana"/>
        </w:rPr>
        <w:t>　　《中华人民共和国突发事务应对法》、《中华人民共和国食品平安法》（以下简称《食品平安法》）、《中华人民共和国食品平安法实施条例》、《国家突发公共事务总体应急预案》、《国家食品平安事故应急预案》、《广西壮族自治区实施〈中华人民共和国突发事务应对法〉方法》、《广西壮族自治区突发公共事务总体应急预案》、《广西壮族自治区人民政府关于进一步加强食品平安工作的看法》等法律、法规及相关文件。</w:t>
      </w:r>
    </w:p>
    <w:p w:rsidR="009C49D7" w:rsidP="009C49D7">
      <w:pPr>
        <w:pStyle w:val="customunionstyle"/>
        <w:rPr>
          <w:rFonts w:ascii="ˎ̥,Verdana" w:hAnsi="ˎ̥,Verdana"/>
        </w:rPr>
        <w:sectPr>
          <w:pgSz w:w="11906" w:h="16838"/>
          <w:pgMar w:top="1440" w:right="1800" w:bottom="1440" w:left="1800" w:header="851" w:footer="992" w:gutter="0"/>
          <w:cols w:space="425"/>
          <w:docGrid w:type="lines" w:linePitch="312"/>
        </w:sectPr>
      </w:pPr>
      <w:r>
        <w:rPr>
          <w:rFonts w:ascii="ˎ̥,Verdana" w:hAnsi="ˎ̥,Verdana"/>
        </w:rPr>
        <w:t>　　1.3 事故分级</w:t>
      </w:r>
    </w:p>
    <w:p w:rsidR="009C49D7" w:rsidP="009C49D7">
      <w:pPr>
        <w:pStyle w:val="customunionstyle"/>
        <w:rPr>
          <w:rFonts w:ascii="ˎ̥,Verdana" w:hAnsi="ˎ̥,Verdana"/>
        </w:rPr>
      </w:pPr>
      <w:r>
        <w:rPr>
          <w:rFonts w:ascii="ˎ̥,Verdana" w:hAnsi="ˎ̥,Verdana"/>
        </w:rPr>
        <w:t>　　食品平安事故共分四级，即特殊重大食品平安事故（</w:t>
      </w:r>
      <w:r>
        <w:rPr>
          <w:rFonts w:hint="eastAsia"/>
        </w:rPr>
        <w:t>Ⅰ</w:t>
      </w:r>
      <w:r>
        <w:rPr>
          <w:rFonts w:ascii="ˎ̥,Verdana" w:hAnsi="ˎ̥,Verdana"/>
        </w:rPr>
        <w:t>级）、重大食品平安事故（</w:t>
      </w:r>
      <w:r>
        <w:rPr>
          <w:rFonts w:hint="eastAsia"/>
        </w:rPr>
        <w:t>Ⅱ</w:t>
      </w:r>
      <w:r>
        <w:rPr>
          <w:rFonts w:ascii="ˎ̥,Verdana" w:hAnsi="ˎ̥,Verdana"/>
        </w:rPr>
        <w:t>级）、较大食品平安事故（</w:t>
      </w:r>
      <w:r>
        <w:rPr>
          <w:rFonts w:hint="eastAsia"/>
        </w:rPr>
        <w:t>Ⅲ</w:t>
      </w:r>
      <w:r>
        <w:rPr>
          <w:rFonts w:ascii="ˎ̥,Verdana" w:hAnsi="ˎ̥,Verdana"/>
        </w:rPr>
        <w:t>级）和一般食品平安事故（</w:t>
      </w:r>
      <w:r>
        <w:rPr>
          <w:rFonts w:hint="eastAsia"/>
        </w:rPr>
        <w:t>Ⅳ</w:t>
      </w:r>
      <w:r>
        <w:rPr>
          <w:rFonts w:ascii="ˎ̥,Verdana" w:hAnsi="ˎ̥,Verdana"/>
        </w:rPr>
        <w:t>级）。</w:t>
      </w:r>
    </w:p>
    <w:p w:rsidR="009C49D7" w:rsidP="009C49D7">
      <w:pPr>
        <w:pStyle w:val="customunionstyle"/>
        <w:rPr>
          <w:rFonts w:ascii="ˎ̥,Verdana" w:hAnsi="ˎ̥,Verdana"/>
        </w:rPr>
      </w:pPr>
      <w:r>
        <w:rPr>
          <w:rFonts w:ascii="ˎ̥,Verdana" w:hAnsi="ˎ̥,Verdana"/>
        </w:rPr>
        <w:t>　　1.4 工作原则</w:t>
      </w:r>
    </w:p>
    <w:p w:rsidR="009C49D7" w:rsidP="009C49D7">
      <w:pPr>
        <w:pStyle w:val="customunionstyle"/>
        <w:rPr>
          <w:rFonts w:ascii="ˎ̥,Verdana" w:hAnsi="ˎ̥,Verdana"/>
        </w:rPr>
      </w:pPr>
      <w:r>
        <w:rPr>
          <w:rFonts w:ascii="ˎ̥,Verdana" w:hAnsi="ˎ̥,Verdana"/>
        </w:rPr>
        <w:t>　　以人为本，削减危害。把保障公众健康和生命平安作为应急处置的首要任务，最大限度削减食品平安事故造成的人员伤亡和健康损害。</w:t>
      </w:r>
    </w:p>
    <w:p w:rsidR="009C49D7" w:rsidP="009C49D7">
      <w:pPr>
        <w:pStyle w:val="customunionstyle"/>
        <w:rPr>
          <w:rFonts w:ascii="ˎ̥,Verdana" w:hAnsi="ˎ̥,Verdana"/>
        </w:rPr>
      </w:pPr>
      <w:r>
        <w:rPr>
          <w:rFonts w:ascii="ˎ̥,Verdana" w:hAnsi="ˎ̥,Verdana"/>
        </w:rPr>
        <w:t>　　统一领导，属地管理。依据“统一领导、综合协调、分类管理、分级负责、属地管理为主”的应急管理体制，建立自治区、市、县分级负责，统一指挥，综合协调的食品平安事故应对体系。实行属地管理、专业处置，各市、县（市、区）政府对本行政区域内发生的食品平安事故负有属地管理责任，各有关部门应依法履行监督管理职责。</w:t>
      </w:r>
    </w:p>
    <w:p w:rsidR="009C49D7" w:rsidP="009C49D7">
      <w:pPr>
        <w:pStyle w:val="customunionstyle"/>
        <w:rPr>
          <w:rFonts w:ascii="ˎ̥,Verdana" w:hAnsi="ˎ̥,Verdana"/>
        </w:rPr>
      </w:pPr>
      <w:r>
        <w:rPr>
          <w:rFonts w:ascii="ˎ̥,Verdana" w:hAnsi="ˎ̥,Verdana"/>
        </w:rPr>
        <w:t>　　信息畅通，应对刚好。建立食品平安信息报告、信息发布以及群众举报制度，保证信息的精确、刚好、畅通。各级各相关部门应当对食品平安事故的信息快速做出反应，在按规定报送、移转的同时，马上实行紧急救治、现场限制等措施。</w:t>
      </w:r>
    </w:p>
    <w:p w:rsidR="009C49D7" w:rsidP="009C49D7">
      <w:pPr>
        <w:pStyle w:val="customunionstyle"/>
        <w:rPr>
          <w:rFonts w:ascii="ˎ̥,Verdana" w:hAnsi="ˎ̥,Verdana"/>
        </w:rPr>
        <w:sectPr>
          <w:type w:val="nextPage"/>
          <w:pgSz w:w="11906" w:h="16838"/>
          <w:pgMar w:top="1440" w:right="1800" w:bottom="1440" w:left="1800" w:header="851" w:footer="992" w:gutter="0"/>
          <w:pgNumType w:start="2"/>
          <w:cols w:space="425"/>
          <w:titlePg w:val="0"/>
          <w:docGrid w:type="lines" w:linePitch="312"/>
        </w:sectPr>
      </w:pPr>
      <w:r>
        <w:rPr>
          <w:rFonts w:ascii="ˎ̥,Verdana" w:hAnsi="ˎ̥,Verdana"/>
        </w:rPr>
        <w:t>　　科学决策，依法处置。充分发挥专业队伍的作用，有效运用食品平安风险监测、评估和预警等手段，提高应对食品平安事故的科学决策实力。依法实行调查、检验检测、限制等应急处置措施。</w:t>
      </w:r>
    </w:p>
    <w:p w:rsidR="009C49D7" w:rsidP="009C49D7">
      <w:pPr>
        <w:pStyle w:val="customunionstyle"/>
        <w:rPr>
          <w:rFonts w:ascii="ˎ̥,Verdana" w:hAnsi="ˎ̥,Verdana"/>
        </w:rPr>
      </w:pPr>
      <w:r>
        <w:rPr>
          <w:rFonts w:ascii="ˎ̥,Verdana" w:hAnsi="ˎ̥,Verdana"/>
        </w:rPr>
        <w:t>　　预防为主，常备不懈。坚持预防与应急相结合，常态与特别态相结合，做好应急打算，落实各项防范措施，防患于未然。建立健全日常管理制度，把应急管理工作融入到食品平安监督管理的各个环节，对可能引发的食品平安事故，要做到早发觉、早报告、早限制。坚持群防群控，加强宣扬培训，激励社会广泛参加和支持食品平安事故的预防与限制工作。</w:t>
      </w:r>
    </w:p>
    <w:p w:rsidR="009C49D7" w:rsidP="009C49D7">
      <w:pPr>
        <w:pStyle w:val="customunionstyle"/>
        <w:rPr>
          <w:rFonts w:ascii="ˎ̥,Verdana" w:hAnsi="ˎ̥,Verdana"/>
        </w:rPr>
      </w:pPr>
      <w:r>
        <w:rPr>
          <w:rFonts w:ascii="ˎ̥,Verdana" w:hAnsi="ˎ̥,Verdana"/>
        </w:rPr>
        <w:t>　　2 组织机构与职责</w:t>
      </w:r>
    </w:p>
    <w:p w:rsidR="009C49D7" w:rsidP="009C49D7">
      <w:pPr>
        <w:pStyle w:val="customunionstyle"/>
        <w:rPr>
          <w:rFonts w:ascii="ˎ̥,Verdana" w:hAnsi="ˎ̥,Verdana"/>
        </w:rPr>
      </w:pPr>
      <w:r>
        <w:rPr>
          <w:rFonts w:ascii="ˎ̥,Verdana" w:hAnsi="ˎ̥,Verdana"/>
        </w:rPr>
        <w:t>　　2.1 应急机制启动</w:t>
      </w:r>
    </w:p>
    <w:p w:rsidR="009C49D7" w:rsidP="009C49D7">
      <w:pPr>
        <w:pStyle w:val="customunionstyle"/>
        <w:rPr>
          <w:rFonts w:ascii="ˎ̥,Verdana" w:hAnsi="ˎ̥,Verdana"/>
        </w:rPr>
      </w:pPr>
      <w:r>
        <w:rPr>
          <w:rFonts w:ascii="ˎ̥,Verdana" w:hAnsi="ˎ̥,Verdana"/>
        </w:rPr>
        <w:t>　　食品平安事故发生后，食品平安办会同卫生行政部门组织对事故进行分析评估，核定事故级别。重大食品平安事故，由自治区食品平安办会同自治区卫生厅向自治区人民政府提出启动</w:t>
      </w:r>
      <w:r>
        <w:rPr>
          <w:rFonts w:hint="eastAsia"/>
        </w:rPr>
        <w:t>Ⅱ</w:t>
      </w:r>
      <w:r>
        <w:rPr>
          <w:rFonts w:ascii="ˎ̥,Verdana" w:hAnsi="ˎ̥,Verdana"/>
        </w:rPr>
        <w:t>级响应的建议，经自治区人民政府批准后，成立自治区重大食品平安事故应急处置指挥部（以下简称指挥部），统一组织、协调和指挥事故应急处置工作。</w:t>
      </w:r>
    </w:p>
    <w:p w:rsidR="009C49D7" w:rsidP="009C49D7">
      <w:pPr>
        <w:pStyle w:val="customunionstyle"/>
        <w:rPr>
          <w:rFonts w:ascii="ˎ̥,Verdana" w:hAnsi="ˎ̥,Verdana"/>
        </w:rPr>
        <w:sectPr>
          <w:type w:val="nextPage"/>
          <w:pgSz w:w="11906" w:h="16838"/>
          <w:pgMar w:top="1440" w:right="1800" w:bottom="1440" w:left="1800" w:header="851" w:footer="992" w:gutter="0"/>
          <w:pgNumType w:start="3"/>
          <w:cols w:space="425"/>
          <w:titlePg w:val="0"/>
          <w:docGrid w:type="lines" w:linePitch="312"/>
        </w:sectPr>
      </w:pPr>
      <w:r>
        <w:rPr>
          <w:rFonts w:ascii="ˎ̥,Verdana" w:hAnsi="ˎ̥,Verdana"/>
        </w:rPr>
        <w:t>　　</w:t>
      </w:r>
      <w:r>
        <w:rPr>
          <w:rFonts w:hint="eastAsia"/>
        </w:rPr>
        <w:t>Ⅰ</w:t>
      </w:r>
      <w:r>
        <w:rPr>
          <w:rFonts w:ascii="ˎ̥,Verdana" w:hAnsi="ˎ̥,Verdana"/>
        </w:rPr>
        <w:t>级食品平安事故，在国家特殊重大食品平安事故应急处置指挥部统一领导和指挥下开展应急处置工作。</w:t>
      </w:r>
      <w:r>
        <w:rPr>
          <w:rFonts w:hint="eastAsia"/>
        </w:rPr>
        <w:t>Ⅲ</w:t>
      </w:r>
      <w:r>
        <w:rPr>
          <w:rFonts w:ascii="ˎ̥,Verdana" w:hAnsi="ˎ̥,Verdana"/>
        </w:rPr>
        <w:t>级、</w:t>
      </w:r>
      <w:r>
        <w:rPr>
          <w:rFonts w:hint="eastAsia"/>
        </w:rPr>
        <w:t>Ⅳ</w:t>
      </w:r>
      <w:r>
        <w:rPr>
          <w:rFonts w:ascii="ˎ̥,Verdana" w:hAnsi="ˎ̥,Verdana"/>
        </w:rPr>
        <w:t>级食品平安事故，分别由事故所在地的市、县级人民政府组织成立相应应急处置指挥机构，统一组织开展本行政区域事故应急处置工作。必要时，自治区食品平安办、相关部门对事发地的应急处置工作赐予指导、支持。</w:t>
      </w:r>
    </w:p>
    <w:p w:rsidR="009C49D7" w:rsidP="009C49D7">
      <w:pPr>
        <w:pStyle w:val="customunionstyle"/>
        <w:rPr>
          <w:rFonts w:ascii="ˎ̥,Verdana" w:hAnsi="ˎ̥,Verdana"/>
        </w:rPr>
      </w:pPr>
      <w:r>
        <w:rPr>
          <w:rFonts w:ascii="ˎ̥,Verdana" w:hAnsi="ˎ̥,Verdana"/>
        </w:rPr>
        <w:t>　　2.2 指挥部设置</w:t>
      </w:r>
    </w:p>
    <w:p w:rsidR="009C49D7" w:rsidP="009C49D7">
      <w:pPr>
        <w:pStyle w:val="customunionstyle"/>
        <w:rPr>
          <w:rFonts w:ascii="ˎ̥,Verdana" w:hAnsi="ˎ̥,Verdana"/>
        </w:rPr>
      </w:pPr>
      <w:r>
        <w:rPr>
          <w:rFonts w:ascii="ˎ̥,Verdana" w:hAnsi="ˎ̥,Verdana"/>
        </w:rPr>
        <w:t>　　指挥部成员单位依据事故的性质和应急处置工作的须要确定，主要由自治区食品平安委员会成员单位和有关单位组成，包括：自治区食品平安办，自治区党委宣扬部、政法委，自治区发展改革委（物价局）、工业和信息化委、教化厅、科技厅、民委、公安厅、监察厅、财政厅、住房和城乡建设厅、环保厅、农业厅、商务厅、卫生厅、工商局、质监局、食品药品监管局、水产畜牧兽医局、旅游局、粮食局，南宁海关，广西出入境检验检疫局，自治区法制办、新闻办、农垦局、民政厅、交通运输厅、林业厅，南宁铁路局，广西机场管理集团，武警广西消防总队和相关行业协会组织，以及食品平安事故发生地的市人民政府。当事故涉及国外或港澳台时，增加自治区外办、港澳办、台办等部门为成员单位。</w:t>
      </w:r>
    </w:p>
    <w:p w:rsidR="009C49D7" w:rsidP="009C49D7">
      <w:pPr>
        <w:pStyle w:val="customunionstyle"/>
        <w:rPr>
          <w:rFonts w:ascii="ˎ̥,Verdana" w:hAnsi="ˎ̥,Verdana"/>
        </w:rPr>
      </w:pPr>
      <w:r>
        <w:rPr>
          <w:rFonts w:ascii="ˎ̥,Verdana" w:hAnsi="ˎ̥,Verdana"/>
        </w:rPr>
        <w:t>　　指挥部办公室设在自治区食品平安办。</w:t>
      </w:r>
    </w:p>
    <w:p w:rsidR="009C49D7" w:rsidP="009C49D7">
      <w:pPr>
        <w:pStyle w:val="customunionstyle"/>
        <w:rPr>
          <w:rFonts w:ascii="ˎ̥,Verdana" w:hAnsi="ˎ̥,Verdana"/>
        </w:rPr>
      </w:pPr>
      <w:r>
        <w:rPr>
          <w:rFonts w:ascii="ˎ̥,Verdana" w:hAnsi="ˎ̥,Verdana"/>
        </w:rPr>
        <w:t>　　2.3 指挥部职责</w:t>
      </w:r>
    </w:p>
    <w:p w:rsidR="009C49D7" w:rsidP="009C49D7">
      <w:pPr>
        <w:pStyle w:val="customunionstyle"/>
        <w:rPr>
          <w:rFonts w:ascii="ˎ̥,Verdana" w:hAnsi="ˎ̥,Verdana"/>
        </w:rPr>
      </w:pPr>
      <w:r>
        <w:rPr>
          <w:rFonts w:ascii="ˎ̥,Verdana" w:hAnsi="ˎ̥,Verdana"/>
        </w:rPr>
        <w:t>　　指挥部负责统一组织、协调和指挥事故应急处置工作，探讨重大应急决策和部署，组织发布事故的重要信息，审议批准指挥部办公室提交的应急处置工作报告，应急处置的其他工作。</w:t>
      </w:r>
    </w:p>
    <w:p w:rsidR="009C49D7" w:rsidP="009C49D7">
      <w:pPr>
        <w:pStyle w:val="customunionstyle"/>
        <w:rPr>
          <w:rFonts w:ascii="ˎ̥,Verdana" w:hAnsi="ˎ̥,Verdana"/>
        </w:rPr>
        <w:sectPr>
          <w:type w:val="nextPage"/>
          <w:pgSz w:w="11906" w:h="16838"/>
          <w:pgMar w:top="1440" w:right="1800" w:bottom="1440" w:left="1800" w:header="851" w:footer="992" w:gutter="0"/>
          <w:pgNumType w:start="4"/>
          <w:cols w:space="425"/>
          <w:titlePg w:val="0"/>
          <w:docGrid w:type="lines" w:linePitch="312"/>
        </w:sectPr>
      </w:pPr>
      <w:r>
        <w:rPr>
          <w:rFonts w:ascii="ˎ̥,Verdana" w:hAnsi="ˎ̥,Verdana"/>
        </w:rPr>
        <w:t>　　2.4 指挥部办公室职责</w:t>
      </w:r>
    </w:p>
    <w:p w:rsidR="009C49D7" w:rsidP="009C49D7">
      <w:pPr>
        <w:pStyle w:val="customunionstyle"/>
        <w:rPr>
          <w:rFonts w:ascii="ˎ̥,Verdana" w:hAnsi="ˎ̥,Verdana"/>
        </w:rPr>
      </w:pPr>
      <w:r>
        <w:rPr>
          <w:rFonts w:ascii="ˎ̥,Verdana" w:hAnsi="ˎ̥,Verdana"/>
        </w:rPr>
        <w:t>　　指挥部办公室担当指挥部的日常工作，主要负责实行指挥部的各项部署，组织实施事故应急处置工作。检查督促相关地区和部门做好各项应急处置工作，刚好有效地限制事故，防止事态扩散扩大。探讨协调解决事故应急处理工作中的详细问题。向自治区人民政府、指挥部及其成员单位报告、通报事故应急处置的工作状况。负责信息管理，组织信息发布。建立会商、发文、信息发布和督查等制度，确保快速反应、高效处置。</w:t>
      </w:r>
    </w:p>
    <w:p w:rsidR="009C49D7" w:rsidP="009C49D7">
      <w:pPr>
        <w:pStyle w:val="customunionstyle"/>
        <w:rPr>
          <w:rFonts w:ascii="ˎ̥,Verdana" w:hAnsi="ˎ̥,Verdana"/>
        </w:rPr>
      </w:pPr>
      <w:r>
        <w:rPr>
          <w:rFonts w:ascii="ˎ̥,Verdana" w:hAnsi="ˎ̥,Verdana"/>
        </w:rPr>
        <w:t>　　2.5 指挥部成员单位职责</w:t>
      </w:r>
    </w:p>
    <w:p w:rsidR="009C49D7" w:rsidP="009C49D7">
      <w:pPr>
        <w:pStyle w:val="customunionstyle"/>
        <w:rPr>
          <w:rFonts w:ascii="ˎ̥,Verdana" w:hAnsi="ˎ̥,Verdana"/>
        </w:rPr>
      </w:pPr>
      <w:r>
        <w:rPr>
          <w:rFonts w:ascii="ˎ̥,Verdana" w:hAnsi="ˎ̥,Verdana"/>
        </w:rPr>
        <w:t>　　指挥部各成员单位在指挥部统一领导下开展工作，依据规定的工作职责，加强对事发地人民政府有关部门工作的督促、指导，主动参加应急救援工作。</w:t>
      </w:r>
    </w:p>
    <w:p w:rsidR="009C49D7" w:rsidP="009C49D7">
      <w:pPr>
        <w:pStyle w:val="customunionstyle"/>
        <w:rPr>
          <w:rFonts w:ascii="ˎ̥,Verdana" w:hAnsi="ˎ̥,Verdana"/>
        </w:rPr>
      </w:pPr>
      <w:r>
        <w:rPr>
          <w:rFonts w:ascii="ˎ̥,Verdana" w:hAnsi="ˎ̥,Verdana"/>
        </w:rPr>
        <w:t>　　2.6 指挥部工作组设置及职责</w:t>
      </w:r>
    </w:p>
    <w:p w:rsidR="009C49D7" w:rsidP="009C49D7">
      <w:pPr>
        <w:pStyle w:val="customunionstyle"/>
        <w:rPr>
          <w:rFonts w:ascii="ˎ̥,Verdana" w:hAnsi="ˎ̥,Verdana"/>
        </w:rPr>
      </w:pPr>
      <w:r>
        <w:rPr>
          <w:rFonts w:ascii="ˎ̥,Verdana" w:hAnsi="ˎ̥,Verdana"/>
        </w:rPr>
        <w:t>　　依据事故处置须要，指挥部可下设若干工作组，在指挥部的统一指挥下分别开展相关工作，并随时向指挥部办公室报告工作开展状况。</w:t>
      </w:r>
    </w:p>
    <w:p w:rsidR="009C49D7" w:rsidP="009C49D7">
      <w:pPr>
        <w:pStyle w:val="customunionstyle"/>
        <w:rPr>
          <w:rFonts w:ascii="ˎ̥,Verdana" w:hAnsi="ˎ̥,Verdana"/>
        </w:rPr>
      </w:pPr>
      <w:r>
        <w:rPr>
          <w:rFonts w:ascii="ˎ̥,Verdana" w:hAnsi="ˎ̥,Verdana"/>
        </w:rPr>
        <w:t>　　（1）综合协调组</w:t>
      </w:r>
    </w:p>
    <w:p w:rsidR="009C49D7" w:rsidP="009C49D7">
      <w:pPr>
        <w:pStyle w:val="customunionstyle"/>
        <w:rPr>
          <w:rFonts w:ascii="ˎ̥,Verdana" w:hAnsi="ˎ̥,Verdana"/>
        </w:rPr>
      </w:pPr>
      <w:r>
        <w:rPr>
          <w:rFonts w:ascii="ˎ̥,Verdana" w:hAnsi="ˎ̥,Verdana"/>
        </w:rPr>
        <w:t>　　由自治区食品平安办牵头，负责组织协调各工作组开展应急处置工作，汇合、上报事故信息，供应后勤保障。完成指挥部办公室交办的其他工作。</w:t>
      </w:r>
      <w:r>
        <w:rPr>
          <w:rFonts w:ascii="ˎ̥,Verdana" w:hAnsi="ˎ̥,Verdana"/>
        </w:rPr>
        <w:br/>
      </w:r>
      <w:r>
        <w:rPr>
          <w:rFonts w:ascii="ˎ̥,Verdana" w:hAnsi="ˎ̥,Verdan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https://d.book118.com/498116123137006040</w:t>
        </w:r>
      </w:hyperlink>
    </w:p>
    <w:p w:rsidR="009C49D7" w:rsidP="009C49D7">
      <w:pPr>
        <w:pStyle w:val="customunionstyle"/>
        <w:rPr>
          <w:rFonts w:ascii="ˎ̥,Verdana" w:hAnsi="ˎ̥,Verdana"/>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ˎ̥,Verdana">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49D7"/>
    <w:rsid w:val="000052B8"/>
    <w:rsid w:val="000D5600"/>
    <w:rsid w:val="0010601D"/>
    <w:rsid w:val="00117A44"/>
    <w:rsid w:val="00125FE2"/>
    <w:rsid w:val="002F68F6"/>
    <w:rsid w:val="00307C21"/>
    <w:rsid w:val="003D1244"/>
    <w:rsid w:val="00455022"/>
    <w:rsid w:val="004B2C90"/>
    <w:rsid w:val="004C7D09"/>
    <w:rsid w:val="004E0996"/>
    <w:rsid w:val="004F10D2"/>
    <w:rsid w:val="00524178"/>
    <w:rsid w:val="0056002C"/>
    <w:rsid w:val="00605158"/>
    <w:rsid w:val="0065657B"/>
    <w:rsid w:val="00660643"/>
    <w:rsid w:val="00667953"/>
    <w:rsid w:val="0077052E"/>
    <w:rsid w:val="0081764D"/>
    <w:rsid w:val="00827F8D"/>
    <w:rsid w:val="008517EF"/>
    <w:rsid w:val="008542D0"/>
    <w:rsid w:val="008E0DFF"/>
    <w:rsid w:val="009054F1"/>
    <w:rsid w:val="00907EC7"/>
    <w:rsid w:val="009732D6"/>
    <w:rsid w:val="009C49D7"/>
    <w:rsid w:val="009D28E0"/>
    <w:rsid w:val="009E5ADB"/>
    <w:rsid w:val="00A54C79"/>
    <w:rsid w:val="00A8613B"/>
    <w:rsid w:val="00C525AE"/>
    <w:rsid w:val="00C75649"/>
    <w:rsid w:val="00C97BA1"/>
    <w:rsid w:val="00D44733"/>
    <w:rsid w:val="00D45DE8"/>
    <w:rsid w:val="00DB517D"/>
    <w:rsid w:val="00E8426B"/>
    <w:rsid w:val="00EA3499"/>
    <w:rsid w:val="00F12B16"/>
    <w:rsid w:val="00F3239E"/>
    <w:rsid w:val="00F61B21"/>
    <w:rsid w:val="00F72263"/>
    <w:rsid w:val="00F8082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ustomunionstyle">
    <w:name w:val="custom_unionstyle"/>
    <w:basedOn w:val="Normal"/>
    <w:rsid w:val="009C49D7"/>
    <w:pPr>
      <w:widowControl/>
      <w:spacing w:before="100" w:beforeAutospacing="1" w:after="100" w:afterAutospacing="1" w:line="432" w:lineRule="auto"/>
      <w:jc w:val="left"/>
    </w:pPr>
    <w:rPr>
      <w:rFonts w:ascii="宋体" w:hAnsi="宋体" w:cs="宋体"/>
      <w:color w:val="000000"/>
      <w:kern w:val="0"/>
      <w:sz w:val="29"/>
      <w:szCs w:val="29"/>
    </w:rPr>
  </w:style>
  <w:style w:type="character" w:styleId="Strong">
    <w:name w:val="Strong"/>
    <w:basedOn w:val="DefaultParagraphFont"/>
    <w:qFormat/>
    <w:rsid w:val="009C49D7"/>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98116123137006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1676</Words>
  <Characters>9556</Characters>
  <Application>Microsoft Office Word</Application>
  <DocSecurity>0</DocSecurity>
  <Lines>79</Lines>
  <Paragraphs>22</Paragraphs>
  <ScaleCrop>false</ScaleCrop>
  <Company>微软中国</Company>
  <LinksUpToDate>false</LinksUpToDate>
  <CharactersWithSpaces>11210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广西壮族自治区食品安全事故应急预案</dc:title>
  <dc:creator>微软用户</dc:creator>
  <cp:lastModifiedBy>微软用户</cp:lastModifiedBy>
  <cp:revision>1</cp:revision>
  <dcterms:created xsi:type="dcterms:W3CDTF">2012-03-27T08:36:00Z</dcterms:created>
  <dcterms:modified xsi:type="dcterms:W3CDTF">2012-03-27T08:37:00Z</dcterms:modified>
</cp:coreProperties>
</file>