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2024年妇女保健品行业分析报告及未来五到十年行业发展趋势报告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30626" w:history="1">
        <w:r>
          <w:rPr>
            <w:rFonts w:eastAsia="微软雅黑" w:hint="eastAsia"/>
            <w:snapToGrid/>
            <w:lang w:val="en-US" w:eastAsia="en-US"/>
          </w:rPr>
          <w:t>一、2024-2029年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_Toc30626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14362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_Toc14362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525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_Toc22525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828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_Toc17828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1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_Toc301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302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_Toc15302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202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_Toc5202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6858" w:history="1">
        <w:r>
          <w:rPr>
            <w:rFonts w:eastAsia="微软雅黑" w:hint="eastAsia"/>
            <w:snapToGrid/>
            <w:lang w:val="en-US" w:eastAsia="en-US"/>
          </w:rPr>
          <w:t>二、2024-2029年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_Toc16858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386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_Toc25386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296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_Toc21296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037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_Toc21037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234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_Toc18234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3426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_Toc13426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671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_Toc24671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28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行业企业战略确定</w:t>
        </w:r>
        <w:r>
          <w:tab/>
        </w:r>
        <w:r>
          <w:fldChar w:fldCharType="begin"/>
        </w:r>
        <w:r>
          <w:instrText xml:space="preserve"> PAGEREF _Toc14283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906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_Toc15906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7324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_Toc27324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3756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_Toc13756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9503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_Toc29503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7747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_Toc27747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124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行业成功突围策略</w:t>
        </w:r>
        <w:r>
          <w:tab/>
        </w:r>
        <w:r>
          <w:fldChar w:fldCharType="begin"/>
        </w:r>
        <w:r>
          <w:instrText xml:space="preserve"> PAGEREF _Toc1124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439" w:history="1">
        <w:r>
          <w:rPr>
            <w:rFonts w:eastAsia="微软雅黑" w:hint="eastAsia"/>
            <w:snapToGrid/>
            <w:lang w:val="en-US" w:eastAsia="en-US"/>
          </w:rPr>
          <w:t>(一)、寻找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行业准差异化消费者兴趣诉求点</w:t>
        </w:r>
        <w:r>
          <w:tab/>
        </w:r>
        <w:r>
          <w:fldChar w:fldCharType="begin"/>
        </w:r>
        <w:r>
          <w:instrText xml:space="preserve"> PAGEREF _Toc10439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08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行业精准定位与无声消费教育</w:t>
        </w:r>
        <w:r>
          <w:tab/>
        </w:r>
        <w:r>
          <w:fldChar w:fldCharType="begin"/>
        </w:r>
        <w:r>
          <w:instrText xml:space="preserve"> PAGEREF _Toc21083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767" w:history="1">
        <w:r>
          <w:rPr>
            <w:rFonts w:eastAsia="微软雅黑" w:hint="eastAsia"/>
            <w:snapToGrid/>
            <w:lang w:val="en-US" w:eastAsia="zh-CN"/>
          </w:rPr>
          <w:t>(三)、从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行业硬文广告传播到深度合作</w:t>
        </w:r>
        <w:r>
          <w:tab/>
        </w:r>
        <w:r>
          <w:fldChar w:fldCharType="begin"/>
        </w:r>
        <w:r>
          <w:instrText xml:space="preserve"> PAGEREF _Toc15767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619" w:history="1">
        <w:r>
          <w:rPr>
            <w:rFonts w:eastAsia="微软雅黑" w:hint="eastAsia"/>
            <w:snapToGrid/>
            <w:lang w:val="en-US" w:eastAsia="zh-CN"/>
          </w:rPr>
          <w:t>(四)、公益营销竞争激烈</w:t>
        </w:r>
        <w:r>
          <w:tab/>
        </w:r>
        <w:r>
          <w:fldChar w:fldCharType="begin"/>
        </w:r>
        <w:r>
          <w:instrText xml:space="preserve"> PAGEREF _Toc32619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625" w:history="1">
        <w:r>
          <w:rPr>
            <w:rFonts w:eastAsia="微软雅黑" w:hint="eastAsia"/>
            <w:snapToGrid/>
            <w:lang w:val="en-US" w:eastAsia="zh-CN"/>
          </w:rPr>
          <w:t>(五)、电子商务提升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行业广告效果</w:t>
        </w:r>
        <w:r>
          <w:tab/>
        </w:r>
        <w:r>
          <w:fldChar w:fldCharType="begin"/>
        </w:r>
        <w:r>
          <w:instrText xml:space="preserve"> PAGEREF _Toc15625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563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行业渠道以多种形式传播</w:t>
        </w:r>
        <w:r>
          <w:tab/>
        </w:r>
        <w:r>
          <w:fldChar w:fldCharType="begin"/>
        </w:r>
        <w:r>
          <w:instrText xml:space="preserve"> PAGEREF _Toc4563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037" w:history="1">
        <w:r>
          <w:rPr>
            <w:rFonts w:eastAsia="微软雅黑" w:hint="eastAsia"/>
            <w:snapToGrid/>
            <w:lang w:val="en-US" w:eastAsia="zh-CN"/>
          </w:rPr>
          <w:t>(七)、强调市场细分，深耕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产业</w:t>
        </w:r>
        <w:r>
          <w:tab/>
        </w:r>
        <w:r>
          <w:fldChar w:fldCharType="begin"/>
        </w:r>
        <w:r>
          <w:instrText xml:space="preserve"> PAGEREF _Toc26037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6830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行业企业差异化突破战略</w:t>
        </w:r>
        <w:r>
          <w:tab/>
        </w:r>
        <w:r>
          <w:fldChar w:fldCharType="begin"/>
        </w:r>
        <w:r>
          <w:instrText xml:space="preserve"> PAGEREF _Toc16830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561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行业产品差异化获取“商机”</w:t>
        </w:r>
        <w:r>
          <w:tab/>
        </w:r>
        <w:r>
          <w:fldChar w:fldCharType="begin"/>
        </w:r>
        <w:r>
          <w:instrText xml:space="preserve"> PAGEREF _Toc31561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14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行业市场分化赢得“商机”</w:t>
        </w:r>
        <w:r>
          <w:tab/>
        </w:r>
        <w:r>
          <w:fldChar w:fldCharType="begin"/>
        </w:r>
        <w:r>
          <w:instrText xml:space="preserve"> PAGEREF _Toc10144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578" w:history="1">
        <w:r>
          <w:rPr>
            <w:rFonts w:eastAsia="微软雅黑" w:hint="eastAsia"/>
            <w:snapToGrid/>
            <w:lang w:val="en-US" w:eastAsia="zh-CN"/>
          </w:rPr>
          <w:t>(三)、以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行业服务差异化“抓住”商机</w:t>
        </w:r>
        <w:r>
          <w:tab/>
        </w:r>
        <w:r>
          <w:fldChar w:fldCharType="begin"/>
        </w:r>
        <w:r>
          <w:instrText xml:space="preserve"> PAGEREF _Toc4578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203" w:history="1">
        <w:r>
          <w:rPr>
            <w:rFonts w:eastAsia="微软雅黑" w:hint="eastAsia"/>
            <w:snapToGrid/>
            <w:lang w:val="en-US" w:eastAsia="zh-CN"/>
          </w:rPr>
          <w:t>(四)、用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行业客户差异化“抓住”商机</w:t>
        </w:r>
        <w:r>
          <w:tab/>
        </w:r>
        <w:r>
          <w:fldChar w:fldCharType="begin"/>
        </w:r>
        <w:r>
          <w:instrText xml:space="preserve"> PAGEREF _Toc22203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691" w:history="1">
        <w:r>
          <w:rPr>
            <w:rFonts w:eastAsia="微软雅黑" w:hint="eastAsia"/>
            <w:snapToGrid/>
            <w:lang w:val="en-US" w:eastAsia="zh-CN"/>
          </w:rPr>
          <w:t>(五)、以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行业渠道差异化“争取”商机</w:t>
        </w:r>
        <w:r>
          <w:tab/>
        </w:r>
        <w:r>
          <w:fldChar w:fldCharType="begin"/>
        </w:r>
        <w:r>
          <w:instrText xml:space="preserve"> PAGEREF _Toc18691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3235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_Toc3235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050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_Toc7050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713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_Toc9713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1526" w:history="1">
        <w:r>
          <w:rPr>
            <w:rFonts w:eastAsia="微软雅黑" w:hint="eastAsia"/>
            <w:snapToGrid/>
            <w:lang w:val="en-US" w:eastAsia="en-US"/>
          </w:rPr>
          <w:t>七、2024-2029年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_Toc21526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827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_Toc18827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104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_Toc29104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31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_Toc1831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301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_Toc26301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192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_Toc19192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394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_Toc11394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2432" w:history="1">
        <w:r>
          <w:rPr>
            <w:rFonts w:eastAsia="微软雅黑" w:hint="eastAsia"/>
            <w:snapToGrid/>
            <w:lang w:val="en-US" w:eastAsia="en-US"/>
          </w:rPr>
          <w:t>八、“疫情”对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行业可持续发展目标的影响及对策</w:t>
        </w:r>
        <w:r>
          <w:tab/>
        </w:r>
        <w:r>
          <w:fldChar w:fldCharType="begin"/>
        </w:r>
        <w:r>
          <w:instrText xml:space="preserve"> PAGEREF _Toc22432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272" w:history="1">
        <w:r>
          <w:rPr>
            <w:rFonts w:eastAsia="微软雅黑" w:hint="eastAsia"/>
            <w:snapToGrid/>
            <w:lang w:val="en-US" w:eastAsia="zh-CN"/>
          </w:rPr>
          <w:t>(一)、国内有关政府机构对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行业的建议</w:t>
        </w:r>
        <w:r>
          <w:tab/>
        </w:r>
        <w:r>
          <w:fldChar w:fldCharType="begin"/>
        </w:r>
        <w:r>
          <w:instrText xml:space="preserve"> PAGEREF _Toc14272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608" w:history="1">
        <w:r>
          <w:rPr>
            <w:rFonts w:eastAsia="微软雅黑" w:hint="eastAsia"/>
            <w:snapToGrid/>
            <w:lang w:val="en-US" w:eastAsia="zh-CN"/>
          </w:rPr>
          <w:t>(二)、关于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产业上下游产业合作的建议</w:t>
        </w:r>
        <w:r>
          <w:tab/>
        </w:r>
        <w:r>
          <w:fldChar w:fldCharType="begin"/>
        </w:r>
        <w:r>
          <w:instrText xml:space="preserve"> PAGEREF _Toc16608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561" w:history="1">
        <w:r>
          <w:rPr>
            <w:rFonts w:eastAsia="微软雅黑" w:hint="eastAsia"/>
            <w:snapToGrid/>
            <w:lang w:val="en-US" w:eastAsia="zh-CN"/>
          </w:rPr>
          <w:t>(三)、突破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行业企业疫情的策略</w:t>
        </w:r>
        <w:r>
          <w:tab/>
        </w:r>
        <w:r>
          <w:fldChar w:fldCharType="begin"/>
        </w:r>
        <w:r>
          <w:instrText xml:space="preserve"> PAGEREF _Toc32561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9854" w:history="1">
        <w:r>
          <w:rPr>
            <w:rFonts w:eastAsia="微软雅黑" w:hint="eastAsia"/>
            <w:snapToGrid/>
            <w:lang w:val="en-US" w:eastAsia="en-US"/>
          </w:rPr>
          <w:t>九、关于未来5-10年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行业发展机遇与挑战的建议</w:t>
        </w:r>
        <w:r>
          <w:tab/>
        </w:r>
        <w:r>
          <w:fldChar w:fldCharType="begin"/>
        </w:r>
        <w:r>
          <w:instrText xml:space="preserve"> PAGEREF _Toc29854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96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行业发展趋势展望</w:t>
        </w:r>
        <w:r>
          <w:tab/>
        </w:r>
        <w:r>
          <w:fldChar w:fldCharType="begin"/>
        </w:r>
        <w:r>
          <w:instrText xml:space="preserve"> PAGEREF _Toc2796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379" w:history="1">
        <w:r>
          <w:rPr>
            <w:rFonts w:eastAsia="微软雅黑" w:hint="eastAsia"/>
            <w:snapToGrid/>
            <w:lang w:val="en-US" w:eastAsia="zh-CN"/>
          </w:rPr>
          <w:t>(二)、2024-2029年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行业宏观政策指导的机遇</w:t>
        </w:r>
        <w:r>
          <w:tab/>
        </w:r>
        <w:r>
          <w:fldChar w:fldCharType="begin"/>
        </w:r>
        <w:r>
          <w:instrText xml:space="preserve"> PAGEREF _Toc3379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743" w:history="1">
        <w:r>
          <w:rPr>
            <w:rFonts w:eastAsia="微软雅黑" w:hint="eastAsia"/>
            <w:snapToGrid/>
            <w:lang w:val="en-US" w:eastAsia="zh-CN"/>
          </w:rPr>
          <w:t>(三)、2024-2029年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产业结构调整的机遇</w:t>
        </w:r>
        <w:r>
          <w:tab/>
        </w:r>
        <w:r>
          <w:fldChar w:fldCharType="begin"/>
        </w:r>
        <w:r>
          <w:instrText xml:space="preserve"> PAGEREF _Toc31743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165" w:history="1">
        <w:r>
          <w:rPr>
            <w:rFonts w:eastAsia="微软雅黑" w:hint="eastAsia"/>
            <w:snapToGrid/>
            <w:lang w:val="en-US" w:eastAsia="zh-CN"/>
          </w:rPr>
          <w:t>(四)、2024-2029年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行业面临的挑战与对策</w:t>
        </w:r>
        <w:r>
          <w:tab/>
        </w:r>
        <w:r>
          <w:fldChar w:fldCharType="begin"/>
        </w:r>
        <w:r>
          <w:instrText xml:space="preserve"> PAGEREF _Toc16165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3760" w:history="1">
        <w:r>
          <w:rPr>
            <w:rFonts w:eastAsia="微软雅黑" w:hint="eastAsia"/>
            <w:snapToGrid/>
            <w:lang w:val="en-US" w:eastAsia="en-US"/>
          </w:rPr>
          <w:t>十、宏观经济对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_Toc13760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66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行业线性决策机制分析</w:t>
        </w:r>
        <w:r>
          <w:tab/>
        </w:r>
        <w:r>
          <w:fldChar w:fldCharType="begin"/>
        </w:r>
        <w:r>
          <w:instrText xml:space="preserve"> PAGEREF _Toc1466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218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行业竞争与行业壁垒分析</w:t>
        </w:r>
        <w:r>
          <w:tab/>
        </w:r>
        <w:r>
          <w:fldChar w:fldCharType="begin"/>
        </w:r>
        <w:r>
          <w:instrText xml:space="preserve"> PAGEREF _Toc24218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329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行业库存管理波动分析</w:t>
        </w:r>
        <w:r>
          <w:tab/>
        </w:r>
        <w:r>
          <w:fldChar w:fldCharType="begin"/>
        </w:r>
        <w:r>
          <w:instrText xml:space="preserve"> PAGEREF _Toc3329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3657" w:history="1">
        <w:r>
          <w:rPr>
            <w:rFonts w:eastAsia="微软雅黑" w:hint="eastAsia"/>
            <w:snapToGrid/>
            <w:lang w:val="en-US" w:eastAsia="en-US"/>
          </w:rPr>
          <w:t>十一、关于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行业发展战略规划的建议</w:t>
        </w:r>
        <w:r>
          <w:tab/>
        </w:r>
        <w:r>
          <w:fldChar w:fldCharType="begin"/>
        </w:r>
        <w:r>
          <w:instrText xml:space="preserve"> PAGEREF _Toc23657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397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行业战略规划简介</w:t>
        </w:r>
        <w:r>
          <w:tab/>
        </w:r>
        <w:r>
          <w:fldChar w:fldCharType="begin"/>
        </w:r>
        <w:r>
          <w:instrText xml:space="preserve"> PAGEREF _Toc3397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0648" w:history="1">
        <w:r>
          <w:rPr>
            <w:rFonts w:eastAsia="微软雅黑" w:hint="eastAsia"/>
            <w:snapToGrid/>
            <w:lang w:val="en-US" w:eastAsia="zh-CN"/>
          </w:rPr>
          <w:t>1、行业的社会化</w:t>
        </w:r>
        <w:r>
          <w:tab/>
        </w:r>
        <w:r>
          <w:fldChar w:fldCharType="begin"/>
        </w:r>
        <w:r>
          <w:instrText xml:space="preserve"> PAGEREF _Toc20648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019" w:history="1">
        <w:r>
          <w:rPr>
            <w:rFonts w:eastAsia="微软雅黑" w:hint="eastAsia"/>
            <w:snapToGrid/>
            <w:lang w:val="en-US" w:eastAsia="zh-CN"/>
          </w:rPr>
          <w:t>2、行业的规模化</w:t>
        </w:r>
        <w:r>
          <w:tab/>
        </w:r>
        <w:r>
          <w:fldChar w:fldCharType="begin"/>
        </w:r>
        <w:r>
          <w:instrText xml:space="preserve"> PAGEREF _Toc11019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47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行业的市场应用方向</w:t>
        </w:r>
        <w:r>
          <w:tab/>
        </w:r>
        <w:r>
          <w:fldChar w:fldCharType="begin"/>
        </w:r>
        <w:r>
          <w:instrText xml:space="preserve"> PAGEREF _Toc31473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437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行业的发展重点</w:t>
        </w:r>
        <w:r>
          <w:tab/>
        </w:r>
        <w:r>
          <w:fldChar w:fldCharType="begin"/>
        </w:r>
        <w:r>
          <w:instrText xml:space="preserve"> PAGEREF _Toc18437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3715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行业未来发展机会</w:t>
        </w:r>
        <w:r>
          <w:tab/>
        </w:r>
        <w:r>
          <w:fldChar w:fldCharType="begin"/>
        </w:r>
        <w:r>
          <w:instrText xml:space="preserve"> PAGEREF _Toc23715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671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行业中通过产品差异化获得商机</w:t>
        </w:r>
        <w:r>
          <w:tab/>
        </w:r>
        <w:r>
          <w:fldChar w:fldCharType="begin"/>
        </w:r>
        <w:r>
          <w:instrText xml:space="preserve"> PAGEREF _Toc21671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763" w:history="1">
        <w:r>
          <w:rPr>
            <w:rFonts w:eastAsia="微软雅黑" w:hint="eastAsia"/>
            <w:snapToGrid/>
            <w:lang w:val="en-US" w:eastAsia="zh-CN"/>
          </w:rPr>
          <w:t>(二)、借助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行业市场差异赢得商机</w:t>
        </w:r>
        <w:r>
          <w:tab/>
        </w:r>
        <w:r>
          <w:fldChar w:fldCharType="begin"/>
        </w:r>
        <w:r>
          <w:instrText xml:space="preserve"> PAGEREF _Toc3763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471" w:history="1">
        <w:r>
          <w:rPr>
            <w:rFonts w:eastAsia="微软雅黑" w:hint="eastAsia"/>
            <w:snapToGrid/>
            <w:lang w:val="en-US" w:eastAsia="zh-CN"/>
          </w:rPr>
          <w:t>(三)、借助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行业服务差异化抓住商机</w:t>
        </w:r>
        <w:r>
          <w:tab/>
        </w:r>
        <w:r>
          <w:fldChar w:fldCharType="begin"/>
        </w:r>
        <w:r>
          <w:instrText xml:space="preserve"> PAGEREF _Toc28471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43" w:history="1">
        <w:r>
          <w:rPr>
            <w:rFonts w:eastAsia="微软雅黑" w:hint="eastAsia"/>
            <w:snapToGrid/>
            <w:lang w:val="en-US" w:eastAsia="zh-CN"/>
          </w:rPr>
          <w:t>(四)、借助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行业客户差异化把握商机</w:t>
        </w:r>
        <w:r>
          <w:tab/>
        </w:r>
        <w:r>
          <w:fldChar w:fldCharType="begin"/>
        </w:r>
        <w:r>
          <w:instrText xml:space="preserve"> PAGEREF _Toc743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553" w:history="1">
        <w:r>
          <w:rPr>
            <w:rFonts w:eastAsia="微软雅黑" w:hint="eastAsia"/>
            <w:snapToGrid/>
            <w:lang w:val="en-US" w:eastAsia="zh-CN"/>
          </w:rPr>
          <w:t>(五)、借助</w:t>
        </w:r>
        <w:r>
          <w:rPr>
            <w:rFonts w:eastAsia="微软雅黑" w:hint="eastAsia"/>
            <w:snapToGrid/>
            <w:lang w:val="en-US" w:eastAsia="zh-CN"/>
          </w:rPr>
          <w:t>妇女保健品</w:t>
        </w:r>
        <w:r>
          <w:rPr>
            <w:rFonts w:eastAsia="微软雅黑" w:hint="eastAsia"/>
            <w:snapToGrid/>
            <w:lang w:val="en-US" w:eastAsia="zh-CN"/>
          </w:rPr>
          <w:t>行业渠道差异来寻求商机</w:t>
        </w:r>
        <w:r>
          <w:tab/>
        </w:r>
        <w:r>
          <w:fldChar w:fldCharType="begin"/>
        </w:r>
        <w:r>
          <w:instrText xml:space="preserve"> PAGEREF _Toc17553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9714" w:history="1">
        <w:r>
          <w:rPr>
            <w:rFonts w:eastAsia="微软雅黑" w:hint="eastAsia"/>
            <w:snapToGrid/>
            <w:lang w:val="en-US" w:eastAsia="en-US"/>
          </w:rPr>
          <w:t>十三、2024-2029年</w:t>
        </w:r>
        <w:r>
          <w:rPr>
            <w:rFonts w:eastAsia="微软雅黑" w:hint="eastAsia"/>
            <w:snapToGrid/>
            <w:lang w:val="en-US" w:eastAsia="en-US"/>
          </w:rPr>
          <w:t>妇女保健品</w:t>
        </w:r>
        <w:r>
          <w:rPr>
            <w:rFonts w:eastAsia="微软雅黑" w:hint="eastAsia"/>
            <w:snapToGrid/>
            <w:lang w:val="en-US" w:eastAsia="en-US"/>
          </w:rPr>
          <w:t>产业发展战略分析</w:t>
        </w:r>
        <w:r>
          <w:tab/>
        </w:r>
        <w:r>
          <w:fldChar w:fldCharType="begin"/>
        </w:r>
        <w:r>
          <w:instrText xml:space="preserve"> PAGEREF _Toc29714 \h </w:instrText>
        </w:r>
        <w:r>
          <w:fldChar w:fldCharType="separate"/>
        </w:r>
        <w:r>
          <w:t>29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https://d.book118.com/498117064066006024</w:t>
        </w:r>
      </w:hyperlink>
    </w:p>
    <w:p>
      <w:pPr>
        <w:pStyle w:val="TOC1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498117064066006024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