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激光精密加工和蚀刻成套设备项目计划设计方案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726" w:history="1">
        <w:r>
          <w:rPr>
            <w:rFonts w:ascii="仿宋" w:eastAsia="仿宋" w:hAnsi="仿宋" w:cs="仿宋" w:hint="eastAsia"/>
            <w:lang w:eastAsia="zh-CN"/>
          </w:rPr>
          <w:t>前言</w:t>
        </w:r>
        <w:r>
          <w:tab/>
        </w:r>
        <w:r>
          <w:fldChar w:fldCharType="begin"/>
        </w:r>
        <w:r>
          <w:instrText xml:space="preserve"> PAGEREF _Toc24726 \h </w:instrText>
        </w:r>
        <w:r>
          <w:fldChar w:fldCharType="separate"/>
        </w:r>
        <w:r>
          <w:t>3</w:t>
        </w:r>
        <w:r>
          <w:fldChar w:fldCharType="end"/>
        </w:r>
      </w:hyperlink>
    </w:p>
    <w:p>
      <w:pPr>
        <w:pStyle w:val="TOC1"/>
        <w:tabs>
          <w:tab w:val="right" w:leader="dot" w:pos="8306"/>
        </w:tabs>
      </w:pPr>
      <w:hyperlink w:anchor="_Toc17889" w:history="1">
        <w:r>
          <w:rPr>
            <w:rFonts w:ascii="仿宋" w:eastAsia="仿宋" w:hAnsi="仿宋" w:cs="仿宋" w:hint="eastAsia"/>
            <w:lang w:eastAsia="zh-CN"/>
          </w:rPr>
          <w:t>一、激光精密加工和蚀刻成套设备项目土建工程</w:t>
        </w:r>
        <w:r>
          <w:tab/>
        </w:r>
        <w:r>
          <w:fldChar w:fldCharType="begin"/>
        </w:r>
        <w:r>
          <w:instrText xml:space="preserve"> PAGEREF _Toc17889 \h </w:instrText>
        </w:r>
        <w:r>
          <w:fldChar w:fldCharType="separate"/>
        </w:r>
        <w:r>
          <w:t>3</w:t>
        </w:r>
        <w:r>
          <w:fldChar w:fldCharType="end"/>
        </w:r>
      </w:hyperlink>
    </w:p>
    <w:p>
      <w:pPr>
        <w:pStyle w:val="TOC2"/>
        <w:tabs>
          <w:tab w:val="right" w:leader="dot" w:pos="8306"/>
        </w:tabs>
      </w:pPr>
      <w:hyperlink w:anchor="_Toc1706" w:history="1">
        <w:r>
          <w:rPr>
            <w:rFonts w:ascii="仿宋" w:eastAsia="仿宋" w:hAnsi="仿宋" w:cs="仿宋" w:hint="eastAsia"/>
            <w:lang w:eastAsia="zh-CN"/>
          </w:rPr>
          <w:t>(一)、建筑工程设计原则</w:t>
        </w:r>
        <w:r>
          <w:tab/>
        </w:r>
        <w:r>
          <w:fldChar w:fldCharType="begin"/>
        </w:r>
        <w:r>
          <w:instrText xml:space="preserve"> PAGEREF _Toc1706 \h </w:instrText>
        </w:r>
        <w:r>
          <w:fldChar w:fldCharType="separate"/>
        </w:r>
        <w:r>
          <w:t>3</w:t>
        </w:r>
        <w:r>
          <w:fldChar w:fldCharType="end"/>
        </w:r>
      </w:hyperlink>
    </w:p>
    <w:p>
      <w:pPr>
        <w:pStyle w:val="TOC2"/>
        <w:tabs>
          <w:tab w:val="right" w:leader="dot" w:pos="8306"/>
        </w:tabs>
      </w:pPr>
      <w:hyperlink w:anchor="_Toc23485" w:history="1">
        <w:r>
          <w:rPr>
            <w:rFonts w:ascii="仿宋" w:eastAsia="仿宋" w:hAnsi="仿宋" w:cs="仿宋" w:hint="eastAsia"/>
            <w:lang w:eastAsia="zh-CN"/>
          </w:rPr>
          <w:t>(二)、土建工程设计年限及安全等级</w:t>
        </w:r>
        <w:r>
          <w:tab/>
        </w:r>
        <w:r>
          <w:fldChar w:fldCharType="begin"/>
        </w:r>
        <w:r>
          <w:instrText xml:space="preserve"> PAGEREF _Toc23485 \h </w:instrText>
        </w:r>
        <w:r>
          <w:fldChar w:fldCharType="separate"/>
        </w:r>
        <w:r>
          <w:t>4</w:t>
        </w:r>
        <w:r>
          <w:fldChar w:fldCharType="end"/>
        </w:r>
      </w:hyperlink>
    </w:p>
    <w:p>
      <w:pPr>
        <w:pStyle w:val="TOC2"/>
        <w:tabs>
          <w:tab w:val="right" w:leader="dot" w:pos="8306"/>
        </w:tabs>
      </w:pPr>
      <w:hyperlink w:anchor="_Toc6637" w:history="1">
        <w:r>
          <w:rPr>
            <w:rFonts w:ascii="仿宋" w:eastAsia="仿宋" w:hAnsi="仿宋" w:cs="仿宋" w:hint="eastAsia"/>
            <w:lang w:eastAsia="zh-CN"/>
          </w:rPr>
          <w:t>(三)、建筑工程设计总体要求</w:t>
        </w:r>
        <w:r>
          <w:tab/>
        </w:r>
        <w:r>
          <w:fldChar w:fldCharType="begin"/>
        </w:r>
        <w:r>
          <w:instrText xml:space="preserve"> PAGEREF _Toc6637 \h </w:instrText>
        </w:r>
        <w:r>
          <w:fldChar w:fldCharType="separate"/>
        </w:r>
        <w:r>
          <w:t>5</w:t>
        </w:r>
        <w:r>
          <w:fldChar w:fldCharType="end"/>
        </w:r>
      </w:hyperlink>
    </w:p>
    <w:p>
      <w:pPr>
        <w:pStyle w:val="TOC2"/>
        <w:tabs>
          <w:tab w:val="right" w:leader="dot" w:pos="8306"/>
        </w:tabs>
      </w:pPr>
      <w:hyperlink w:anchor="_Toc23572" w:history="1">
        <w:r>
          <w:rPr>
            <w:rFonts w:ascii="仿宋" w:eastAsia="仿宋" w:hAnsi="仿宋" w:cs="仿宋" w:hint="eastAsia"/>
            <w:lang w:eastAsia="zh-CN"/>
          </w:rPr>
          <w:t>(四)、土建工程建设指标</w:t>
        </w:r>
        <w:r>
          <w:tab/>
        </w:r>
        <w:r>
          <w:fldChar w:fldCharType="begin"/>
        </w:r>
        <w:r>
          <w:instrText xml:space="preserve"> PAGEREF _Toc23572 \h </w:instrText>
        </w:r>
        <w:r>
          <w:fldChar w:fldCharType="separate"/>
        </w:r>
        <w:r>
          <w:t>6</w:t>
        </w:r>
        <w:r>
          <w:fldChar w:fldCharType="end"/>
        </w:r>
      </w:hyperlink>
    </w:p>
    <w:p>
      <w:pPr>
        <w:pStyle w:val="TOC1"/>
        <w:tabs>
          <w:tab w:val="right" w:leader="dot" w:pos="8306"/>
        </w:tabs>
      </w:pPr>
      <w:hyperlink w:anchor="_Toc16555" w:history="1">
        <w:r>
          <w:rPr>
            <w:rFonts w:ascii="仿宋" w:eastAsia="仿宋" w:hAnsi="仿宋" w:cs="仿宋" w:hint="eastAsia"/>
            <w:lang w:eastAsia="zh-CN"/>
          </w:rPr>
          <w:t>二、工艺说明</w:t>
        </w:r>
        <w:r>
          <w:tab/>
        </w:r>
        <w:r>
          <w:fldChar w:fldCharType="begin"/>
        </w:r>
        <w:r>
          <w:instrText xml:space="preserve"> PAGEREF _Toc16555 \h </w:instrText>
        </w:r>
        <w:r>
          <w:fldChar w:fldCharType="separate"/>
        </w:r>
        <w:r>
          <w:t>6</w:t>
        </w:r>
        <w:r>
          <w:fldChar w:fldCharType="end"/>
        </w:r>
      </w:hyperlink>
    </w:p>
    <w:p>
      <w:pPr>
        <w:pStyle w:val="TOC2"/>
        <w:tabs>
          <w:tab w:val="right" w:leader="dot" w:pos="8306"/>
        </w:tabs>
      </w:pPr>
      <w:hyperlink w:anchor="_Toc28210" w:history="1">
        <w:r>
          <w:rPr>
            <w:rFonts w:ascii="仿宋" w:eastAsia="仿宋" w:hAnsi="仿宋" w:cs="仿宋" w:hint="eastAsia"/>
            <w:lang w:eastAsia="zh-CN"/>
          </w:rPr>
          <w:t>(一)、技术管理特点</w:t>
        </w:r>
        <w:r>
          <w:tab/>
        </w:r>
        <w:r>
          <w:fldChar w:fldCharType="begin"/>
        </w:r>
        <w:r>
          <w:instrText xml:space="preserve"> PAGEREF _Toc28210 \h </w:instrText>
        </w:r>
        <w:r>
          <w:fldChar w:fldCharType="separate"/>
        </w:r>
        <w:r>
          <w:t>6</w:t>
        </w:r>
        <w:r>
          <w:fldChar w:fldCharType="end"/>
        </w:r>
      </w:hyperlink>
    </w:p>
    <w:p>
      <w:pPr>
        <w:pStyle w:val="TOC2"/>
        <w:tabs>
          <w:tab w:val="right" w:leader="dot" w:pos="8306"/>
        </w:tabs>
      </w:pPr>
      <w:hyperlink w:anchor="_Toc32364" w:history="1">
        <w:r>
          <w:rPr>
            <w:rFonts w:ascii="仿宋" w:eastAsia="仿宋" w:hAnsi="仿宋" w:cs="仿宋" w:hint="eastAsia"/>
            <w:lang w:eastAsia="zh-CN"/>
          </w:rPr>
          <w:t>(二)、激光精密加工和蚀刻成套设备项目工艺技术设计方案</w:t>
        </w:r>
        <w:r>
          <w:tab/>
        </w:r>
        <w:r>
          <w:fldChar w:fldCharType="begin"/>
        </w:r>
        <w:r>
          <w:instrText xml:space="preserve"> PAGEREF _Toc32364 \h </w:instrText>
        </w:r>
        <w:r>
          <w:fldChar w:fldCharType="separate"/>
        </w:r>
        <w:r>
          <w:t>8</w:t>
        </w:r>
        <w:r>
          <w:fldChar w:fldCharType="end"/>
        </w:r>
      </w:hyperlink>
    </w:p>
    <w:p>
      <w:pPr>
        <w:pStyle w:val="TOC2"/>
        <w:tabs>
          <w:tab w:val="right" w:leader="dot" w:pos="8306"/>
        </w:tabs>
      </w:pPr>
      <w:hyperlink w:anchor="_Toc17216" w:history="1">
        <w:r>
          <w:rPr>
            <w:rFonts w:ascii="仿宋" w:eastAsia="仿宋" w:hAnsi="仿宋" w:cs="仿宋" w:hint="eastAsia"/>
            <w:lang w:eastAsia="zh-CN"/>
          </w:rPr>
          <w:t>(三)、设备选型方案</w:t>
        </w:r>
        <w:r>
          <w:tab/>
        </w:r>
        <w:r>
          <w:fldChar w:fldCharType="begin"/>
        </w:r>
        <w:r>
          <w:instrText xml:space="preserve"> PAGEREF _Toc17216 \h </w:instrText>
        </w:r>
        <w:r>
          <w:fldChar w:fldCharType="separate"/>
        </w:r>
        <w:r>
          <w:t>9</w:t>
        </w:r>
        <w:r>
          <w:fldChar w:fldCharType="end"/>
        </w:r>
      </w:hyperlink>
    </w:p>
    <w:p>
      <w:pPr>
        <w:pStyle w:val="TOC1"/>
        <w:tabs>
          <w:tab w:val="right" w:leader="dot" w:pos="8306"/>
        </w:tabs>
      </w:pPr>
      <w:hyperlink w:anchor="_Toc5228" w:history="1">
        <w:r>
          <w:rPr>
            <w:rFonts w:ascii="仿宋" w:eastAsia="仿宋" w:hAnsi="仿宋" w:cs="仿宋" w:hint="eastAsia"/>
            <w:lang w:eastAsia="zh-CN"/>
          </w:rPr>
          <w:t>三、激光精密加工和蚀刻成套设备项目危机管理</w:t>
        </w:r>
        <w:r>
          <w:tab/>
        </w:r>
        <w:r>
          <w:fldChar w:fldCharType="begin"/>
        </w:r>
        <w:r>
          <w:instrText xml:space="preserve"> PAGEREF _Toc5228 \h </w:instrText>
        </w:r>
        <w:r>
          <w:fldChar w:fldCharType="separate"/>
        </w:r>
        <w:r>
          <w:t>11</w:t>
        </w:r>
        <w:r>
          <w:fldChar w:fldCharType="end"/>
        </w:r>
      </w:hyperlink>
    </w:p>
    <w:p>
      <w:pPr>
        <w:pStyle w:val="TOC2"/>
        <w:tabs>
          <w:tab w:val="right" w:leader="dot" w:pos="8306"/>
        </w:tabs>
      </w:pPr>
      <w:hyperlink w:anchor="_Toc348" w:history="1">
        <w:r>
          <w:rPr>
            <w:rFonts w:ascii="仿宋" w:eastAsia="仿宋" w:hAnsi="仿宋" w:cs="仿宋" w:hint="eastAsia"/>
            <w:lang w:eastAsia="zh-CN"/>
          </w:rPr>
          <w:t>(一)、危机预警与识别</w:t>
        </w:r>
        <w:r>
          <w:tab/>
        </w:r>
        <w:r>
          <w:fldChar w:fldCharType="begin"/>
        </w:r>
        <w:r>
          <w:instrText xml:space="preserve"> PAGEREF _Toc348 \h </w:instrText>
        </w:r>
        <w:r>
          <w:fldChar w:fldCharType="separate"/>
        </w:r>
        <w:r>
          <w:t>11</w:t>
        </w:r>
        <w:r>
          <w:fldChar w:fldCharType="end"/>
        </w:r>
      </w:hyperlink>
    </w:p>
    <w:p>
      <w:pPr>
        <w:pStyle w:val="TOC2"/>
        <w:tabs>
          <w:tab w:val="right" w:leader="dot" w:pos="8306"/>
        </w:tabs>
      </w:pPr>
      <w:hyperlink w:anchor="_Toc6879" w:history="1">
        <w:r>
          <w:rPr>
            <w:rFonts w:ascii="仿宋" w:eastAsia="仿宋" w:hAnsi="仿宋" w:cs="仿宋" w:hint="eastAsia"/>
            <w:lang w:eastAsia="zh-CN"/>
          </w:rPr>
          <w:t>(二)、危机应对与恢复</w:t>
        </w:r>
        <w:r>
          <w:tab/>
        </w:r>
        <w:r>
          <w:fldChar w:fldCharType="begin"/>
        </w:r>
        <w:r>
          <w:instrText xml:space="preserve"> PAGEREF _Toc6879 \h </w:instrText>
        </w:r>
        <w:r>
          <w:fldChar w:fldCharType="separate"/>
        </w:r>
        <w:r>
          <w:t>12</w:t>
        </w:r>
        <w:r>
          <w:fldChar w:fldCharType="end"/>
        </w:r>
      </w:hyperlink>
    </w:p>
    <w:p>
      <w:pPr>
        <w:pStyle w:val="TOC1"/>
        <w:tabs>
          <w:tab w:val="right" w:leader="dot" w:pos="8306"/>
        </w:tabs>
      </w:pPr>
      <w:hyperlink w:anchor="_Toc26704" w:history="1">
        <w:r>
          <w:rPr>
            <w:rFonts w:ascii="仿宋" w:eastAsia="仿宋" w:hAnsi="仿宋" w:cs="仿宋" w:hint="eastAsia"/>
            <w:lang w:eastAsia="zh-CN"/>
          </w:rPr>
          <w:t>四、激光精密加工和蚀刻成套设备项目选址可行性分析</w:t>
        </w:r>
        <w:r>
          <w:tab/>
        </w:r>
        <w:r>
          <w:fldChar w:fldCharType="begin"/>
        </w:r>
        <w:r>
          <w:instrText xml:space="preserve"> PAGEREF _Toc26704 \h </w:instrText>
        </w:r>
        <w:r>
          <w:fldChar w:fldCharType="separate"/>
        </w:r>
        <w:r>
          <w:t>13</w:t>
        </w:r>
        <w:r>
          <w:fldChar w:fldCharType="end"/>
        </w:r>
      </w:hyperlink>
    </w:p>
    <w:p>
      <w:pPr>
        <w:pStyle w:val="TOC2"/>
        <w:tabs>
          <w:tab w:val="right" w:leader="dot" w:pos="8306"/>
        </w:tabs>
      </w:pPr>
      <w:hyperlink w:anchor="_Toc16705" w:history="1">
        <w:r>
          <w:rPr>
            <w:rFonts w:ascii="仿宋" w:eastAsia="仿宋" w:hAnsi="仿宋" w:cs="仿宋" w:hint="eastAsia"/>
            <w:lang w:eastAsia="zh-CN"/>
          </w:rPr>
          <w:t>(一)、激光精密加工和蚀刻成套设备项目选址</w:t>
        </w:r>
        <w:r>
          <w:tab/>
        </w:r>
        <w:r>
          <w:fldChar w:fldCharType="begin"/>
        </w:r>
        <w:r>
          <w:instrText xml:space="preserve"> PAGEREF _Toc16705 \h </w:instrText>
        </w:r>
        <w:r>
          <w:fldChar w:fldCharType="separate"/>
        </w:r>
        <w:r>
          <w:t>13</w:t>
        </w:r>
        <w:r>
          <w:fldChar w:fldCharType="end"/>
        </w:r>
      </w:hyperlink>
    </w:p>
    <w:p>
      <w:pPr>
        <w:pStyle w:val="TOC2"/>
        <w:tabs>
          <w:tab w:val="right" w:leader="dot" w:pos="8306"/>
        </w:tabs>
      </w:pPr>
      <w:hyperlink w:anchor="_Toc1304" w:history="1">
        <w:r>
          <w:rPr>
            <w:rFonts w:ascii="仿宋" w:eastAsia="仿宋" w:hAnsi="仿宋" w:cs="仿宋" w:hint="eastAsia"/>
            <w:lang w:eastAsia="zh-CN"/>
          </w:rPr>
          <w:t>(二)、用地控制指标</w:t>
        </w:r>
        <w:r>
          <w:tab/>
        </w:r>
        <w:r>
          <w:fldChar w:fldCharType="begin"/>
        </w:r>
        <w:r>
          <w:instrText xml:space="preserve"> PAGEREF _Toc1304 \h </w:instrText>
        </w:r>
        <w:r>
          <w:fldChar w:fldCharType="separate"/>
        </w:r>
        <w:r>
          <w:t>13</w:t>
        </w:r>
        <w:r>
          <w:fldChar w:fldCharType="end"/>
        </w:r>
      </w:hyperlink>
    </w:p>
    <w:p>
      <w:pPr>
        <w:pStyle w:val="TOC2"/>
        <w:tabs>
          <w:tab w:val="right" w:leader="dot" w:pos="8306"/>
        </w:tabs>
      </w:pPr>
      <w:hyperlink w:anchor="_Toc22082" w:history="1">
        <w:r>
          <w:rPr>
            <w:rFonts w:ascii="仿宋" w:eastAsia="仿宋" w:hAnsi="仿宋" w:cs="仿宋" w:hint="eastAsia"/>
            <w:lang w:eastAsia="zh-CN"/>
          </w:rPr>
          <w:t>(三)、节约用地措施</w:t>
        </w:r>
        <w:r>
          <w:tab/>
        </w:r>
        <w:r>
          <w:fldChar w:fldCharType="begin"/>
        </w:r>
        <w:r>
          <w:instrText xml:space="preserve"> PAGEREF _Toc22082 \h </w:instrText>
        </w:r>
        <w:r>
          <w:fldChar w:fldCharType="separate"/>
        </w:r>
        <w:r>
          <w:t>16</w:t>
        </w:r>
        <w:r>
          <w:fldChar w:fldCharType="end"/>
        </w:r>
      </w:hyperlink>
    </w:p>
    <w:p>
      <w:pPr>
        <w:pStyle w:val="TOC2"/>
        <w:tabs>
          <w:tab w:val="right" w:leader="dot" w:pos="8306"/>
        </w:tabs>
      </w:pPr>
      <w:hyperlink w:anchor="_Toc12962" w:history="1">
        <w:r>
          <w:rPr>
            <w:rFonts w:ascii="仿宋" w:eastAsia="仿宋" w:hAnsi="仿宋" w:cs="仿宋" w:hint="eastAsia"/>
            <w:lang w:eastAsia="zh-CN"/>
          </w:rPr>
          <w:t>(四)、总图布置方案</w:t>
        </w:r>
        <w:r>
          <w:tab/>
        </w:r>
        <w:r>
          <w:fldChar w:fldCharType="begin"/>
        </w:r>
        <w:r>
          <w:instrText xml:space="preserve"> PAGEREF _Toc12962 \h </w:instrText>
        </w:r>
        <w:r>
          <w:fldChar w:fldCharType="separate"/>
        </w:r>
        <w:r>
          <w:t>17</w:t>
        </w:r>
        <w:r>
          <w:fldChar w:fldCharType="end"/>
        </w:r>
      </w:hyperlink>
    </w:p>
    <w:p>
      <w:pPr>
        <w:pStyle w:val="TOC2"/>
        <w:tabs>
          <w:tab w:val="right" w:leader="dot" w:pos="8306"/>
        </w:tabs>
      </w:pPr>
      <w:hyperlink w:anchor="_Toc31768" w:history="1">
        <w:r>
          <w:rPr>
            <w:rFonts w:ascii="仿宋" w:eastAsia="仿宋" w:hAnsi="仿宋" w:cs="仿宋" w:hint="eastAsia"/>
            <w:lang w:eastAsia="zh-CN"/>
          </w:rPr>
          <w:t>(五)、选址综合评价</w:t>
        </w:r>
        <w:r>
          <w:tab/>
        </w:r>
        <w:r>
          <w:fldChar w:fldCharType="begin"/>
        </w:r>
        <w:r>
          <w:instrText xml:space="preserve"> PAGEREF _Toc31768 \h </w:instrText>
        </w:r>
        <w:r>
          <w:fldChar w:fldCharType="separate"/>
        </w:r>
        <w:r>
          <w:t>18</w:t>
        </w:r>
        <w:r>
          <w:fldChar w:fldCharType="end"/>
        </w:r>
      </w:hyperlink>
    </w:p>
    <w:p>
      <w:pPr>
        <w:pStyle w:val="TOC1"/>
        <w:tabs>
          <w:tab w:val="right" w:leader="dot" w:pos="8306"/>
        </w:tabs>
      </w:pPr>
      <w:hyperlink w:anchor="_Toc22882" w:history="1">
        <w:r>
          <w:rPr>
            <w:rFonts w:ascii="仿宋" w:eastAsia="仿宋" w:hAnsi="仿宋" w:cs="仿宋" w:hint="eastAsia"/>
            <w:lang w:eastAsia="zh-CN"/>
          </w:rPr>
          <w:t>五、激光精密加工和蚀刻成套设备项目可持续发展</w:t>
        </w:r>
        <w:r>
          <w:tab/>
        </w:r>
        <w:r>
          <w:fldChar w:fldCharType="begin"/>
        </w:r>
        <w:r>
          <w:instrText xml:space="preserve"> PAGEREF _Toc22882 \h </w:instrText>
        </w:r>
        <w:r>
          <w:fldChar w:fldCharType="separate"/>
        </w:r>
        <w:r>
          <w:t>19</w:t>
        </w:r>
        <w:r>
          <w:fldChar w:fldCharType="end"/>
        </w:r>
      </w:hyperlink>
    </w:p>
    <w:p>
      <w:pPr>
        <w:pStyle w:val="TOC2"/>
        <w:tabs>
          <w:tab w:val="right" w:leader="dot" w:pos="8306"/>
        </w:tabs>
      </w:pPr>
      <w:hyperlink w:anchor="_Toc21553" w:history="1">
        <w:r>
          <w:rPr>
            <w:rFonts w:ascii="仿宋" w:eastAsia="仿宋" w:hAnsi="仿宋" w:cs="仿宋" w:hint="eastAsia"/>
            <w:lang w:eastAsia="zh-CN"/>
          </w:rPr>
          <w:t>(一)、可持续战略与实践</w:t>
        </w:r>
        <w:r>
          <w:tab/>
        </w:r>
        <w:r>
          <w:fldChar w:fldCharType="begin"/>
        </w:r>
        <w:r>
          <w:instrText xml:space="preserve"> PAGEREF _Toc21553 \h </w:instrText>
        </w:r>
        <w:r>
          <w:fldChar w:fldCharType="separate"/>
        </w:r>
        <w:r>
          <w:t>19</w:t>
        </w:r>
        <w:r>
          <w:fldChar w:fldCharType="end"/>
        </w:r>
      </w:hyperlink>
    </w:p>
    <w:p>
      <w:pPr>
        <w:pStyle w:val="TOC2"/>
        <w:tabs>
          <w:tab w:val="right" w:leader="dot" w:pos="8306"/>
        </w:tabs>
      </w:pPr>
      <w:hyperlink w:anchor="_Toc11441" w:history="1">
        <w:r>
          <w:rPr>
            <w:rFonts w:ascii="仿宋" w:eastAsia="仿宋" w:hAnsi="仿宋" w:cs="仿宋" w:hint="eastAsia"/>
            <w:lang w:eastAsia="zh-CN"/>
          </w:rPr>
          <w:t>(二)、环保与社会责任</w:t>
        </w:r>
        <w:r>
          <w:tab/>
        </w:r>
        <w:r>
          <w:fldChar w:fldCharType="begin"/>
        </w:r>
        <w:r>
          <w:instrText xml:space="preserve"> PAGEREF _Toc11441 \h </w:instrText>
        </w:r>
        <w:r>
          <w:fldChar w:fldCharType="separate"/>
        </w:r>
        <w:r>
          <w:t>20</w:t>
        </w:r>
        <w:r>
          <w:fldChar w:fldCharType="end"/>
        </w:r>
      </w:hyperlink>
    </w:p>
    <w:p>
      <w:pPr>
        <w:pStyle w:val="TOC1"/>
        <w:tabs>
          <w:tab w:val="right" w:leader="dot" w:pos="8306"/>
        </w:tabs>
      </w:pPr>
      <w:hyperlink w:anchor="_Toc1434" w:history="1">
        <w:r>
          <w:rPr>
            <w:rFonts w:ascii="仿宋" w:eastAsia="仿宋" w:hAnsi="仿宋" w:cs="仿宋" w:hint="eastAsia"/>
            <w:lang w:eastAsia="zh-CN"/>
          </w:rPr>
          <w:t>六、激光精密加工和蚀刻成套设备项目建设单位说明</w:t>
        </w:r>
        <w:r>
          <w:tab/>
        </w:r>
        <w:r>
          <w:fldChar w:fldCharType="begin"/>
        </w:r>
        <w:r>
          <w:instrText xml:space="preserve"> PAGEREF _Toc1434 \h </w:instrText>
        </w:r>
        <w:r>
          <w:fldChar w:fldCharType="separate"/>
        </w:r>
        <w:r>
          <w:t>21</w:t>
        </w:r>
        <w:r>
          <w:fldChar w:fldCharType="end"/>
        </w:r>
      </w:hyperlink>
    </w:p>
    <w:p>
      <w:pPr>
        <w:pStyle w:val="TOC2"/>
        <w:tabs>
          <w:tab w:val="right" w:leader="dot" w:pos="8306"/>
        </w:tabs>
      </w:pPr>
      <w:hyperlink w:anchor="_Toc23576" w:history="1">
        <w:r>
          <w:rPr>
            <w:rFonts w:ascii="仿宋" w:eastAsia="仿宋" w:hAnsi="仿宋" w:cs="仿宋" w:hint="eastAsia"/>
            <w:lang w:eastAsia="zh-CN"/>
          </w:rPr>
          <w:t>(一)、激光精密加工和蚀刻成套设备项目承办单位基本情况</w:t>
        </w:r>
        <w:r>
          <w:tab/>
        </w:r>
        <w:r>
          <w:fldChar w:fldCharType="begin"/>
        </w:r>
        <w:r>
          <w:instrText xml:space="preserve"> PAGEREF _Toc23576 \h </w:instrText>
        </w:r>
        <w:r>
          <w:fldChar w:fldCharType="separate"/>
        </w:r>
        <w:r>
          <w:t>21</w:t>
        </w:r>
        <w:r>
          <w:fldChar w:fldCharType="end"/>
        </w:r>
      </w:hyperlink>
    </w:p>
    <w:p>
      <w:pPr>
        <w:pStyle w:val="TOC2"/>
        <w:tabs>
          <w:tab w:val="right" w:leader="dot" w:pos="8306"/>
        </w:tabs>
      </w:pPr>
      <w:hyperlink w:anchor="_Toc23456" w:history="1">
        <w:r>
          <w:rPr>
            <w:rFonts w:ascii="仿宋" w:eastAsia="仿宋" w:hAnsi="仿宋" w:cs="仿宋" w:hint="eastAsia"/>
            <w:lang w:eastAsia="zh-CN"/>
          </w:rPr>
          <w:t>(二)、公司经济效益分析</w:t>
        </w:r>
        <w:r>
          <w:tab/>
        </w:r>
        <w:r>
          <w:fldChar w:fldCharType="begin"/>
        </w:r>
        <w:r>
          <w:instrText xml:space="preserve"> PAGEREF _Toc23456 \h </w:instrText>
        </w:r>
        <w:r>
          <w:fldChar w:fldCharType="separate"/>
        </w:r>
        <w:r>
          <w:t>22</w:t>
        </w:r>
        <w:r>
          <w:fldChar w:fldCharType="end"/>
        </w:r>
      </w:hyperlink>
    </w:p>
    <w:p>
      <w:pPr>
        <w:pStyle w:val="TOC1"/>
        <w:tabs>
          <w:tab w:val="right" w:leader="dot" w:pos="8306"/>
        </w:tabs>
      </w:pPr>
      <w:hyperlink w:anchor="_Toc8177" w:history="1">
        <w:r>
          <w:rPr>
            <w:rFonts w:ascii="仿宋" w:eastAsia="仿宋" w:hAnsi="仿宋" w:cs="仿宋" w:hint="eastAsia"/>
            <w:lang w:eastAsia="zh-CN"/>
          </w:rPr>
          <w:t>七、激光精密加工和蚀刻成套设备项目经营效益</w:t>
        </w:r>
        <w:r>
          <w:tab/>
        </w:r>
        <w:r>
          <w:fldChar w:fldCharType="begin"/>
        </w:r>
        <w:r>
          <w:instrText xml:space="preserve"> PAGEREF _Toc8177 \h </w:instrText>
        </w:r>
        <w:r>
          <w:fldChar w:fldCharType="separate"/>
        </w:r>
        <w:r>
          <w:t>23</w:t>
        </w:r>
        <w:r>
          <w:fldChar w:fldCharType="end"/>
        </w:r>
      </w:hyperlink>
    </w:p>
    <w:p>
      <w:pPr>
        <w:pStyle w:val="TOC2"/>
        <w:tabs>
          <w:tab w:val="right" w:leader="dot" w:pos="8306"/>
        </w:tabs>
      </w:pPr>
      <w:hyperlink w:anchor="_Toc26227" w:history="1">
        <w:r>
          <w:rPr>
            <w:rFonts w:ascii="仿宋" w:eastAsia="仿宋" w:hAnsi="仿宋" w:cs="仿宋" w:hint="eastAsia"/>
            <w:lang w:eastAsia="zh-CN"/>
          </w:rPr>
          <w:t>(一)、经济评价财务测算</w:t>
        </w:r>
        <w:r>
          <w:tab/>
        </w:r>
        <w:r>
          <w:fldChar w:fldCharType="begin"/>
        </w:r>
        <w:r>
          <w:instrText xml:space="preserve"> PAGEREF _Toc26227 \h </w:instrText>
        </w:r>
        <w:r>
          <w:fldChar w:fldCharType="separate"/>
        </w:r>
        <w:r>
          <w:t>23</w:t>
        </w:r>
        <w:r>
          <w:fldChar w:fldCharType="end"/>
        </w:r>
      </w:hyperlink>
    </w:p>
    <w:p>
      <w:pPr>
        <w:pStyle w:val="TOC2"/>
        <w:tabs>
          <w:tab w:val="right" w:leader="dot" w:pos="8306"/>
        </w:tabs>
      </w:pPr>
      <w:hyperlink w:anchor="_Toc1024" w:history="1">
        <w:r>
          <w:rPr>
            <w:rFonts w:ascii="仿宋" w:eastAsia="仿宋" w:hAnsi="仿宋" w:cs="仿宋" w:hint="eastAsia"/>
            <w:lang w:eastAsia="zh-CN"/>
          </w:rPr>
          <w:t>(二)、激光精密加工和蚀刻成套设备项目盈利能力分析</w:t>
        </w:r>
        <w:r>
          <w:tab/>
        </w:r>
        <w:r>
          <w:fldChar w:fldCharType="begin"/>
        </w:r>
        <w:r>
          <w:instrText xml:space="preserve"> PAGEREF _Toc1024 \h </w:instrText>
        </w:r>
        <w:r>
          <w:fldChar w:fldCharType="separate"/>
        </w:r>
        <w:r>
          <w:t>24</w:t>
        </w:r>
        <w:r>
          <w:fldChar w:fldCharType="end"/>
        </w:r>
      </w:hyperlink>
    </w:p>
    <w:p>
      <w:pPr>
        <w:pStyle w:val="TOC1"/>
        <w:tabs>
          <w:tab w:val="right" w:leader="dot" w:pos="8306"/>
        </w:tabs>
      </w:pPr>
      <w:hyperlink w:anchor="_Toc5580" w:history="1">
        <w:r>
          <w:rPr>
            <w:rFonts w:ascii="仿宋" w:eastAsia="仿宋" w:hAnsi="仿宋" w:cs="仿宋" w:hint="eastAsia"/>
            <w:lang w:eastAsia="zh-CN"/>
          </w:rPr>
          <w:t>八、激光精密加工和蚀刻成套设备项目技术管理</w:t>
        </w:r>
        <w:r>
          <w:tab/>
        </w:r>
        <w:r>
          <w:fldChar w:fldCharType="begin"/>
        </w:r>
        <w:r>
          <w:instrText xml:space="preserve"> PAGEREF _Toc5580 \h </w:instrText>
        </w:r>
        <w:r>
          <w:fldChar w:fldCharType="separate"/>
        </w:r>
        <w:r>
          <w:t>25</w:t>
        </w:r>
        <w:r>
          <w:fldChar w:fldCharType="end"/>
        </w:r>
      </w:hyperlink>
    </w:p>
    <w:p>
      <w:pPr>
        <w:pStyle w:val="TOC2"/>
        <w:tabs>
          <w:tab w:val="right" w:leader="dot" w:pos="8306"/>
        </w:tabs>
      </w:pPr>
      <w:hyperlink w:anchor="_Toc10234" w:history="1">
        <w:r>
          <w:rPr>
            <w:rFonts w:ascii="仿宋" w:eastAsia="仿宋" w:hAnsi="仿宋" w:cs="仿宋" w:hint="eastAsia"/>
            <w:lang w:eastAsia="zh-CN"/>
          </w:rPr>
          <w:t>(一)、技术方案选用方向</w:t>
        </w:r>
        <w:r>
          <w:tab/>
        </w:r>
        <w:r>
          <w:fldChar w:fldCharType="begin"/>
        </w:r>
        <w:r>
          <w:instrText xml:space="preserve"> PAGEREF _Toc10234 \h </w:instrText>
        </w:r>
        <w:r>
          <w:fldChar w:fldCharType="separate"/>
        </w:r>
        <w:r>
          <w:t>25</w:t>
        </w:r>
        <w:r>
          <w:fldChar w:fldCharType="end"/>
        </w:r>
      </w:hyperlink>
    </w:p>
    <w:p>
      <w:pPr>
        <w:pStyle w:val="TOC2"/>
        <w:tabs>
          <w:tab w:val="right" w:leader="dot" w:pos="8306"/>
        </w:tabs>
      </w:pPr>
      <w:hyperlink w:anchor="_Toc17901" w:history="1">
        <w:r>
          <w:rPr>
            <w:rFonts w:ascii="仿宋" w:eastAsia="仿宋" w:hAnsi="仿宋" w:cs="仿宋" w:hint="eastAsia"/>
            <w:lang w:eastAsia="zh-CN"/>
          </w:rPr>
          <w:t>(二)、工艺技术方案选用原则</w:t>
        </w:r>
        <w:r>
          <w:tab/>
        </w:r>
        <w:r>
          <w:fldChar w:fldCharType="begin"/>
        </w:r>
        <w:r>
          <w:instrText xml:space="preserve"> PAGEREF _Toc17901 \h </w:instrText>
        </w:r>
        <w:r>
          <w:fldChar w:fldCharType="separate"/>
        </w:r>
        <w:r>
          <w:t>27</w:t>
        </w:r>
        <w:r>
          <w:fldChar w:fldCharType="end"/>
        </w:r>
      </w:hyperlink>
    </w:p>
    <w:p>
      <w:pPr>
        <w:pStyle w:val="TOC2"/>
        <w:tabs>
          <w:tab w:val="right" w:leader="dot" w:pos="8306"/>
        </w:tabs>
      </w:pPr>
      <w:hyperlink w:anchor="_Toc11533" w:history="1">
        <w:r>
          <w:rPr>
            <w:rFonts w:ascii="仿宋" w:eastAsia="仿宋" w:hAnsi="仿宋" w:cs="仿宋" w:hint="eastAsia"/>
            <w:lang w:eastAsia="zh-CN"/>
          </w:rPr>
          <w:t>(三)、工艺技术方案要求</w:t>
        </w:r>
        <w:r>
          <w:tab/>
        </w:r>
        <w:r>
          <w:fldChar w:fldCharType="begin"/>
        </w:r>
        <w:r>
          <w:instrText xml:space="preserve"> PAGEREF _Toc11533 \h </w:instrText>
        </w:r>
        <w:r>
          <w:fldChar w:fldCharType="separate"/>
        </w:r>
        <w:r>
          <w:t>29</w:t>
        </w:r>
        <w:r>
          <w:fldChar w:fldCharType="end"/>
        </w:r>
      </w:hyperlink>
    </w:p>
    <w:p>
      <w:pPr>
        <w:pStyle w:val="TOC1"/>
        <w:tabs>
          <w:tab w:val="right" w:leader="dot" w:pos="8306"/>
        </w:tabs>
      </w:pPr>
      <w:hyperlink w:anchor="_Toc14705" w:history="1">
        <w:r>
          <w:rPr>
            <w:rFonts w:ascii="仿宋" w:eastAsia="仿宋" w:hAnsi="仿宋" w:cs="仿宋" w:hint="eastAsia"/>
            <w:lang w:eastAsia="zh-CN"/>
          </w:rPr>
          <w:t>九、激光精密加工和蚀刻成套设备项目创新与研发</w:t>
        </w:r>
        <w:r>
          <w:tab/>
        </w:r>
        <w:r>
          <w:fldChar w:fldCharType="begin"/>
        </w:r>
        <w:r>
          <w:instrText xml:space="preserve"> PAGEREF _Toc14705 \h </w:instrText>
        </w:r>
        <w:r>
          <w:fldChar w:fldCharType="separate"/>
        </w:r>
        <w:r>
          <w:t>31</w:t>
        </w:r>
        <w:r>
          <w:fldChar w:fldCharType="end"/>
        </w:r>
      </w:hyperlink>
    </w:p>
    <w:p>
      <w:pPr>
        <w:pStyle w:val="TOC2"/>
        <w:tabs>
          <w:tab w:val="right" w:leader="dot" w:pos="8306"/>
        </w:tabs>
      </w:pPr>
      <w:hyperlink w:anchor="_Toc233" w:history="1">
        <w:r>
          <w:rPr>
            <w:rFonts w:ascii="仿宋" w:eastAsia="仿宋" w:hAnsi="仿宋" w:cs="仿宋" w:hint="eastAsia"/>
            <w:lang w:eastAsia="zh-CN"/>
          </w:rPr>
          <w:t>(一)、创新策略与方向</w:t>
        </w:r>
        <w:r>
          <w:tab/>
        </w:r>
        <w:r>
          <w:fldChar w:fldCharType="begin"/>
        </w:r>
        <w:r>
          <w:instrText xml:space="preserve"> PAGEREF _Toc233 \h </w:instrText>
        </w:r>
        <w:r>
          <w:fldChar w:fldCharType="separate"/>
        </w:r>
        <w:r>
          <w:t>31</w:t>
        </w:r>
        <w:r>
          <w:fldChar w:fldCharType="end"/>
        </w:r>
      </w:hyperlink>
    </w:p>
    <w:p>
      <w:pPr>
        <w:pStyle w:val="TOC2"/>
        <w:tabs>
          <w:tab w:val="right" w:leader="dot" w:pos="8306"/>
        </w:tabs>
      </w:pPr>
      <w:hyperlink w:anchor="_Toc3780" w:history="1">
        <w:r>
          <w:rPr>
            <w:rFonts w:ascii="仿宋" w:eastAsia="仿宋" w:hAnsi="仿宋" w:cs="仿宋" w:hint="eastAsia"/>
            <w:lang w:eastAsia="zh-CN"/>
          </w:rPr>
          <w:t>(二)、研发规划与投入</w:t>
        </w:r>
        <w:r>
          <w:tab/>
        </w:r>
        <w:r>
          <w:fldChar w:fldCharType="begin"/>
        </w:r>
        <w:r>
          <w:instrText xml:space="preserve"> PAGEREF _Toc3780 \h </w:instrText>
        </w:r>
        <w:r>
          <w:fldChar w:fldCharType="separate"/>
        </w:r>
        <w:r>
          <w:t>33</w:t>
        </w:r>
        <w:r>
          <w:fldChar w:fldCharType="end"/>
        </w:r>
      </w:hyperlink>
    </w:p>
    <w:p>
      <w:pPr>
        <w:pStyle w:val="TOC1"/>
        <w:tabs>
          <w:tab w:val="right" w:leader="dot" w:pos="8306"/>
        </w:tabs>
      </w:pPr>
      <w:hyperlink w:anchor="_Toc31198" w:history="1">
        <w:r>
          <w:rPr>
            <w:rFonts w:ascii="仿宋" w:eastAsia="仿宋" w:hAnsi="仿宋" w:cs="仿宋" w:hint="eastAsia"/>
            <w:lang w:eastAsia="zh-CN"/>
          </w:rPr>
          <w:t>十、激光精密加工和蚀刻成套设备项目人力资源管理</w:t>
        </w:r>
        <w:r>
          <w:tab/>
        </w:r>
        <w:r>
          <w:fldChar w:fldCharType="begin"/>
        </w:r>
        <w:r>
          <w:instrText xml:space="preserve"> PAGEREF _Toc31198 \h </w:instrText>
        </w:r>
        <w:r>
          <w:fldChar w:fldCharType="separate"/>
        </w:r>
        <w:r>
          <w:t>35</w:t>
        </w:r>
        <w:r>
          <w:fldChar w:fldCharType="end"/>
        </w:r>
      </w:hyperlink>
    </w:p>
    <w:p>
      <w:pPr>
        <w:pStyle w:val="TOC2"/>
        <w:tabs>
          <w:tab w:val="right" w:leader="dot" w:pos="8306"/>
        </w:tabs>
      </w:pPr>
      <w:hyperlink w:anchor="_Toc30270" w:history="1">
        <w:r>
          <w:rPr>
            <w:rFonts w:ascii="仿宋" w:eastAsia="仿宋" w:hAnsi="仿宋" w:cs="仿宋" w:hint="eastAsia"/>
            <w:lang w:eastAsia="zh-CN"/>
          </w:rPr>
          <w:t>(一)、建立健全的预算管理制度</w:t>
        </w:r>
        <w:r>
          <w:tab/>
        </w:r>
        <w:r>
          <w:fldChar w:fldCharType="begin"/>
        </w:r>
        <w:r>
          <w:instrText xml:space="preserve"> PAGEREF _Toc30270 \h </w:instrText>
        </w:r>
        <w:r>
          <w:fldChar w:fldCharType="separate"/>
        </w:r>
        <w:r>
          <w:t>35</w:t>
        </w:r>
        <w:r>
          <w:fldChar w:fldCharType="end"/>
        </w:r>
      </w:hyperlink>
    </w:p>
    <w:p>
      <w:pPr>
        <w:pStyle w:val="TOC2"/>
        <w:tabs>
          <w:tab w:val="right" w:leader="dot" w:pos="8306"/>
        </w:tabs>
      </w:pPr>
      <w:hyperlink w:anchor="_Toc5379" w:history="1">
        <w:r>
          <w:rPr>
            <w:rFonts w:ascii="仿宋" w:eastAsia="仿宋" w:hAnsi="仿宋" w:cs="仿宋" w:hint="eastAsia"/>
            <w:lang w:eastAsia="zh-CN"/>
          </w:rPr>
          <w:t>(二)、加强资金流动监控</w:t>
        </w:r>
        <w:r>
          <w:tab/>
        </w:r>
        <w:r>
          <w:fldChar w:fldCharType="begin"/>
        </w:r>
        <w:r>
          <w:instrText xml:space="preserve"> PAGEREF _Toc5379 \h </w:instrText>
        </w:r>
        <w:r>
          <w:fldChar w:fldCharType="separate"/>
        </w:r>
        <w:r>
          <w:t>37</w:t>
        </w:r>
        <w:r>
          <w:fldChar w:fldCharType="end"/>
        </w:r>
      </w:hyperlink>
    </w:p>
    <w:p>
      <w:pPr>
        <w:pStyle w:val="TOC2"/>
        <w:tabs>
          <w:tab w:val="right" w:leader="dot" w:pos="8306"/>
        </w:tabs>
      </w:pPr>
      <w:hyperlink w:anchor="_Toc22070" w:history="1">
        <w:r>
          <w:rPr>
            <w:rFonts w:ascii="仿宋" w:eastAsia="仿宋" w:hAnsi="仿宋" w:cs="仿宋" w:hint="eastAsia"/>
            <w:lang w:eastAsia="zh-CN"/>
          </w:rPr>
          <w:t>(三)、制定完善的风险控制机制</w:t>
        </w:r>
        <w:r>
          <w:tab/>
        </w:r>
        <w:r>
          <w:fldChar w:fldCharType="begin"/>
        </w:r>
        <w:r>
          <w:instrText xml:space="preserve"> PAGEREF _Toc22070 \h </w:instrText>
        </w:r>
        <w:r>
          <w:fldChar w:fldCharType="separate"/>
        </w:r>
        <w:r>
          <w:t>38</w:t>
        </w:r>
        <w:r>
          <w:fldChar w:fldCharType="end"/>
        </w:r>
      </w:hyperlink>
    </w:p>
    <w:p>
      <w:pPr>
        <w:pStyle w:val="TOC2"/>
        <w:tabs>
          <w:tab w:val="right" w:leader="dot" w:pos="8306"/>
        </w:tabs>
      </w:pPr>
      <w:hyperlink w:anchor="_Toc28296" w:history="1">
        <w:r>
          <w:rPr>
            <w:rFonts w:ascii="仿宋" w:eastAsia="仿宋" w:hAnsi="仿宋" w:cs="仿宋" w:hint="eastAsia"/>
            <w:lang w:eastAsia="zh-CN"/>
          </w:rPr>
          <w:t>(四)、优化成本管理</w:t>
        </w:r>
        <w:r>
          <w:tab/>
        </w:r>
        <w:r>
          <w:fldChar w:fldCharType="begin"/>
        </w:r>
        <w:r>
          <w:instrText xml:space="preserve"> PAGEREF _Toc28296 \h </w:instrText>
        </w:r>
        <w:r>
          <w:fldChar w:fldCharType="separate"/>
        </w:r>
        <w:r>
          <w:t>39</w:t>
        </w:r>
        <w:r>
          <w:fldChar w:fldCharType="end"/>
        </w:r>
      </w:hyperlink>
    </w:p>
    <w:p>
      <w:pPr>
        <w:pStyle w:val="TOC1"/>
        <w:tabs>
          <w:tab w:val="right" w:leader="dot" w:pos="8306"/>
        </w:tabs>
      </w:pPr>
      <w:hyperlink w:anchor="_Toc13446" w:history="1">
        <w:r>
          <w:rPr>
            <w:rFonts w:ascii="仿宋" w:eastAsia="仿宋" w:hAnsi="仿宋" w:cs="仿宋" w:hint="eastAsia"/>
            <w:lang w:eastAsia="zh-CN"/>
          </w:rPr>
          <w:t>十一、激光精密加工和蚀刻成套设备项目计划安排</w:t>
        </w:r>
        <w:r>
          <w:tab/>
        </w:r>
        <w:r>
          <w:fldChar w:fldCharType="begin"/>
        </w:r>
        <w:r>
          <w:instrText xml:space="preserve"> PAGEREF _Toc13446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484" w:history="1">
        <w:r>
          <w:rPr>
            <w:rFonts w:ascii="仿宋" w:eastAsia="仿宋" w:hAnsi="仿宋" w:cs="仿宋" w:hint="eastAsia"/>
            <w:lang w:eastAsia="zh-CN"/>
          </w:rPr>
          <w:t>(一)、建设周期</w:t>
        </w:r>
        <w:r>
          <w:tab/>
        </w:r>
        <w:r>
          <w:fldChar w:fldCharType="begin"/>
        </w:r>
        <w:r>
          <w:instrText xml:space="preserve"> PAGEREF _Toc3484 \h </w:instrText>
        </w:r>
        <w:r>
          <w:fldChar w:fldCharType="separate"/>
        </w:r>
        <w:r>
          <w:t>41</w:t>
        </w:r>
        <w:r>
          <w:fldChar w:fldCharType="end"/>
        </w:r>
      </w:hyperlink>
    </w:p>
    <w:p>
      <w:pPr>
        <w:pStyle w:val="TOC2"/>
        <w:tabs>
          <w:tab w:val="right" w:leader="dot" w:pos="8306"/>
        </w:tabs>
      </w:pPr>
      <w:hyperlink w:anchor="_Toc14681" w:history="1">
        <w:r>
          <w:rPr>
            <w:rFonts w:ascii="仿宋" w:eastAsia="仿宋" w:hAnsi="仿宋" w:cs="仿宋" w:hint="eastAsia"/>
            <w:lang w:eastAsia="zh-CN"/>
          </w:rPr>
          <w:t>(二)、建设进度</w:t>
        </w:r>
        <w:r>
          <w:tab/>
        </w:r>
        <w:r>
          <w:fldChar w:fldCharType="begin"/>
        </w:r>
        <w:r>
          <w:instrText xml:space="preserve"> PAGEREF _Toc14681 \h </w:instrText>
        </w:r>
        <w:r>
          <w:fldChar w:fldCharType="separate"/>
        </w:r>
        <w:r>
          <w:t>42</w:t>
        </w:r>
        <w:r>
          <w:fldChar w:fldCharType="end"/>
        </w:r>
      </w:hyperlink>
    </w:p>
    <w:p>
      <w:pPr>
        <w:pStyle w:val="TOC2"/>
        <w:tabs>
          <w:tab w:val="right" w:leader="dot" w:pos="8306"/>
        </w:tabs>
      </w:pPr>
      <w:hyperlink w:anchor="_Toc10389" w:history="1">
        <w:r>
          <w:rPr>
            <w:rFonts w:ascii="仿宋" w:eastAsia="仿宋" w:hAnsi="仿宋" w:cs="仿宋" w:hint="eastAsia"/>
            <w:lang w:eastAsia="zh-CN"/>
          </w:rPr>
          <w:t>(三)、进度安排注意事项</w:t>
        </w:r>
        <w:r>
          <w:tab/>
        </w:r>
        <w:r>
          <w:fldChar w:fldCharType="begin"/>
        </w:r>
        <w:r>
          <w:instrText xml:space="preserve"> PAGEREF _Toc10389 \h </w:instrText>
        </w:r>
        <w:r>
          <w:fldChar w:fldCharType="separate"/>
        </w:r>
        <w:r>
          <w:t>43</w:t>
        </w:r>
        <w:r>
          <w:fldChar w:fldCharType="end"/>
        </w:r>
      </w:hyperlink>
    </w:p>
    <w:p>
      <w:pPr>
        <w:pStyle w:val="TOC2"/>
        <w:tabs>
          <w:tab w:val="right" w:leader="dot" w:pos="8306"/>
        </w:tabs>
      </w:pPr>
      <w:hyperlink w:anchor="_Toc32056" w:history="1">
        <w:r>
          <w:rPr>
            <w:rFonts w:ascii="仿宋" w:eastAsia="仿宋" w:hAnsi="仿宋" w:cs="仿宋" w:hint="eastAsia"/>
            <w:lang w:eastAsia="zh-CN"/>
          </w:rPr>
          <w:t>(四)、人力资源配置</w:t>
        </w:r>
        <w:r>
          <w:tab/>
        </w:r>
        <w:r>
          <w:fldChar w:fldCharType="begin"/>
        </w:r>
        <w:r>
          <w:instrText xml:space="preserve"> PAGEREF _Toc32056 \h </w:instrText>
        </w:r>
        <w:r>
          <w:fldChar w:fldCharType="separate"/>
        </w:r>
        <w:r>
          <w:t>45</w:t>
        </w:r>
        <w:r>
          <w:fldChar w:fldCharType="end"/>
        </w:r>
      </w:hyperlink>
    </w:p>
    <w:p>
      <w:pPr>
        <w:pStyle w:val="TOC1"/>
        <w:tabs>
          <w:tab w:val="right" w:leader="dot" w:pos="8306"/>
        </w:tabs>
      </w:pPr>
      <w:hyperlink w:anchor="_Toc27448" w:history="1">
        <w:r>
          <w:rPr>
            <w:rFonts w:ascii="仿宋" w:eastAsia="仿宋" w:hAnsi="仿宋" w:cs="仿宋" w:hint="eastAsia"/>
            <w:lang w:eastAsia="zh-CN"/>
          </w:rPr>
          <w:t>十二、激光精密加工和蚀刻成套设备项目风险管理</w:t>
        </w:r>
        <w:r>
          <w:tab/>
        </w:r>
        <w:r>
          <w:fldChar w:fldCharType="begin"/>
        </w:r>
        <w:r>
          <w:instrText xml:space="preserve"> PAGEREF _Toc27448 \h </w:instrText>
        </w:r>
        <w:r>
          <w:fldChar w:fldCharType="separate"/>
        </w:r>
        <w:r>
          <w:t>46</w:t>
        </w:r>
        <w:r>
          <w:fldChar w:fldCharType="end"/>
        </w:r>
      </w:hyperlink>
    </w:p>
    <w:p>
      <w:pPr>
        <w:pStyle w:val="TOC2"/>
        <w:tabs>
          <w:tab w:val="right" w:leader="dot" w:pos="8306"/>
        </w:tabs>
      </w:pPr>
      <w:hyperlink w:anchor="_Toc9393" w:history="1">
        <w:r>
          <w:rPr>
            <w:rFonts w:ascii="仿宋" w:eastAsia="仿宋" w:hAnsi="仿宋" w:cs="仿宋" w:hint="eastAsia"/>
            <w:lang w:eastAsia="zh-CN"/>
          </w:rPr>
          <w:t>(一)、风险识别与评估</w:t>
        </w:r>
        <w:r>
          <w:tab/>
        </w:r>
        <w:r>
          <w:fldChar w:fldCharType="begin"/>
        </w:r>
        <w:r>
          <w:instrText xml:space="preserve"> PAGEREF _Toc9393 \h </w:instrText>
        </w:r>
        <w:r>
          <w:fldChar w:fldCharType="separate"/>
        </w:r>
        <w:r>
          <w:t>46</w:t>
        </w:r>
        <w:r>
          <w:fldChar w:fldCharType="end"/>
        </w:r>
      </w:hyperlink>
    </w:p>
    <w:p>
      <w:pPr>
        <w:pStyle w:val="TOC2"/>
        <w:tabs>
          <w:tab w:val="right" w:leader="dot" w:pos="8306"/>
        </w:tabs>
      </w:pPr>
      <w:hyperlink w:anchor="_Toc22605" w:history="1">
        <w:r>
          <w:rPr>
            <w:rFonts w:ascii="仿宋" w:eastAsia="仿宋" w:hAnsi="仿宋" w:cs="仿宋" w:hint="eastAsia"/>
            <w:lang w:eastAsia="zh-CN"/>
          </w:rPr>
          <w:t>(二)、风险应对策略</w:t>
        </w:r>
        <w:r>
          <w:tab/>
        </w:r>
        <w:r>
          <w:fldChar w:fldCharType="begin"/>
        </w:r>
        <w:r>
          <w:instrText xml:space="preserve"> PAGEREF _Toc22605 \h </w:instrText>
        </w:r>
        <w:r>
          <w:fldChar w:fldCharType="separate"/>
        </w:r>
        <w:r>
          <w:t>47</w:t>
        </w:r>
        <w:r>
          <w:fldChar w:fldCharType="end"/>
        </w:r>
      </w:hyperlink>
    </w:p>
    <w:p>
      <w:pPr>
        <w:pStyle w:val="TOC2"/>
        <w:tabs>
          <w:tab w:val="right" w:leader="dot" w:pos="8306"/>
        </w:tabs>
      </w:pPr>
      <w:hyperlink w:anchor="_Toc7697" w:history="1">
        <w:r>
          <w:rPr>
            <w:rFonts w:ascii="仿宋" w:eastAsia="仿宋" w:hAnsi="仿宋" w:cs="仿宋" w:hint="eastAsia"/>
            <w:lang w:eastAsia="zh-CN"/>
          </w:rPr>
          <w:t>(三)、风险监控与控制</w:t>
        </w:r>
        <w:r>
          <w:tab/>
        </w:r>
        <w:r>
          <w:fldChar w:fldCharType="begin"/>
        </w:r>
        <w:r>
          <w:instrText xml:space="preserve"> PAGEREF _Toc7697 \h </w:instrText>
        </w:r>
        <w:r>
          <w:fldChar w:fldCharType="separate"/>
        </w:r>
        <w:r>
          <w:t>49</w:t>
        </w:r>
        <w:r>
          <w:fldChar w:fldCharType="end"/>
        </w:r>
      </w:hyperlink>
    </w:p>
    <w:p>
      <w:pPr>
        <w:pStyle w:val="TOC1"/>
        <w:tabs>
          <w:tab w:val="right" w:leader="dot" w:pos="8306"/>
        </w:tabs>
      </w:pPr>
      <w:hyperlink w:anchor="_Toc26863" w:history="1">
        <w:r>
          <w:rPr>
            <w:rFonts w:ascii="仿宋" w:eastAsia="仿宋" w:hAnsi="仿宋" w:cs="仿宋" w:hint="eastAsia"/>
            <w:lang w:eastAsia="zh-CN"/>
          </w:rPr>
          <w:t>十三、营销与推广策略</w:t>
        </w:r>
        <w:r>
          <w:tab/>
        </w:r>
        <w:r>
          <w:fldChar w:fldCharType="begin"/>
        </w:r>
        <w:r>
          <w:instrText xml:space="preserve"> PAGEREF _Toc26863 \h </w:instrText>
        </w:r>
        <w:r>
          <w:fldChar w:fldCharType="separate"/>
        </w:r>
        <w:r>
          <w:t>50</w:t>
        </w:r>
        <w:r>
          <w:fldChar w:fldCharType="end"/>
        </w:r>
      </w:hyperlink>
    </w:p>
    <w:p>
      <w:pPr>
        <w:pStyle w:val="TOC2"/>
        <w:tabs>
          <w:tab w:val="right" w:leader="dot" w:pos="8306"/>
        </w:tabs>
      </w:pPr>
      <w:hyperlink w:anchor="_Toc14850" w:history="1">
        <w:r>
          <w:rPr>
            <w:rFonts w:ascii="仿宋" w:eastAsia="仿宋" w:hAnsi="仿宋" w:cs="仿宋" w:hint="eastAsia"/>
            <w:lang w:eastAsia="zh-CN"/>
          </w:rPr>
          <w:t>(一)、产品/服务定位与特点</w:t>
        </w:r>
        <w:r>
          <w:tab/>
        </w:r>
        <w:r>
          <w:fldChar w:fldCharType="begin"/>
        </w:r>
        <w:r>
          <w:instrText xml:space="preserve"> PAGEREF _Toc14850 \h </w:instrText>
        </w:r>
        <w:r>
          <w:fldChar w:fldCharType="separate"/>
        </w:r>
        <w:r>
          <w:t>50</w:t>
        </w:r>
        <w:r>
          <w:fldChar w:fldCharType="end"/>
        </w:r>
      </w:hyperlink>
    </w:p>
    <w:p>
      <w:pPr>
        <w:pStyle w:val="TOC2"/>
        <w:tabs>
          <w:tab w:val="right" w:leader="dot" w:pos="8306"/>
        </w:tabs>
      </w:pPr>
      <w:hyperlink w:anchor="_Toc24372" w:history="1">
        <w:r>
          <w:rPr>
            <w:rFonts w:ascii="仿宋" w:eastAsia="仿宋" w:hAnsi="仿宋" w:cs="仿宋" w:hint="eastAsia"/>
            <w:lang w:eastAsia="zh-CN"/>
          </w:rPr>
          <w:t>(二)、市场定位与竞争分析</w:t>
        </w:r>
        <w:r>
          <w:tab/>
        </w:r>
        <w:r>
          <w:fldChar w:fldCharType="begin"/>
        </w:r>
        <w:r>
          <w:instrText xml:space="preserve"> PAGEREF _Toc24372 \h </w:instrText>
        </w:r>
        <w:r>
          <w:fldChar w:fldCharType="separate"/>
        </w:r>
        <w:r>
          <w:t>51</w:t>
        </w:r>
        <w:r>
          <w:fldChar w:fldCharType="end"/>
        </w:r>
      </w:hyperlink>
    </w:p>
    <w:p>
      <w:pPr>
        <w:pStyle w:val="TOC2"/>
        <w:tabs>
          <w:tab w:val="right" w:leader="dot" w:pos="8306"/>
        </w:tabs>
      </w:pPr>
      <w:hyperlink w:anchor="_Toc24080" w:history="1">
        <w:r>
          <w:rPr>
            <w:rFonts w:ascii="仿宋" w:eastAsia="仿宋" w:hAnsi="仿宋" w:cs="仿宋" w:hint="eastAsia"/>
            <w:lang w:eastAsia="zh-CN"/>
          </w:rPr>
          <w:t>(三)、营销渠道与策略</w:t>
        </w:r>
        <w:r>
          <w:tab/>
        </w:r>
        <w:r>
          <w:fldChar w:fldCharType="begin"/>
        </w:r>
        <w:r>
          <w:instrText xml:space="preserve"> PAGEREF _Toc24080 \h </w:instrText>
        </w:r>
        <w:r>
          <w:fldChar w:fldCharType="separate"/>
        </w:r>
        <w:r>
          <w:t>53</w:t>
        </w:r>
        <w:r>
          <w:fldChar w:fldCharType="end"/>
        </w:r>
      </w:hyperlink>
    </w:p>
    <w:p>
      <w:pPr>
        <w:pStyle w:val="TOC2"/>
        <w:tabs>
          <w:tab w:val="right" w:leader="dot" w:pos="8306"/>
        </w:tabs>
      </w:pPr>
      <w:hyperlink w:anchor="_Toc12054" w:history="1">
        <w:r>
          <w:rPr>
            <w:rFonts w:ascii="仿宋" w:eastAsia="仿宋" w:hAnsi="仿宋" w:cs="仿宋" w:hint="eastAsia"/>
            <w:lang w:eastAsia="zh-CN"/>
          </w:rPr>
          <w:t>(四)、推广与宣传活动</w:t>
        </w:r>
        <w:r>
          <w:tab/>
        </w:r>
        <w:r>
          <w:fldChar w:fldCharType="begin"/>
        </w:r>
        <w:r>
          <w:instrText xml:space="preserve"> PAGEREF _Toc12054 \h </w:instrText>
        </w:r>
        <w:r>
          <w:fldChar w:fldCharType="separate"/>
        </w:r>
        <w:r>
          <w:t>54</w:t>
        </w:r>
        <w:r>
          <w:fldChar w:fldCharType="end"/>
        </w:r>
      </w:hyperlink>
    </w:p>
    <w:p>
      <w:pPr>
        <w:pStyle w:val="TOC1"/>
        <w:tabs>
          <w:tab w:val="right" w:leader="dot" w:pos="8306"/>
        </w:tabs>
      </w:pPr>
      <w:hyperlink w:anchor="_Toc18531" w:history="1">
        <w:r>
          <w:rPr>
            <w:rFonts w:ascii="仿宋" w:eastAsia="仿宋" w:hAnsi="仿宋" w:cs="仿宋" w:hint="eastAsia"/>
            <w:lang w:eastAsia="zh-CN"/>
          </w:rPr>
          <w:t>十四、质量管理体系</w:t>
        </w:r>
        <w:r>
          <w:tab/>
        </w:r>
        <w:r>
          <w:fldChar w:fldCharType="begin"/>
        </w:r>
        <w:r>
          <w:instrText xml:space="preserve"> PAGEREF _Toc18531 \h </w:instrText>
        </w:r>
        <w:r>
          <w:fldChar w:fldCharType="separate"/>
        </w:r>
        <w:r>
          <w:t>59</w:t>
        </w:r>
        <w:r>
          <w:fldChar w:fldCharType="end"/>
        </w:r>
      </w:hyperlink>
    </w:p>
    <w:p>
      <w:pPr>
        <w:pStyle w:val="TOC2"/>
        <w:tabs>
          <w:tab w:val="right" w:leader="dot" w:pos="8306"/>
        </w:tabs>
      </w:pPr>
      <w:hyperlink w:anchor="_Toc14291" w:history="1">
        <w:r>
          <w:rPr>
            <w:rFonts w:ascii="仿宋" w:eastAsia="仿宋" w:hAnsi="仿宋" w:cs="仿宋" w:hint="eastAsia"/>
            <w:lang w:eastAsia="zh-CN"/>
          </w:rPr>
          <w:t>(一)、质量目标与方针</w:t>
        </w:r>
        <w:r>
          <w:tab/>
        </w:r>
        <w:r>
          <w:fldChar w:fldCharType="begin"/>
        </w:r>
        <w:r>
          <w:instrText xml:space="preserve"> PAGEREF _Toc14291 \h </w:instrText>
        </w:r>
        <w:r>
          <w:fldChar w:fldCharType="separate"/>
        </w:r>
        <w:r>
          <w:t>59</w:t>
        </w:r>
        <w:r>
          <w:fldChar w:fldCharType="end"/>
        </w:r>
      </w:hyperlink>
    </w:p>
    <w:p>
      <w:pPr>
        <w:pStyle w:val="TOC2"/>
        <w:tabs>
          <w:tab w:val="right" w:leader="dot" w:pos="8306"/>
        </w:tabs>
      </w:pPr>
      <w:hyperlink w:anchor="_Toc22059" w:history="1">
        <w:r>
          <w:rPr>
            <w:rFonts w:ascii="仿宋" w:eastAsia="仿宋" w:hAnsi="仿宋" w:cs="仿宋" w:hint="eastAsia"/>
            <w:lang w:eastAsia="zh-CN"/>
          </w:rPr>
          <w:t>(二)、质量管理责任</w:t>
        </w:r>
        <w:r>
          <w:tab/>
        </w:r>
        <w:r>
          <w:fldChar w:fldCharType="begin"/>
        </w:r>
        <w:r>
          <w:instrText xml:space="preserve"> PAGEREF _Toc22059 \h </w:instrText>
        </w:r>
        <w:r>
          <w:fldChar w:fldCharType="separate"/>
        </w:r>
        <w:r>
          <w:t>60</w:t>
        </w:r>
        <w:r>
          <w:fldChar w:fldCharType="end"/>
        </w:r>
      </w:hyperlink>
    </w:p>
    <w:p>
      <w:pPr>
        <w:pStyle w:val="TOC2"/>
        <w:tabs>
          <w:tab w:val="right" w:leader="dot" w:pos="8306"/>
        </w:tabs>
      </w:pPr>
      <w:hyperlink w:anchor="_Toc6427" w:history="1">
        <w:r>
          <w:rPr>
            <w:rFonts w:ascii="仿宋" w:eastAsia="仿宋" w:hAnsi="仿宋" w:cs="仿宋" w:hint="eastAsia"/>
            <w:lang w:eastAsia="zh-CN"/>
          </w:rPr>
          <w:t>(三)、质量管理体系文件</w:t>
        </w:r>
        <w:r>
          <w:tab/>
        </w:r>
        <w:r>
          <w:fldChar w:fldCharType="begin"/>
        </w:r>
        <w:r>
          <w:instrText xml:space="preserve"> PAGEREF _Toc6427 \h </w:instrText>
        </w:r>
        <w:r>
          <w:fldChar w:fldCharType="separate"/>
        </w:r>
        <w:r>
          <w:t>62</w:t>
        </w:r>
        <w:r>
          <w:fldChar w:fldCharType="end"/>
        </w:r>
      </w:hyperlink>
    </w:p>
    <w:p>
      <w:pPr>
        <w:pStyle w:val="TOC2"/>
        <w:tabs>
          <w:tab w:val="right" w:leader="dot" w:pos="8306"/>
        </w:tabs>
      </w:pPr>
      <w:hyperlink w:anchor="_Toc2708" w:history="1">
        <w:r>
          <w:rPr>
            <w:rFonts w:ascii="仿宋" w:eastAsia="仿宋" w:hAnsi="仿宋" w:cs="仿宋" w:hint="eastAsia"/>
            <w:lang w:eastAsia="zh-CN"/>
          </w:rPr>
          <w:t>(四)、质量培训与教育</w:t>
        </w:r>
        <w:r>
          <w:tab/>
        </w:r>
        <w:r>
          <w:fldChar w:fldCharType="begin"/>
        </w:r>
        <w:r>
          <w:instrText xml:space="preserve"> PAGEREF _Toc2708 \h </w:instrText>
        </w:r>
        <w:r>
          <w:fldChar w:fldCharType="separate"/>
        </w:r>
        <w:r>
          <w:t>64</w:t>
        </w:r>
        <w:r>
          <w:fldChar w:fldCharType="end"/>
        </w:r>
      </w:hyperlink>
    </w:p>
    <w:p>
      <w:pPr>
        <w:pStyle w:val="TOC2"/>
        <w:tabs>
          <w:tab w:val="right" w:leader="dot" w:pos="8306"/>
        </w:tabs>
      </w:pPr>
      <w:hyperlink w:anchor="_Toc2747" w:history="1">
        <w:r>
          <w:rPr>
            <w:rFonts w:ascii="仿宋" w:eastAsia="仿宋" w:hAnsi="仿宋" w:cs="仿宋" w:hint="eastAsia"/>
            <w:lang w:eastAsia="zh-CN"/>
          </w:rPr>
          <w:t>(五)、质量审核与评价</w:t>
        </w:r>
        <w:r>
          <w:tab/>
        </w:r>
        <w:r>
          <w:fldChar w:fldCharType="begin"/>
        </w:r>
        <w:r>
          <w:instrText xml:space="preserve"> PAGEREF _Toc2747 \h </w:instrText>
        </w:r>
        <w:r>
          <w:fldChar w:fldCharType="separate"/>
        </w:r>
        <w:r>
          <w:t>65</w:t>
        </w:r>
        <w:r>
          <w:fldChar w:fldCharType="end"/>
        </w:r>
      </w:hyperlink>
    </w:p>
    <w:p>
      <w:pPr>
        <w:pStyle w:val="TOC2"/>
        <w:tabs>
          <w:tab w:val="right" w:leader="dot" w:pos="8306"/>
        </w:tabs>
      </w:pPr>
      <w:hyperlink w:anchor="_Toc16960" w:history="1">
        <w:r>
          <w:rPr>
            <w:rFonts w:ascii="仿宋" w:eastAsia="仿宋" w:hAnsi="仿宋" w:cs="仿宋" w:hint="eastAsia"/>
            <w:lang w:eastAsia="zh-CN"/>
          </w:rPr>
          <w:t>(六)、不符合与纠正措施</w:t>
        </w:r>
        <w:r>
          <w:tab/>
        </w:r>
        <w:r>
          <w:fldChar w:fldCharType="begin"/>
        </w:r>
        <w:r>
          <w:instrText xml:space="preserve"> PAGEREF _Toc16960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72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889"/>
      <w:r>
        <w:rPr>
          <w:rFonts w:ascii="仿宋" w:eastAsia="仿宋" w:hAnsi="仿宋" w:cs="仿宋" w:hint="eastAsia"/>
          <w:sz w:val="28"/>
          <w:lang w:eastAsia="zh-CN"/>
        </w:rPr>
        <w:t>一、激光精密加工和蚀刻成套设备项目土建工程</w:t>
      </w:r>
      <w:bookmarkEnd w:id="2"/>
    </w:p>
    <w:p>
      <w:pPr>
        <w:pStyle w:val="Heading2"/>
        <w:rPr>
          <w:rFonts w:ascii="仿宋" w:eastAsia="仿宋" w:hAnsi="仿宋" w:cs="仿宋" w:hint="eastAsia"/>
          <w:lang w:eastAsia="zh-CN"/>
        </w:rPr>
      </w:pPr>
      <w:bookmarkStart w:id="3" w:name="_Toc1706"/>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在激光精密加工和蚀刻成套设备项目的建筑工程设计中，我们将秉承一系列重要的设计原则，以确保激光精密加工和蚀刻成套设备项目建筑在功能、美观、可持续性等方面达到最佳效果。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首要原则是确保建筑的功能性得到最大化的发挥。我们将充分理解激光精密加工和蚀刻成套设备项目的实际需求，合理布局各个功能区域，保证建筑在满足业务需求的同时，提供高效的工作环境。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在建筑设计中，我们将综合考虑建设和运营成本。通过精细的经济效益分析，确保设计方案在高效利用资源的同时，对激光精密加工和蚀刻成套设备项目的长期盈利能力有积极的贡献。</w:t>
      </w:r>
    </w:p>
    <w:p>
      <w:pPr>
        <w:pStyle w:val="Heading2"/>
        <w:ind w:firstLine="560" w:firstLineChars="200"/>
        <w:rPr>
          <w:rFonts w:ascii="仿宋" w:eastAsia="仿宋" w:hAnsi="仿宋" w:cs="仿宋" w:hint="eastAsia"/>
          <w:sz w:val="28"/>
          <w:lang w:eastAsia="zh-CN"/>
        </w:rPr>
      </w:pPr>
      <w:bookmarkStart w:id="4" w:name="_Toc23485"/>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激光精密加工和蚀刻成套设备项目的土建工程设计中，我们将精准设定设计年限，结合激光精密加工和蚀刻成套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激光精密加工和蚀刻成套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6637"/>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激光精密加工和蚀刻成套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激光精密加工和蚀刻成套设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激光精密加工和蚀刻成套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3572"/>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本期工程激光精密加工和蚀刻成套设备项目预计总建筑面积XXX平方米，其中：计容建筑面积XXX平方米，计划建筑工程投资XX万元，占激光精密加工和蚀刻成套设备项目总投资的XX%。</w:t>
      </w:r>
    </w:p>
    <w:p>
      <w:pPr>
        <w:pStyle w:val="Heading1"/>
        <w:ind w:firstLine="560" w:firstLineChars="200"/>
        <w:rPr>
          <w:rFonts w:ascii="仿宋" w:eastAsia="仿宋" w:hAnsi="仿宋" w:cs="仿宋" w:hint="eastAsia"/>
          <w:sz w:val="28"/>
          <w:lang w:eastAsia="zh-CN"/>
        </w:rPr>
      </w:pPr>
      <w:bookmarkStart w:id="7" w:name="_Toc16555"/>
      <w:r>
        <w:rPr>
          <w:rFonts w:ascii="仿宋" w:eastAsia="仿宋" w:hAnsi="仿宋" w:cs="仿宋" w:hint="eastAsia"/>
          <w:sz w:val="28"/>
          <w:lang w:eastAsia="zh-CN"/>
        </w:rPr>
        <w:t>二、工艺说明</w:t>
      </w:r>
      <w:bookmarkEnd w:id="7"/>
    </w:p>
    <w:p>
      <w:pPr>
        <w:pStyle w:val="Heading2"/>
        <w:rPr>
          <w:rFonts w:ascii="仿宋" w:eastAsia="仿宋" w:hAnsi="仿宋" w:cs="仿宋" w:hint="eastAsia"/>
          <w:lang w:eastAsia="zh-CN"/>
        </w:rPr>
      </w:pPr>
      <w:bookmarkStart w:id="8" w:name="_Toc28210"/>
      <w:r>
        <w:rPr>
          <w:rFonts w:ascii="仿宋" w:eastAsia="仿宋" w:hAnsi="仿宋" w:cs="仿宋" w:hint="eastAsia"/>
          <w:lang w:eastAsia="zh-CN"/>
        </w:rPr>
        <w:t>(一)、技术管理特点</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激光精密加工和蚀刻成套设备项目的技术管理特点体现在其创新导向。通过引入最先进的技术趋势和解决方案，激光精密加工和蚀刻成套设备项目致力于提升科技含量、提高质量和效率水平。这意味着我们将采用最新的工具和方法，确保激光精密加工和蚀刻成套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激光精密加工和蚀刻成套设备项目技术管理的显著特征。通过整合不同领域的技术资源，我们实现了跨学科的协同工作。这有助于优化技术架构，提高整体效能。此外，整合性策略还促进了不同技术团队之间的紧密沟通和高效合作，确保激光精密加工和蚀刻成套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激光精密加工和蚀刻成套设备项目所采用的技术。通过不断优化技术方案，激光精密加工和蚀刻成套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激光精密加工和蚀刻成套设备项目团队将在激光精密加工和蚀刻成套设备项目初期识别可能的技术风险，并采取相应的预防和应对措施。通过建立健全的风险评估机制，激光精密加工和蚀刻成套设备项目能够在实施过程中及时发现并解决潜在的技术问题，保障激光精密加工和蚀刻成套设备项目技术实施的平稳进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激光精密加工和蚀刻成套设备项目中，技术将成为激光精密加工和蚀刻成套设备项目成功的有力支持。这一深度剖析揭示了技术管理在激光精密加工和蚀刻成套设备项目实施中的关键作用，为激光精密加工和蚀刻成套设备项目的技术基础奠定了坚实的基础。</w:t>
      </w:r>
    </w:p>
    <w:p>
      <w:pPr>
        <w:pStyle w:val="Heading2"/>
        <w:ind w:firstLine="560" w:firstLineChars="200"/>
        <w:rPr>
          <w:rFonts w:ascii="仿宋" w:eastAsia="仿宋" w:hAnsi="仿宋" w:cs="仿宋" w:hint="eastAsia"/>
          <w:sz w:val="28"/>
          <w:lang w:eastAsia="zh-CN"/>
        </w:rPr>
      </w:pPr>
      <w:bookmarkStart w:id="9" w:name="_Toc32364"/>
      <w:r>
        <w:rPr>
          <w:rFonts w:ascii="仿宋" w:eastAsia="仿宋" w:hAnsi="仿宋" w:cs="仿宋" w:hint="eastAsia"/>
          <w:sz w:val="28"/>
          <w:lang w:eastAsia="zh-CN"/>
        </w:rPr>
        <w:t>(二)、激光精密加工和蚀刻成套设备项目工艺技术设计方案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激光精密加工和蚀刻成套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激光精密加工和蚀刻成套设备项目将严格按照相关行业规范要求进行组织。通过有效控制产品质量，激光精密加工和蚀刻成套设备项目将致力于为顾客提供优质的激光精密加工和蚀刻成套设备项目产品和良好的服务。这体现了激光精密加工和蚀刻成套设备项目对于生产活动合规性和质量标准的高度重视，为激光精密加工和蚀刻成套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激光精密加工和蚀刻成套设备项目注重生态效益和清洁生产原则。激光精密加工和蚀刻成套设备项目建设将紧密结合地方特色经济发展，与社会经济发展规划和区域环境保护规划方案相协调一致。通过与当地区域自然生态系统的结合，激光精密加工和蚀刻成套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激光精密加工和蚀刻成套设备项目产品具有多样化的客户需求和个性化的特点。因此，激光精密加工和蚀刻成套设备项目产品规格品种多样，且单批生产数量较小。为满足这一特点，激光精密加工和蚀刻成套设备项目承办单位将建设先进的柔性制造生产线。通过广泛应用柔性制造技术，激光精密加工和蚀刻成套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激光精密加工和蚀刻成套设备项目采用的技术具有较高的技术含量和自动化水平，处于国内先进水平。这一技术选用不仅体现了对生产效率、质量和环境友好性的高标准要求，同时为激光精密加工和蚀刻成套设备项目的可持续发展奠定了坚实的基础。</w:t>
      </w:r>
    </w:p>
    <w:p>
      <w:pPr>
        <w:pStyle w:val="Heading2"/>
        <w:ind w:firstLine="560" w:firstLineChars="200"/>
        <w:rPr>
          <w:rFonts w:ascii="仿宋" w:eastAsia="仿宋" w:hAnsi="仿宋" w:cs="仿宋" w:hint="eastAsia"/>
          <w:sz w:val="28"/>
          <w:lang w:eastAsia="zh-CN"/>
        </w:rPr>
      </w:pPr>
      <w:bookmarkStart w:id="10" w:name="_Toc17216"/>
      <w:r>
        <w:rPr>
          <w:rFonts w:ascii="仿宋" w:eastAsia="仿宋" w:hAnsi="仿宋" w:cs="仿宋" w:hint="eastAsia"/>
          <w:sz w:val="28"/>
          <w:lang w:eastAsia="zh-CN"/>
        </w:rPr>
        <w:t>(三)、设备选型方案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为确保激光精密加工和蚀刻成套设备项目的高效生产和技术实施，我们制定了一套精心设计的设备选型方案，以满足激光精密加工和蚀刻成套设备项目生产、质量和环保的要求。该方案的主要特点如下：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激光精密加工和蚀刻成套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激光精密加工和蚀刻成套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1" w:name="_Toc5228"/>
      <w:r>
        <w:rPr>
          <w:rFonts w:ascii="仿宋" w:eastAsia="仿宋" w:hAnsi="仿宋" w:cs="仿宋" w:hint="eastAsia"/>
          <w:sz w:val="28"/>
          <w:lang w:eastAsia="zh-CN"/>
        </w:rPr>
        <w:t>三、激光精密加工和蚀刻成套设备项目危机管理</w:t>
      </w:r>
      <w:bookmarkEnd w:id="11"/>
    </w:p>
    <w:p>
      <w:pPr>
        <w:pStyle w:val="Heading2"/>
        <w:rPr>
          <w:rFonts w:ascii="仿宋" w:eastAsia="仿宋" w:hAnsi="仿宋" w:cs="仿宋" w:hint="eastAsia"/>
          <w:lang w:eastAsia="zh-CN"/>
        </w:rPr>
      </w:pPr>
      <w:bookmarkStart w:id="12" w:name="_Toc348"/>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激光精密加工和蚀刻成套设备项目危机管理中，危机预警与识别是确保激光精密加工和蚀刻成套设备项目稳健运行的核心步骤。通过建立全面的监测机制，激光精密加工和蚀刻成套设备项目团队旨在及时发现和理解潜在的风险和危机因素，以便采取及时的预防和应对措施，确保激光精密加工和蚀刻成套设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激光精密加工和蚀刻成套设备项目团队全面分析了整个激光精密加工和蚀刻成套设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激光精密加工和蚀刻成套设备项目团队着重于明确定义激光精密加工和蚀刻成套设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激光精密加工和蚀刻成套设备项目进展的持续监控，团队能够及时发现潜在问题并作出迅速反应。激光精密加工和蚀刻成套设备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激光精密加工和蚀刻成套设备项目得以更有序、可控地推进。</w:t>
      </w:r>
    </w:p>
    <w:p>
      <w:pPr>
        <w:pStyle w:val="Heading2"/>
        <w:ind w:firstLine="560" w:firstLineChars="200"/>
        <w:rPr>
          <w:rFonts w:ascii="仿宋" w:eastAsia="仿宋" w:hAnsi="仿宋" w:cs="仿宋" w:hint="eastAsia"/>
          <w:sz w:val="28"/>
          <w:lang w:eastAsia="zh-CN"/>
        </w:rPr>
      </w:pPr>
      <w:bookmarkStart w:id="13" w:name="_Toc6879"/>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在危机发生时，激光精密加工和蚀刻成套设备项目团队立即行动，成立了应急小组。该小组的任务是迅速制定并实施紧急应对措施，以最小化潜在损失。以下是采取的主要措施：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暂停激光精密加工和蚀刻成套设备项目进度：为遏制危机蔓延，激光精密加工和蚀刻成套设备项目暂时停止进行，以便全面评估当前状况。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资源重新分配：重新评估激光精密加工和蚀刻成套设备项目资源的分配，确保最大限度地减小损失。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实时沟通：与关键利益相关者建立实时沟通机制，向他们传递激光精密加工和蚀刻成套设备项目危机的实际状况，保障激光精密加工和蚀刻成套设备项目核心利益。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在紧急应对的同时，激光精密加工和蚀刻成套设备项目团队强调了团队协作和有效沟通的重要性。以下是团队协作的关键举措：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信息共享机制：建立了信息共享平台，确保团队成员能够及时获取激光精密加工和蚀刻成套设备项目危机的实时信息。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领导者沟通：激光精密加工和蚀刻成套设备项目领导者通过定期会议和即时沟通工具，指导团队应对危机，保持团队稳定运行。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随着危机得到初步控制，激光精密加工和蚀刻成套设备项目团队转向制定恢复计划，以确保激光精密加工和蚀刻成套设备项目能够从中迅速恢复。主要恢复计划包括：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修复受损的进度计划：重新评估激光精密加工和蚀刻成套设备项目进度，制定修复计划，确保激光精密加工和蚀刻成套设备项目尽快回归正常进程。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重新调整资源分配：优化资源分配，确保激光精密加工和蚀刻成套设备项目在有限资源下高效运转。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风险管理机制加强：对激光精密加工和蚀刻成套设备项目风险进行全面评估，制定更强化的风险管理策略，以预防未来可能的危机。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26704"/>
      <w:r>
        <w:rPr>
          <w:rFonts w:ascii="仿宋" w:eastAsia="仿宋" w:hAnsi="仿宋" w:cs="仿宋" w:hint="eastAsia"/>
          <w:sz w:val="28"/>
          <w:lang w:eastAsia="zh-CN"/>
        </w:rPr>
        <w:t>四、激光精密加工和蚀刻成套设备项目选址可行性分析</w:t>
      </w:r>
      <w:bookmarkEnd w:id="14"/>
    </w:p>
    <w:p>
      <w:pPr>
        <w:pStyle w:val="Heading2"/>
        <w:rPr>
          <w:rFonts w:ascii="仿宋" w:eastAsia="仿宋" w:hAnsi="仿宋" w:cs="仿宋" w:hint="eastAsia"/>
          <w:lang w:eastAsia="zh-CN"/>
        </w:rPr>
      </w:pPr>
      <w:bookmarkStart w:id="15" w:name="_Toc16705"/>
      <w:r>
        <w:rPr>
          <w:rFonts w:ascii="仿宋" w:eastAsia="仿宋" w:hAnsi="仿宋" w:cs="仿宋" w:hint="eastAsia"/>
          <w:lang w:eastAsia="zh-CN"/>
        </w:rPr>
        <w:t>(一)、激光精密加工和蚀刻成套设备项目选址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该激光精密加工和蚀刻成套设备项目选址位于XX省XX市XX区XXX街道</w:t>
      </w:r>
    </w:p>
    <w:p>
      <w:pPr>
        <w:pStyle w:val="Heading2"/>
        <w:ind w:firstLine="560" w:firstLineChars="200"/>
        <w:rPr>
          <w:rFonts w:ascii="仿宋" w:eastAsia="仿宋" w:hAnsi="仿宋" w:cs="仿宋" w:hint="eastAsia"/>
          <w:sz w:val="28"/>
          <w:lang w:eastAsia="zh-CN"/>
        </w:rPr>
      </w:pPr>
      <w:bookmarkStart w:id="16" w:name="_Toc1304"/>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激光精密加工和蚀刻成套设备项目的征地面积将根据激光精密加工和蚀刻成套设备项目的实际规模和需求进行精确规划。具体面积XXX平方米，旨在确保激光精密加工和蚀刻成套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净用地面积是在征地面积基础上去除不可利用面积后的实际可开发用地。具体面积XXX平方米，考虑到环保、交通、安全等多方面因素，以确保激光精密加工和蚀刻成套设备项目在整体利用效率上达到最优。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激光精密加工和蚀刻成套设备项目计划建设的建筑总规模具体面积XXX平方米。这一规模的确定综合考虑了激光精密加工和蚀刻成套设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激光精密加工和蚀刻成套设备项目用地中被规划为绿地的比例。具体面积XXX平方米，旨在通过合理规划绿地，改善激光精密加工和蚀刻成套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容积率是用地上可以建设的建筑总体积与用地面积之比。具体面积XXX，通过合理的容积率规划，确保激光精密加工和蚀刻成套设备项目建筑规模与周边环境和谐共生。</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激光精密加工和蚀刻成套设备项目选址与当地城市规划相一致，具体面积XXX平方米。通过与城市规划部门深入沟通，确保激光精密加工和蚀刻成套设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激光精密加工和蚀刻成套设备项目选址符合当地产业政策，具体面积XXX平方米。这包括激光精密加工和蚀刻成套设备项目对当地经济的促进作用，以及对相关产业的带动效应，确保激光精密加工和蚀刻成套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激光精密加工和蚀刻成套设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激光精密加工和蚀刻成套设备项目选址具备必要的公共设施配套，具体面积XXX平方米。这包括交通便利性、教育、医疗等基础设施，以提高居民生活品质，使得激光精密加工和蚀刻成套设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考虑用地总体要求对当地社会稳定性的影响，具体面积XXX平方米。通过深入了解当地社区反馈，确保激光精密加工和蚀刻成套设备项目的选址和建设过程对当地社会和谐稳定产生积极作用。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激光精密加工和蚀刻成套设备项目选址不仅符合法规和规划，还在实际操作中具有可行性。这一全面规划将为激光精密加工和蚀刻成套设备项目的成功实施提供坚实的基础，确保激光精密加工和蚀刻成套设备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22082"/>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光精密加工和蚀刻成套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激光精密加工和蚀刻成套设备项目的设备规划和空间设计中，我们将采取灵活设备布局的措施。设备布局将根据实际需求进行灵活设计，避免不必要的浪费。通过合理规划设备摆放位置，我们将提高设备的利用率，减少设备间距，以确保激光精密加工和蚀刻成套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https://d.book118.com/498126012024006034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激光精密加工和蚀刻成套设备项目计划设计方案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0A0348"/>
    <w:rsid w:val="390A034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9812601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2024-02-02T19:34:00Z</dcterms:created>
  <dcterms:modified xsi:type="dcterms:W3CDTF">2024-02-02T19:35:11Z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EDDB58511B4442738CCFA17DEE410E6E_11</vt:lpwstr>
  </property>
  <property fmtid="{D5CDD505-2E9C-101B-9397-08002B2CF9AE}" pid="3" name="KSOProductBuildVer">
    <vt:lpwstr>2052-12.1.0.16250</vt:lpwstr>
  </property>
</Properties>
</file>