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94" w:line="221" w:lineRule="auto"/>
        <w:ind w:left="2769"/>
        <w:outlineLvl w:val="0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spacing w:val="26"/>
          <w:sz w:val="29"/>
          <w:szCs w:val="29"/>
        </w:rPr>
        <w:t>漫透射视觉密度计检定规程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75" w:line="223" w:lineRule="auto"/>
        <w:ind w:left="59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3"/>
          <w:sz w:val="23"/>
          <w:szCs w:val="23"/>
        </w:rPr>
        <w:t>1</w:t>
      </w:r>
      <w:r>
        <w:rPr>
          <w:rFonts w:ascii="SimHei" w:eastAsia="SimHei" w:hAnsi="SimHei" w:cs="SimHei"/>
          <w:spacing w:val="112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3"/>
          <w:sz w:val="23"/>
          <w:szCs w:val="23"/>
        </w:rPr>
        <w:t>范围</w:t>
      </w:r>
    </w:p>
    <w:p>
      <w:pPr>
        <w:spacing w:before="311" w:line="246" w:lineRule="auto"/>
        <w:ind w:left="59" w:right="67" w:firstLine="45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0"/>
          <w:sz w:val="23"/>
          <w:szCs w:val="23"/>
        </w:rPr>
        <w:t>本规程适用于漫透射视觉密度计(以下简称密度计)的首次检定、后续检定和使用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5"/>
          <w:sz w:val="23"/>
          <w:szCs w:val="23"/>
        </w:rPr>
        <w:t>中检验。</w:t>
      </w:r>
    </w:p>
    <w:p>
      <w:pPr>
        <w:spacing w:before="285" w:line="222" w:lineRule="auto"/>
        <w:ind w:left="29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4"/>
          <w:sz w:val="23"/>
          <w:szCs w:val="23"/>
        </w:rPr>
        <w:t>2</w:t>
      </w:r>
      <w:r>
        <w:rPr>
          <w:rFonts w:ascii="SimHei" w:eastAsia="SimHei" w:hAnsi="SimHei" w:cs="SimHei"/>
          <w:spacing w:val="12"/>
          <w:sz w:val="23"/>
          <w:szCs w:val="23"/>
        </w:rPr>
        <w:t xml:space="preserve">  </w:t>
      </w:r>
      <w:r>
        <w:rPr>
          <w:rFonts w:ascii="SimHei" w:eastAsia="SimHei" w:hAnsi="SimHei" w:cs="SimHei"/>
          <w:spacing w:val="4"/>
          <w:sz w:val="23"/>
          <w:szCs w:val="23"/>
        </w:rPr>
        <w:t>引用文件</w:t>
      </w:r>
    </w:p>
    <w:p>
      <w:pPr>
        <w:spacing w:before="283" w:line="219" w:lineRule="auto"/>
        <w:ind w:left="54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5"/>
          <w:sz w:val="23"/>
          <w:szCs w:val="23"/>
        </w:rPr>
        <w:t>本规程引用了下列文件：</w:t>
      </w:r>
    </w:p>
    <w:p>
      <w:pPr>
        <w:pStyle w:val="BodyText"/>
        <w:spacing w:before="107" w:line="219" w:lineRule="auto"/>
        <w:ind w:left="519"/>
        <w:rPr>
          <w:rFonts w:ascii="SimSun" w:eastAsia="SimSun" w:hAnsi="SimSun" w:cs="SimSun"/>
        </w:rPr>
      </w:pPr>
      <w:r>
        <w:t>GB</w:t>
      </w:r>
      <w:r>
        <w:rPr>
          <w:spacing w:val="10"/>
        </w:rPr>
        <w:t xml:space="preserve">/T    11500—2008    </w:t>
      </w:r>
      <w:r>
        <w:rPr>
          <w:rFonts w:ascii="SimSun" w:eastAsia="SimSun" w:hAnsi="SimSun" w:cs="SimSun"/>
          <w:spacing w:val="10"/>
        </w:rPr>
        <w:t>摄影</w:t>
      </w:r>
      <w:r>
        <w:rPr>
          <w:rFonts w:ascii="SimSun" w:eastAsia="SimSun" w:hAnsi="SimSun" w:cs="SimSun"/>
          <w:spacing w:val="22"/>
        </w:rPr>
        <w:t xml:space="preserve">  </w:t>
      </w:r>
      <w:r>
        <w:rPr>
          <w:rFonts w:ascii="SimSun" w:eastAsia="SimSun" w:hAnsi="SimSun" w:cs="SimSun"/>
          <w:spacing w:val="10"/>
        </w:rPr>
        <w:t>密度测量  第2部分：透射密度的几何条件</w:t>
      </w:r>
    </w:p>
    <w:p>
      <w:pPr>
        <w:pStyle w:val="BodyText"/>
        <w:spacing w:before="79" w:line="219" w:lineRule="auto"/>
        <w:ind w:left="489"/>
        <w:rPr>
          <w:rFonts w:ascii="SimSun" w:eastAsia="SimSun" w:hAnsi="SimSun" w:cs="SimSun"/>
        </w:rPr>
      </w:pPr>
      <w:r>
        <w:t>GB</w:t>
      </w:r>
      <w:r>
        <w:rPr>
          <w:spacing w:val="10"/>
        </w:rPr>
        <w:t xml:space="preserve">/T11501—2008        </w:t>
      </w:r>
      <w:r>
        <w:rPr>
          <w:rFonts w:ascii="SimSun" w:eastAsia="SimSun" w:hAnsi="SimSun" w:cs="SimSun"/>
          <w:spacing w:val="10"/>
        </w:rPr>
        <w:t>摄影</w:t>
      </w:r>
      <w:r>
        <w:rPr>
          <w:rFonts w:ascii="SimSun" w:eastAsia="SimSun" w:hAnsi="SimSun" w:cs="SimSun"/>
          <w:spacing w:val="27"/>
        </w:rPr>
        <w:t xml:space="preserve">  </w:t>
      </w:r>
      <w:r>
        <w:rPr>
          <w:rFonts w:ascii="SimSun" w:eastAsia="SimSun" w:hAnsi="SimSun" w:cs="SimSun"/>
          <w:spacing w:val="10"/>
        </w:rPr>
        <w:t>密度测量  第3部分：光谱条件</w:t>
      </w:r>
    </w:p>
    <w:p>
      <w:pPr>
        <w:pStyle w:val="BodyText"/>
        <w:spacing w:before="97" w:line="219" w:lineRule="auto"/>
        <w:ind w:left="499"/>
        <w:rPr>
          <w:rFonts w:ascii="SimSun" w:eastAsia="SimSun" w:hAnsi="SimSun" w:cs="SimSun"/>
        </w:rPr>
      </w:pPr>
      <w:r>
        <w:t>GB</w:t>
      </w:r>
      <w:r>
        <w:rPr>
          <w:spacing w:val="10"/>
        </w:rPr>
        <w:t xml:space="preserve">/T        12823.1-2008  </w:t>
      </w:r>
      <w:r>
        <w:rPr>
          <w:spacing w:val="9"/>
        </w:rPr>
        <w:t xml:space="preserve">  </w:t>
      </w:r>
      <w:r>
        <w:rPr>
          <w:rFonts w:ascii="SimSun" w:eastAsia="SimSun" w:hAnsi="SimSun" w:cs="SimSun"/>
          <w:spacing w:val="9"/>
        </w:rPr>
        <w:t>摄影  密度测量  第1部分：术语、符号和表示法</w:t>
      </w:r>
    </w:p>
    <w:p>
      <w:pPr>
        <w:pStyle w:val="BodyText"/>
        <w:spacing w:before="97" w:line="219" w:lineRule="auto"/>
        <w:ind w:left="509"/>
        <w:rPr>
          <w:rFonts w:ascii="SimSun" w:eastAsia="SimSun" w:hAnsi="SimSun" w:cs="SimSun"/>
        </w:rPr>
      </w:pPr>
      <w:r>
        <w:t>JJF</w:t>
      </w:r>
      <w:r>
        <w:rPr>
          <w:spacing w:val="1"/>
        </w:rPr>
        <w:t xml:space="preserve">    </w:t>
      </w:r>
      <w:r>
        <w:rPr>
          <w:spacing w:val="3"/>
        </w:rPr>
        <w:t xml:space="preserve">1001—2001    </w:t>
      </w:r>
      <w:r>
        <w:rPr>
          <w:rFonts w:ascii="SimSun" w:eastAsia="SimSun" w:hAnsi="SimSun" w:cs="SimSun"/>
          <w:spacing w:val="3"/>
        </w:rPr>
        <w:t>通用计量术语及定义</w:t>
      </w:r>
    </w:p>
    <w:p>
      <w:pPr>
        <w:spacing w:before="116" w:line="254" w:lineRule="auto"/>
        <w:ind w:left="29" w:right="72" w:firstLine="51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0"/>
          <w:sz w:val="23"/>
          <w:szCs w:val="23"/>
        </w:rPr>
        <w:t>凡是注日期的引用文件，仅注日期的版本适用于本规程；凡是不注日期的引用文</w:t>
      </w:r>
      <w:r>
        <w:rPr>
          <w:rFonts w:ascii="SimSun" w:eastAsia="SimSun" w:hAnsi="SimSun" w:cs="SimSu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9"/>
          <w:sz w:val="23"/>
          <w:szCs w:val="23"/>
        </w:rPr>
        <w:t>件，其最新版本(包括所有的修改单)适用于本规程。</w:t>
      </w:r>
    </w:p>
    <w:p>
      <w:pPr>
        <w:spacing w:before="268" w:line="222" w:lineRule="auto"/>
        <w:ind w:left="19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8"/>
          <w:sz w:val="23"/>
          <w:szCs w:val="23"/>
        </w:rPr>
        <w:t>3</w:t>
      </w:r>
      <w:r>
        <w:rPr>
          <w:rFonts w:ascii="SimHei" w:eastAsia="SimHei" w:hAnsi="SimHei" w:cs="SimHei"/>
          <w:spacing w:val="20"/>
          <w:sz w:val="23"/>
          <w:szCs w:val="23"/>
        </w:rPr>
        <w:t xml:space="preserve">  </w:t>
      </w:r>
      <w:r>
        <w:rPr>
          <w:rFonts w:ascii="SimHei" w:eastAsia="SimHei" w:hAnsi="SimHei" w:cs="SimHei"/>
          <w:spacing w:val="8"/>
          <w:sz w:val="23"/>
          <w:szCs w:val="23"/>
        </w:rPr>
        <w:t>术语和计量单位</w:t>
      </w:r>
    </w:p>
    <w:p>
      <w:pPr>
        <w:pStyle w:val="BodyText"/>
        <w:spacing w:before="268" w:line="212" w:lineRule="auto"/>
        <w:ind w:left="29"/>
      </w:pPr>
      <w:r>
        <w:rPr>
          <w:spacing w:val="3"/>
        </w:rPr>
        <w:t xml:space="preserve">3.1     </w:t>
      </w:r>
      <w:r>
        <w:rPr>
          <w:rFonts w:ascii="SimSun" w:eastAsia="SimSun" w:hAnsi="SimSun" w:cs="SimSun"/>
          <w:spacing w:val="3"/>
        </w:rPr>
        <w:t xml:space="preserve">透射因数 </w:t>
      </w:r>
      <w:r>
        <w:rPr>
          <w:spacing w:val="3"/>
        </w:rPr>
        <w:t xml:space="preserve">(T)       </w:t>
      </w:r>
      <w:r>
        <w:t>transmittance</w:t>
      </w:r>
      <w:r>
        <w:rPr>
          <w:spacing w:val="8"/>
        </w:rPr>
        <w:t xml:space="preserve">     </w:t>
      </w:r>
      <w:r>
        <w:t>factor</w:t>
      </w:r>
    </w:p>
    <w:p>
      <w:pPr>
        <w:spacing w:before="148" w:line="216" w:lineRule="auto"/>
        <w:ind w:left="49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5"/>
          <w:sz w:val="23"/>
          <w:szCs w:val="23"/>
        </w:rPr>
        <w:t>透过样品的光通量φ.与样品从测量仪器采样孔移开</w:t>
      </w:r>
      <w:r>
        <w:rPr>
          <w:rFonts w:ascii="SimSun" w:eastAsia="SimSun" w:hAnsi="SimSun" w:cs="SimSun"/>
          <w:spacing w:val="14"/>
          <w:sz w:val="23"/>
          <w:szCs w:val="23"/>
        </w:rPr>
        <w:t>后所测光通量φ,之比，即</w:t>
      </w:r>
    </w:p>
    <w:p>
      <w:pPr>
        <w:spacing w:before="95" w:line="570" w:lineRule="exact"/>
        <w:ind w:firstLine="4289"/>
      </w:pPr>
      <w:r>
        <w:rPr>
          <w:position w:val="-11"/>
        </w:rPr>
        <w:drawing>
          <wp:inline distT="0" distB="0" distL="0" distR="0">
            <wp:extent cx="469938" cy="361971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9938" cy="361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3" w:line="212" w:lineRule="auto"/>
        <w:ind w:left="29"/>
      </w:pPr>
      <w:r>
        <w:rPr>
          <w:spacing w:val="4"/>
        </w:rPr>
        <w:t xml:space="preserve">3.2     </w:t>
      </w:r>
      <w:r>
        <w:rPr>
          <w:rFonts w:ascii="SimSun" w:eastAsia="SimSun" w:hAnsi="SimSun" w:cs="SimSun"/>
          <w:spacing w:val="4"/>
        </w:rPr>
        <w:t xml:space="preserve">透射密度 </w:t>
      </w:r>
      <w:r>
        <w:rPr>
          <w:spacing w:val="4"/>
        </w:rPr>
        <w:t>(</w:t>
      </w:r>
      <w:r>
        <w:t>Dr</w:t>
      </w:r>
      <w:r>
        <w:rPr>
          <w:spacing w:val="4"/>
        </w:rPr>
        <w:t>)</w:t>
      </w:r>
      <w:r>
        <w:rPr>
          <w:spacing w:val="6"/>
        </w:rPr>
        <w:t xml:space="preserve">       </w:t>
      </w:r>
      <w:r>
        <w:t>transmission</w:t>
      </w:r>
      <w:r>
        <w:rPr>
          <w:spacing w:val="4"/>
        </w:rPr>
        <w:t xml:space="preserve">     </w:t>
      </w:r>
      <w:r>
        <w:t>density</w:t>
      </w:r>
    </w:p>
    <w:p>
      <w:pPr>
        <w:spacing w:before="133" w:line="219" w:lineRule="auto"/>
        <w:ind w:left="53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9"/>
          <w:sz w:val="23"/>
          <w:szCs w:val="23"/>
        </w:rPr>
        <w:t>透射因数倒数取10为底的对数，其单位为1。</w:t>
      </w:r>
    </w:p>
    <w:p>
      <w:pPr>
        <w:spacing w:before="97" w:line="550" w:lineRule="exact"/>
        <w:ind w:firstLine="3709"/>
      </w:pPr>
      <w:r>
        <w:rPr>
          <w:position w:val="-10"/>
        </w:rPr>
        <w:drawing>
          <wp:inline distT="0" distB="0" distL="0" distR="0">
            <wp:extent cx="1200198" cy="349246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00198" cy="349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33" w:line="366" w:lineRule="exact"/>
      </w:pPr>
      <w:r>
        <w:rPr>
          <w:spacing w:val="-1"/>
          <w:position w:val="10"/>
        </w:rPr>
        <w:t xml:space="preserve">3.3      </w:t>
      </w:r>
      <w:r>
        <w:rPr>
          <w:rFonts w:ascii="FangSong" w:eastAsia="FangSong" w:hAnsi="FangSong" w:cs="FangSong"/>
          <w:spacing w:val="-1"/>
          <w:position w:val="10"/>
        </w:rPr>
        <w:t>漫射系数(</w:t>
      </w:r>
      <w:r>
        <w:rPr>
          <w:rFonts w:ascii="FangSong" w:eastAsia="FangSong" w:hAnsi="FangSong" w:cs="FangSong"/>
          <w:spacing w:val="-21"/>
          <w:position w:val="10"/>
        </w:rPr>
        <w:t xml:space="preserve"> </w:t>
      </w:r>
      <w:r>
        <w:rPr>
          <w:rFonts w:ascii="FangSong" w:eastAsia="FangSong" w:hAnsi="FangSong" w:cs="FangSong"/>
          <w:spacing w:val="-1"/>
          <w:position w:val="10"/>
        </w:rPr>
        <w:t>β</w:t>
      </w:r>
      <w:r>
        <w:rPr>
          <w:spacing w:val="-1"/>
          <w:position w:val="10"/>
        </w:rPr>
        <w:t>a)      diffusion</w:t>
      </w:r>
      <w:r>
        <w:rPr>
          <w:spacing w:val="13"/>
          <w:position w:val="10"/>
        </w:rPr>
        <w:t xml:space="preserve">   </w:t>
      </w:r>
      <w:r>
        <w:rPr>
          <w:spacing w:val="-1"/>
          <w:position w:val="10"/>
        </w:rPr>
        <w:t>coefficient</w:t>
      </w:r>
    </w:p>
    <w:p>
      <w:pPr>
        <w:spacing w:before="1" w:line="219" w:lineRule="auto"/>
        <w:ind w:left="51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8"/>
          <w:sz w:val="23"/>
          <w:szCs w:val="23"/>
        </w:rPr>
        <w:t>照明或接收系统漫射性的度量。</w:t>
      </w:r>
    </w:p>
    <w:p>
      <w:pPr>
        <w:pStyle w:val="BodyText"/>
        <w:spacing w:before="106" w:line="370" w:lineRule="exact"/>
        <w:ind w:left="53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3"/>
          <w:position w:val="10"/>
        </w:rPr>
        <w:t>参见</w:t>
      </w:r>
      <w:r>
        <w:rPr>
          <w:rFonts w:ascii="SimSun" w:eastAsia="SimSun" w:hAnsi="SimSun" w:cs="SimSun"/>
          <w:spacing w:val="-38"/>
          <w:position w:val="10"/>
        </w:rPr>
        <w:t xml:space="preserve"> </w:t>
      </w:r>
      <w:r>
        <w:rPr>
          <w:spacing w:val="-3"/>
          <w:position w:val="10"/>
        </w:rPr>
        <w:t>GB/T     11500—2008</w:t>
      </w:r>
      <w:r>
        <w:rPr>
          <w:spacing w:val="19"/>
          <w:position w:val="10"/>
        </w:rPr>
        <w:t xml:space="preserve"> </w:t>
      </w:r>
      <w:r>
        <w:rPr>
          <w:rFonts w:ascii="SimSun" w:eastAsia="SimSun" w:hAnsi="SimSun" w:cs="SimSun"/>
          <w:spacing w:val="-3"/>
          <w:position w:val="10"/>
        </w:rPr>
        <w:t xml:space="preserve">附录 </w:t>
      </w:r>
      <w:r>
        <w:rPr>
          <w:spacing w:val="-3"/>
          <w:position w:val="10"/>
        </w:rPr>
        <w:t>A</w:t>
      </w:r>
      <w:r>
        <w:rPr>
          <w:rFonts w:ascii="SimSun" w:eastAsia="SimSun" w:hAnsi="SimSun" w:cs="SimSun"/>
          <w:spacing w:val="-3"/>
          <w:position w:val="10"/>
        </w:rPr>
        <w:t>。</w:t>
      </w:r>
    </w:p>
    <w:p>
      <w:pPr>
        <w:pStyle w:val="BodyText"/>
        <w:spacing w:before="1" w:line="219" w:lineRule="auto"/>
        <w:ind w:left="19"/>
      </w:pPr>
      <w:r>
        <w:rPr>
          <w:spacing w:val="6"/>
        </w:rPr>
        <w:t>3.4</w:t>
      </w:r>
      <w:r>
        <w:rPr>
          <w:spacing w:val="7"/>
        </w:rPr>
        <w:t xml:space="preserve">     </w:t>
      </w:r>
      <w:r>
        <w:rPr>
          <w:rFonts w:ascii="SimSun" w:eastAsia="SimSun" w:hAnsi="SimSun" w:cs="SimSun"/>
          <w:spacing w:val="6"/>
        </w:rPr>
        <w:t>示值误差</w:t>
      </w:r>
      <w:r>
        <w:rPr>
          <w:rFonts w:ascii="SimSun" w:eastAsia="SimSun" w:hAnsi="SimSun" w:cs="SimSun"/>
          <w:spacing w:val="112"/>
        </w:rPr>
        <w:t xml:space="preserve"> </w:t>
      </w:r>
      <w:r>
        <w:t>indication</w:t>
      </w:r>
      <w:r>
        <w:rPr>
          <w:spacing w:val="6"/>
        </w:rPr>
        <w:t xml:space="preserve">    </w:t>
      </w:r>
      <w:r>
        <w:t>error</w:t>
      </w:r>
    </w:p>
    <w:p>
      <w:pPr>
        <w:spacing w:before="97" w:line="219" w:lineRule="auto"/>
        <w:ind w:left="49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1"/>
          <w:sz w:val="23"/>
          <w:szCs w:val="23"/>
        </w:rPr>
        <w:t>密度计示值减去标准密度片的标准值。</w:t>
      </w:r>
    </w:p>
    <w:p>
      <w:pPr>
        <w:pStyle w:val="BodyText"/>
        <w:spacing w:before="87" w:line="219" w:lineRule="auto"/>
        <w:ind w:left="39"/>
        <w:sectPr>
          <w:headerReference w:type="default" r:id="rId6"/>
          <w:footerReference w:type="default" r:id="rId7"/>
          <w:pgSz w:w="11900" w:h="16840"/>
          <w:pgMar w:top="1679" w:right="1124" w:bottom="922" w:left="1410" w:header="1423" w:footer="763" w:gutter="0"/>
          <w:cols w:space="708"/>
        </w:sectPr>
      </w:pPr>
      <w:r>
        <w:rPr>
          <w:spacing w:val="5"/>
        </w:rPr>
        <w:t>3.5</w:t>
      </w:r>
      <w:r>
        <w:rPr>
          <w:spacing w:val="13"/>
        </w:rPr>
        <w:t xml:space="preserve">    </w:t>
      </w:r>
      <w:r>
        <w:rPr>
          <w:rFonts w:ascii="SimSun" w:eastAsia="SimSun" w:hAnsi="SimSun" w:cs="SimSun"/>
          <w:spacing w:val="5"/>
        </w:rPr>
        <w:t xml:space="preserve">零点漂移  </w:t>
      </w:r>
      <w:r>
        <w:t>zero</w:t>
      </w:r>
      <w:r>
        <w:rPr>
          <w:spacing w:val="10"/>
        </w:rPr>
        <w:t xml:space="preserve">   </w:t>
      </w:r>
      <w:r>
        <w:t>drift</w:t>
      </w:r>
    </w:p>
    <w:p>
      <w:pPr>
        <w:spacing w:before="97" w:line="528" w:lineRule="exact"/>
        <w:ind w:left="49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2"/>
          <w:position w:val="22"/>
          <w:sz w:val="23"/>
          <w:szCs w:val="23"/>
        </w:rPr>
        <w:t>检定开始至检定结束前，无样品时透射密度的示值变化。</w:t>
      </w:r>
    </w:p>
    <w:p>
      <w:pPr>
        <w:spacing w:before="1" w:line="220" w:lineRule="auto"/>
        <w:ind w:left="9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4"/>
          <w:sz w:val="23"/>
          <w:szCs w:val="23"/>
        </w:rPr>
        <w:t>4</w:t>
      </w:r>
      <w:r>
        <w:rPr>
          <w:rFonts w:ascii="SimHei" w:eastAsia="SimHei" w:hAnsi="SimHei" w:cs="SimHei"/>
          <w:spacing w:val="4"/>
          <w:sz w:val="23"/>
          <w:szCs w:val="23"/>
        </w:rPr>
        <w:t xml:space="preserve">  </w:t>
      </w:r>
      <w:r>
        <w:rPr>
          <w:rFonts w:ascii="SimHei" w:eastAsia="SimHei" w:hAnsi="SimHei" w:cs="SimHei"/>
          <w:spacing w:val="4"/>
          <w:sz w:val="23"/>
          <w:szCs w:val="23"/>
        </w:rPr>
        <w:t>概述</w:t>
      </w:r>
    </w:p>
    <w:p>
      <w:pPr>
        <w:pStyle w:val="BodyText"/>
        <w:spacing w:before="277" w:line="262" w:lineRule="auto"/>
        <w:ind w:left="39" w:firstLine="479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5"/>
        </w:rPr>
        <w:t>密度计是测量感光材料光学性能主要器具之一，广泛应用于摄影、医学</w:t>
      </w:r>
      <w:r>
        <w:rPr>
          <w:spacing w:val="15"/>
        </w:rPr>
        <w:t>X-</w:t>
      </w:r>
      <w:r>
        <w:rPr>
          <w:rFonts w:ascii="SimSun" w:eastAsia="SimSun" w:hAnsi="SimSun" w:cs="SimSun"/>
          <w:spacing w:val="14"/>
        </w:rPr>
        <w:t>光诊断、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13"/>
        </w:rPr>
        <w:t>工业</w:t>
      </w:r>
      <w:r>
        <w:rPr>
          <w:rFonts w:ascii="SimSun" w:eastAsia="SimSun" w:hAnsi="SimSun" w:cs="SimSun"/>
          <w:spacing w:val="-45"/>
        </w:rPr>
        <w:t xml:space="preserve"> </w:t>
      </w:r>
      <w:r>
        <w:rPr>
          <w:spacing w:val="13"/>
        </w:rPr>
        <w:t>X-</w:t>
      </w:r>
      <w:r>
        <w:rPr>
          <w:rFonts w:ascii="SimSun" w:eastAsia="SimSun" w:hAnsi="SimSun" w:cs="SimSun"/>
          <w:spacing w:val="13"/>
        </w:rPr>
        <w:t xml:space="preserve">光无损检测，在分子生物学(例如： </w:t>
      </w:r>
      <w:r>
        <w:t>DNA</w:t>
      </w:r>
      <w:r>
        <w:rPr>
          <w:spacing w:val="13"/>
        </w:rPr>
        <w:t xml:space="preserve">  </w:t>
      </w:r>
      <w:r>
        <w:rPr>
          <w:rFonts w:ascii="SimSun" w:eastAsia="SimSun" w:hAnsi="SimSun" w:cs="SimSun"/>
          <w:spacing w:val="13"/>
        </w:rPr>
        <w:t>排序等)等行业。</w:t>
      </w:r>
    </w:p>
    <w:p>
      <w:pPr>
        <w:spacing w:before="96" w:line="219" w:lineRule="auto"/>
        <w:ind w:left="49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3"/>
          <w:sz w:val="23"/>
          <w:szCs w:val="23"/>
        </w:rPr>
        <w:t>密度计主要由光源、光学部件和接受器组成。光源发出的光</w:t>
      </w:r>
      <w:r>
        <w:rPr>
          <w:rFonts w:ascii="SimSun" w:eastAsia="SimSun" w:hAnsi="SimSun" w:cs="SimSun"/>
          <w:spacing w:val="12"/>
          <w:sz w:val="23"/>
          <w:szCs w:val="23"/>
        </w:rPr>
        <w:t>经光学部件后以规定几</w:t>
      </w:r>
    </w:p>
    <w:p>
      <w:pPr>
        <w:spacing w:line="219" w:lineRule="auto"/>
        <w:rPr>
          <w:rFonts w:ascii="SimSun" w:eastAsia="SimSun" w:hAnsi="SimSun" w:cs="SimSun"/>
          <w:sz w:val="23"/>
          <w:szCs w:val="23"/>
        </w:rPr>
        <w:sectPr>
          <w:headerReference w:type="default" r:id="rId8"/>
          <w:footerReference w:type="default" r:id="rId9"/>
          <w:type w:val="nextPage"/>
          <w:pgSz w:w="11900" w:h="16840"/>
          <w:pgMar w:top="1679" w:right="1124" w:bottom="922" w:left="1410" w:header="1423" w:footer="763" w:gutter="0"/>
          <w:pgNumType w:start="2"/>
          <w:cols w:space="708"/>
          <w:titlePg w:val="0"/>
        </w:sectPr>
      </w:pPr>
    </w:p>
    <w:p>
      <w:pPr>
        <w:spacing w:before="219" w:line="263" w:lineRule="auto"/>
        <w:ind w:right="86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sz w:val="24"/>
          <w:szCs w:val="24"/>
        </w:rPr>
        <w:t>何模式投射到样品上，探测器以规定的几何模式接收透过该样品的光，经光电转换</w:t>
      </w:r>
      <w:r>
        <w:rPr>
          <w:rFonts w:ascii="SimSun" w:eastAsia="SimSun" w:hAnsi="SimSun" w:cs="SimSun"/>
          <w:spacing w:val="2"/>
          <w:sz w:val="24"/>
          <w:szCs w:val="24"/>
        </w:rPr>
        <w:t>并按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3"/>
          <w:sz w:val="24"/>
          <w:szCs w:val="24"/>
        </w:rPr>
        <w:t>照密度定义或校准方式进行信号处理，即可得到该样品的密度值。密度计的</w:t>
      </w:r>
      <w:r>
        <w:rPr>
          <w:rFonts w:ascii="SimSun" w:eastAsia="SimSun" w:hAnsi="SimSun" w:cs="SimSun"/>
          <w:spacing w:val="2"/>
          <w:sz w:val="24"/>
          <w:szCs w:val="24"/>
        </w:rPr>
        <w:t>几何条件应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2"/>
          <w:sz w:val="24"/>
          <w:szCs w:val="24"/>
        </w:rPr>
        <w:t>符合</w:t>
      </w:r>
      <w:r>
        <w:rPr>
          <w:rFonts w:ascii="SimSun" w:eastAsia="SimSun" w:hAnsi="SimSun" w:cs="SimSun"/>
          <w:sz w:val="24"/>
          <w:szCs w:val="24"/>
        </w:rPr>
        <w:t>GB</w:t>
      </w:r>
      <w:r>
        <w:rPr>
          <w:rFonts w:ascii="SimSun" w:eastAsia="SimSun" w:hAnsi="SimSun" w:cs="SimSun"/>
          <w:spacing w:val="2"/>
          <w:sz w:val="24"/>
          <w:szCs w:val="24"/>
        </w:rPr>
        <w:t>/T11500—2008</w:t>
      </w:r>
      <w:r>
        <w:rPr>
          <w:rFonts w:ascii="SimSun" w:eastAsia="SimSun" w:hAnsi="SimSun" w:cs="SimSun"/>
          <w:spacing w:val="40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2"/>
          <w:sz w:val="24"/>
          <w:szCs w:val="24"/>
        </w:rPr>
        <w:t>的规定，其光谱条件应符合</w:t>
      </w:r>
      <w:r>
        <w:rPr>
          <w:rFonts w:ascii="SimSun" w:eastAsia="SimSun" w:hAnsi="SimSun" w:cs="SimSun"/>
          <w:sz w:val="24"/>
          <w:szCs w:val="24"/>
        </w:rPr>
        <w:t>GB</w:t>
      </w:r>
      <w:r>
        <w:rPr>
          <w:rFonts w:ascii="SimSun" w:eastAsia="SimSun" w:hAnsi="SimSun" w:cs="SimSun"/>
          <w:spacing w:val="2"/>
          <w:sz w:val="24"/>
          <w:szCs w:val="24"/>
        </w:rPr>
        <w:t>/T11501—2008</w:t>
      </w:r>
      <w:r>
        <w:rPr>
          <w:rFonts w:ascii="SimSun" w:eastAsia="SimSun" w:hAnsi="SimSun" w:cs="SimSun"/>
          <w:spacing w:val="53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2"/>
          <w:sz w:val="24"/>
          <w:szCs w:val="24"/>
        </w:rPr>
        <w:t>的规定。</w:t>
      </w:r>
    </w:p>
    <w:p>
      <w:pPr>
        <w:spacing w:before="271" w:line="222" w:lineRule="auto"/>
        <w:ind w:left="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5"/>
          <w:sz w:val="24"/>
          <w:szCs w:val="24"/>
        </w:rPr>
        <w:t>5</w:t>
      </w:r>
      <w:r>
        <w:rPr>
          <w:rFonts w:ascii="SimHei" w:eastAsia="SimHei" w:hAnsi="SimHei" w:cs="SimHei"/>
          <w:spacing w:val="117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4"/>
          <w:szCs w:val="24"/>
        </w:rPr>
        <w:t>计量性能要求</w:t>
      </w:r>
    </w:p>
    <w:p>
      <w:pPr>
        <w:spacing w:before="265" w:line="253" w:lineRule="auto"/>
        <w:ind w:left="500" w:right="7666" w:hanging="50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5.1</w:t>
      </w:r>
      <w:r>
        <w:rPr>
          <w:rFonts w:ascii="SimSun" w:eastAsia="SimSun" w:hAnsi="SimSun" w:cs="SimSun"/>
          <w:spacing w:val="11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测量范围</w:t>
      </w:r>
      <w:r>
        <w:rPr>
          <w:rFonts w:ascii="SimSun" w:eastAsia="SimSun" w:hAnsi="SimSun" w:cs="SimSun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6"/>
          <w:sz w:val="24"/>
          <w:szCs w:val="24"/>
        </w:rPr>
        <w:t>0.0～5.0。</w:t>
      </w:r>
    </w:p>
    <w:p>
      <w:pPr>
        <w:spacing w:before="91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5.2</w:t>
      </w:r>
      <w:r>
        <w:rPr>
          <w:rFonts w:ascii="SimSun" w:eastAsia="SimSun" w:hAnsi="SimSun" w:cs="SimSun"/>
          <w:spacing w:val="1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最大允许误差</w:t>
      </w:r>
    </w:p>
    <w:p>
      <w:pPr>
        <w:spacing w:line="100" w:lineRule="exact"/>
      </w:pPr>
    </w:p>
    <w:tbl>
      <w:tblPr>
        <w:tblStyle w:val="TableNormal0"/>
        <w:tblW w:w="9249" w:type="dxa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499"/>
        <w:gridCol w:w="3750"/>
      </w:tblGrid>
      <w:tr>
        <w:tblPrEx>
          <w:tblW w:w="9249" w:type="dxa"/>
          <w:tblInd w:w="3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2"/>
        </w:trPr>
        <w:tc>
          <w:tcPr>
            <w:tcW w:w="5499" w:type="dxa"/>
            <w:vAlign w:val="top"/>
          </w:tcPr>
          <w:p>
            <w:pPr>
              <w:spacing w:before="113" w:line="219" w:lineRule="auto"/>
              <w:ind w:left="214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最大允许误差</w:t>
            </w:r>
          </w:p>
        </w:tc>
        <w:tc>
          <w:tcPr>
            <w:tcW w:w="3750" w:type="dxa"/>
            <w:vAlign w:val="top"/>
          </w:tcPr>
          <w:p>
            <w:pPr>
              <w:spacing w:before="113" w:line="220" w:lineRule="auto"/>
              <w:ind w:left="146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密度范围</w:t>
            </w:r>
          </w:p>
        </w:tc>
      </w:tr>
      <w:tr>
        <w:tblPrEx>
          <w:tblW w:w="9249" w:type="dxa"/>
          <w:tblInd w:w="39" w:type="dxa"/>
          <w:tblLayout w:type="fixed"/>
        </w:tblPrEx>
        <w:trPr>
          <w:trHeight w:val="408"/>
        </w:trPr>
        <w:tc>
          <w:tcPr>
            <w:tcW w:w="5499" w:type="dxa"/>
            <w:vAlign w:val="top"/>
          </w:tcPr>
          <w:p>
            <w:pPr>
              <w:spacing w:before="127" w:line="234" w:lineRule="auto"/>
              <w:ind w:left="244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士0.02</w:t>
            </w:r>
          </w:p>
        </w:tc>
        <w:tc>
          <w:tcPr>
            <w:tcW w:w="3750" w:type="dxa"/>
            <w:vAlign w:val="top"/>
          </w:tcPr>
          <w:p>
            <w:pPr>
              <w:spacing w:before="128" w:line="236" w:lineRule="auto"/>
              <w:ind w:left="136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0.0&lt;D≤2.0</w:t>
            </w:r>
          </w:p>
        </w:tc>
      </w:tr>
      <w:tr>
        <w:tblPrEx>
          <w:tblW w:w="9249" w:type="dxa"/>
          <w:tblInd w:w="39" w:type="dxa"/>
          <w:tblLayout w:type="fixed"/>
        </w:tblPrEx>
        <w:trPr>
          <w:trHeight w:val="407"/>
        </w:trPr>
        <w:tc>
          <w:tcPr>
            <w:tcW w:w="5499" w:type="dxa"/>
            <w:vAlign w:val="top"/>
          </w:tcPr>
          <w:p>
            <w:pPr>
              <w:spacing w:before="130" w:line="235" w:lineRule="auto"/>
              <w:ind w:left="254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±1%</w:t>
            </w:r>
          </w:p>
        </w:tc>
        <w:tc>
          <w:tcPr>
            <w:tcW w:w="3750" w:type="dxa"/>
            <w:vAlign w:val="top"/>
          </w:tcPr>
          <w:p>
            <w:pPr>
              <w:spacing w:before="130" w:line="236" w:lineRule="auto"/>
              <w:ind w:left="136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2.0&lt;D≤4.0</w:t>
            </w:r>
          </w:p>
        </w:tc>
      </w:tr>
      <w:tr>
        <w:tblPrEx>
          <w:tblW w:w="9249" w:type="dxa"/>
          <w:tblInd w:w="39" w:type="dxa"/>
          <w:tblLayout w:type="fixed"/>
        </w:tblPrEx>
        <w:trPr>
          <w:trHeight w:val="423"/>
        </w:trPr>
        <w:tc>
          <w:tcPr>
            <w:tcW w:w="5499" w:type="dxa"/>
            <w:vAlign w:val="top"/>
          </w:tcPr>
          <w:p>
            <w:pPr>
              <w:spacing w:before="132" w:line="234" w:lineRule="auto"/>
              <w:ind w:left="248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士</w:t>
            </w:r>
            <w:r>
              <w:rPr>
                <w:rFonts w:ascii="SimSun" w:eastAsia="SimSun" w:hAnsi="SimSun" w:cs="SimSun"/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2</w:t>
            </w:r>
            <w:r>
              <w:rPr>
                <w:rFonts w:ascii="SimSun" w:eastAsia="SimSun" w:hAnsi="SimSun" w:cs="SimSun"/>
                <w:spacing w:val="-30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%</w:t>
            </w:r>
          </w:p>
        </w:tc>
        <w:tc>
          <w:tcPr>
            <w:tcW w:w="3750" w:type="dxa"/>
            <w:vAlign w:val="top"/>
          </w:tcPr>
          <w:p>
            <w:pPr>
              <w:spacing w:before="133" w:line="236" w:lineRule="auto"/>
              <w:ind w:left="136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4.0&lt;D≤5.0</w:t>
            </w:r>
          </w:p>
        </w:tc>
      </w:tr>
    </w:tbl>
    <w:p>
      <w:pPr>
        <w:spacing w:line="252" w:lineRule="auto"/>
        <w:rPr>
          <w:rFonts w:ascii="Arial"/>
          <w:sz w:val="21"/>
        </w:rPr>
      </w:pPr>
    </w:p>
    <w:p>
      <w:pPr>
        <w:spacing w:before="78" w:line="219" w:lineRule="auto"/>
        <w:ind w:left="3"/>
        <w:outlineLvl w:val="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6"/>
          <w:sz w:val="24"/>
          <w:szCs w:val="24"/>
        </w:rPr>
        <w:t>5.3</w:t>
      </w:r>
      <w:r>
        <w:rPr>
          <w:rFonts w:ascii="SimSun" w:eastAsia="SimSun" w:hAnsi="SimSun" w:cs="SimSun"/>
          <w:spacing w:val="115"/>
          <w:sz w:val="24"/>
          <w:szCs w:val="24"/>
        </w:rPr>
        <w:t xml:space="preserve"> </w:t>
      </w:r>
      <w:r>
        <w:rPr>
          <w:rFonts w:ascii="SimSun" w:eastAsia="SimSun" w:hAnsi="SimSun" w:cs="SimSun"/>
          <w:b/>
          <w:bCs/>
          <w:spacing w:val="-6"/>
          <w:sz w:val="24"/>
          <w:szCs w:val="24"/>
        </w:rPr>
        <w:t>零点漂移</w:t>
      </w:r>
    </w:p>
    <w:p>
      <w:pPr>
        <w:spacing w:before="109" w:line="235" w:lineRule="auto"/>
        <w:ind w:left="50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0"/>
          <w:sz w:val="24"/>
          <w:szCs w:val="24"/>
        </w:rPr>
        <w:t>±0.01。</w:t>
      </w:r>
    </w:p>
    <w:p>
      <w:pPr>
        <w:spacing w:before="45" w:line="379" w:lineRule="exac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position w:val="10"/>
          <w:sz w:val="24"/>
          <w:szCs w:val="24"/>
        </w:rPr>
        <w:t>5.4</w:t>
      </w:r>
      <w:r>
        <w:rPr>
          <w:rFonts w:ascii="SimSun" w:eastAsia="SimSun" w:hAnsi="SimSun" w:cs="SimSun"/>
          <w:spacing w:val="116"/>
          <w:position w:val="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position w:val="10"/>
          <w:sz w:val="24"/>
          <w:szCs w:val="24"/>
        </w:rPr>
        <w:t>重复性</w:t>
      </w:r>
    </w:p>
    <w:p>
      <w:pPr>
        <w:spacing w:before="1" w:line="235" w:lineRule="auto"/>
        <w:ind w:left="50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0"/>
          <w:sz w:val="24"/>
          <w:szCs w:val="24"/>
        </w:rPr>
        <w:t>±0.01。</w:t>
      </w:r>
    </w:p>
    <w:p>
      <w:pPr>
        <w:spacing w:before="260" w:line="222" w:lineRule="auto"/>
        <w:ind w:left="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5"/>
          <w:sz w:val="24"/>
          <w:szCs w:val="24"/>
        </w:rPr>
        <w:t>6</w:t>
      </w:r>
      <w:r>
        <w:rPr>
          <w:rFonts w:ascii="SimHei" w:eastAsia="SimHei" w:hAnsi="SimHei" w:cs="SimHei"/>
          <w:spacing w:val="100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4"/>
          <w:szCs w:val="24"/>
        </w:rPr>
        <w:t>通用技术要求</w:t>
      </w:r>
    </w:p>
    <w:p>
      <w:pPr>
        <w:spacing w:before="256"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6.1</w:t>
      </w:r>
      <w:r>
        <w:rPr>
          <w:rFonts w:ascii="SimSun" w:eastAsia="SimSun" w:hAnsi="SimSun" w:cs="SimSun"/>
          <w:spacing w:val="15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4"/>
          <w:sz w:val="24"/>
          <w:szCs w:val="24"/>
        </w:rPr>
        <w:t>外观</w:t>
      </w:r>
    </w:p>
    <w:p>
      <w:pPr>
        <w:spacing w:before="91" w:line="258" w:lineRule="auto"/>
        <w:ind w:right="86" w:firstLine="500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9"/>
          <w:sz w:val="24"/>
          <w:szCs w:val="24"/>
        </w:rPr>
        <w:t>密度计的所有光学部件应清洁、无划痕等，测量臂移动方便且保证测量定位，按</w:t>
      </w:r>
      <w:r>
        <w:rPr>
          <w:rFonts w:ascii="SimSun" w:eastAsia="SimSun" w:hAnsi="SimSun" w:cs="SimSun"/>
          <w:spacing w:val="1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2"/>
          <w:sz w:val="24"/>
          <w:szCs w:val="24"/>
        </w:rPr>
        <w:t>键、开关的标识正确，显示器显示清晰，显示器分辨力小于或等于0.01,工作面要求</w:t>
      </w:r>
      <w:r>
        <w:rPr>
          <w:rFonts w:ascii="SimSun" w:eastAsia="SimSun" w:hAnsi="SimSun" w:cs="SimSun"/>
          <w:spacing w:val="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平整清洁不损伤被测样品。</w:t>
      </w:r>
    </w:p>
    <w:p>
      <w:pPr>
        <w:spacing w:before="86"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6.2</w:t>
      </w:r>
      <w:r>
        <w:rPr>
          <w:rFonts w:ascii="SimSun" w:eastAsia="SimSun" w:hAnsi="SimSun" w:cs="SimSun"/>
          <w:spacing w:val="10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6"/>
          <w:sz w:val="24"/>
          <w:szCs w:val="24"/>
        </w:rPr>
        <w:t>标志</w:t>
      </w:r>
    </w:p>
    <w:p>
      <w:pPr>
        <w:spacing w:before="114" w:line="219" w:lineRule="auto"/>
        <w:ind w:left="50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密度计应有制造厂名、产品名称、型号、编号和出厂日期等。</w:t>
      </w:r>
    </w:p>
    <w:p>
      <w:pPr>
        <w:spacing w:before="252" w:line="223" w:lineRule="auto"/>
        <w:ind w:left="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1"/>
          <w:sz w:val="24"/>
          <w:szCs w:val="24"/>
        </w:rPr>
        <w:t>7</w:t>
      </w:r>
      <w:r>
        <w:rPr>
          <w:rFonts w:ascii="SimHei" w:eastAsia="SimHei" w:hAnsi="SimHei" w:cs="SimHei"/>
          <w:spacing w:val="-1"/>
          <w:sz w:val="24"/>
          <w:szCs w:val="24"/>
        </w:rPr>
        <w:t xml:space="preserve">  </w:t>
      </w:r>
      <w:r>
        <w:rPr>
          <w:rFonts w:ascii="SimHei" w:eastAsia="SimHei" w:hAnsi="SimHei" w:cs="SimHei"/>
          <w:b/>
          <w:bCs/>
          <w:spacing w:val="-1"/>
          <w:sz w:val="24"/>
          <w:szCs w:val="24"/>
        </w:rPr>
        <w:t>计量器具控制</w:t>
      </w:r>
    </w:p>
    <w:p>
      <w:pPr>
        <w:spacing w:before="273" w:line="219" w:lineRule="auto"/>
        <w:ind w:left="50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计量器具控制包括首次检定、后续检定及使用中检验。</w:t>
      </w:r>
    </w:p>
    <w:p>
      <w:pPr>
        <w:spacing w:before="85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7.1</w:t>
      </w:r>
      <w:r>
        <w:rPr>
          <w:rFonts w:ascii="SimSun" w:eastAsia="SimSun" w:hAnsi="SimSun" w:cs="SimSun"/>
          <w:spacing w:val="10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检定条件</w:t>
      </w:r>
    </w:p>
    <w:p>
      <w:pPr>
        <w:spacing w:before="86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7.1.1</w:t>
      </w:r>
      <w:r>
        <w:rPr>
          <w:rFonts w:ascii="SimSun" w:eastAsia="SimSun" w:hAnsi="SimSun" w:cs="SimSun"/>
          <w:spacing w:val="10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环境条件</w:t>
      </w:r>
    </w:p>
    <w:p>
      <w:pPr>
        <w:spacing w:before="71" w:line="216" w:lineRule="auto"/>
        <w:ind w:left="50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9"/>
          <w:sz w:val="24"/>
          <w:szCs w:val="24"/>
        </w:rPr>
        <w:t>环境温度为(23±5)℃,相对湿度(20</w:t>
      </w:r>
      <w:r>
        <w:rPr>
          <w:rFonts w:ascii="SimSun" w:eastAsia="SimSun" w:hAnsi="SimSun" w:cs="SimSun"/>
          <w:spacing w:val="18"/>
          <w:sz w:val="24"/>
          <w:szCs w:val="24"/>
        </w:rPr>
        <w:t>～80)%。</w:t>
      </w:r>
    </w:p>
    <w:p>
      <w:pPr>
        <w:spacing w:before="83" w:line="219" w:lineRule="auto"/>
        <w:rPr>
          <w:rFonts w:ascii="SimSun" w:eastAsia="SimSun" w:hAnsi="SimSun" w:cs="SimSun"/>
          <w:sz w:val="24"/>
          <w:szCs w:val="24"/>
        </w:rPr>
        <w:sectPr>
          <w:headerReference w:type="default" r:id="rId10"/>
          <w:footerReference w:type="default" r:id="rId11"/>
          <w:pgSz w:w="11900" w:h="16840"/>
          <w:pgMar w:top="1629" w:right="1390" w:bottom="1042" w:left="1190" w:header="1294" w:footer="883" w:gutter="0"/>
          <w:pgNumType w:start="3"/>
          <w:cols w:space="708"/>
        </w:sectPr>
      </w:pPr>
      <w:r>
        <w:rPr>
          <w:rFonts w:ascii="SimSun" w:eastAsia="SimSun" w:hAnsi="SimSun" w:cs="SimSun"/>
          <w:spacing w:val="-3"/>
          <w:sz w:val="24"/>
          <w:szCs w:val="24"/>
        </w:rPr>
        <w:t>7.1.2</w:t>
      </w:r>
      <w:r>
        <w:rPr>
          <w:rFonts w:ascii="SimSun" w:eastAsia="SimSun" w:hAnsi="SimSun" w:cs="SimSun"/>
          <w:spacing w:val="10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检定设备</w:t>
      </w:r>
    </w:p>
    <w:p>
      <w:pPr>
        <w:spacing w:before="91" w:line="261" w:lineRule="auto"/>
        <w:ind w:right="85" w:firstLine="500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2"/>
          <w:sz w:val="24"/>
          <w:szCs w:val="24"/>
        </w:rPr>
        <w:t>密度片二套，其密度值范围0.0～4.0,密度级数</w:t>
      </w:r>
      <w:r>
        <w:rPr>
          <w:rFonts w:ascii="SimSun" w:eastAsia="SimSun" w:hAnsi="SimSun" w:cs="SimSun"/>
          <w:spacing w:val="11"/>
          <w:sz w:val="24"/>
          <w:szCs w:val="24"/>
        </w:rPr>
        <w:t>不少于12级；密度片一套，其密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5"/>
          <w:sz w:val="24"/>
          <w:szCs w:val="24"/>
        </w:rPr>
        <w:t>度值范围4.0～5.0,密度级数不少于3级；密度值由标准</w:t>
      </w:r>
      <w:r>
        <w:rPr>
          <w:rFonts w:ascii="SimSun" w:eastAsia="SimSun" w:hAnsi="SimSun" w:cs="SimSun"/>
          <w:spacing w:val="14"/>
          <w:sz w:val="24"/>
          <w:szCs w:val="24"/>
        </w:rPr>
        <w:t>密度片检定装置周期检定给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出。量值传递应符合国家检定系统。</w:t>
      </w:r>
    </w:p>
    <w:p>
      <w:pPr>
        <w:spacing w:before="77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7.2  检定项目和检定方法</w:t>
      </w:r>
    </w:p>
    <w:p>
      <w:pPr>
        <w:spacing w:before="95" w:line="219" w:lineRule="auto"/>
        <w:ind w:left="50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8"/>
          <w:sz w:val="24"/>
          <w:szCs w:val="24"/>
        </w:rPr>
        <w:t>表1给出了检定项目和检定方法。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headerReference w:type="default" r:id="rId12"/>
          <w:footerReference w:type="default" r:id="rId13"/>
          <w:type w:val="nextPage"/>
          <w:pgSz w:w="11900" w:h="16840"/>
          <w:pgMar w:top="1629" w:right="1390" w:bottom="1042" w:left="1190" w:header="1294" w:footer="883" w:gutter="0"/>
          <w:pgNumType w:start="4"/>
          <w:cols w:space="708"/>
          <w:titlePg w:val="0"/>
        </w:sectPr>
      </w:pPr>
    </w:p>
    <w:p>
      <w:pPr>
        <w:spacing w:before="214" w:line="222" w:lineRule="auto"/>
        <w:ind w:left="393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25"/>
          <w:sz w:val="24"/>
          <w:szCs w:val="24"/>
        </w:rPr>
        <w:t>表</w:t>
      </w:r>
      <w:r>
        <w:rPr>
          <w:rFonts w:ascii="SimHei" w:eastAsia="SimHei" w:hAnsi="SimHei" w:cs="SimHei"/>
          <w:spacing w:val="-25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-25"/>
          <w:sz w:val="24"/>
          <w:szCs w:val="24"/>
        </w:rPr>
        <w:t>1</w:t>
      </w:r>
      <w:r>
        <w:rPr>
          <w:rFonts w:ascii="SimHei" w:eastAsia="SimHei" w:hAnsi="SimHei" w:cs="SimHei"/>
          <w:spacing w:val="51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-25"/>
          <w:sz w:val="24"/>
          <w:szCs w:val="24"/>
        </w:rPr>
        <w:t>检定项目</w:t>
      </w:r>
    </w:p>
    <w:p>
      <w:pPr>
        <w:spacing w:line="91" w:lineRule="exact"/>
      </w:pPr>
    </w:p>
    <w:tbl>
      <w:tblPr>
        <w:tblStyle w:val="TableNormal1"/>
        <w:tblW w:w="9279" w:type="dxa"/>
        <w:tblInd w:w="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123"/>
        <w:gridCol w:w="2137"/>
        <w:gridCol w:w="2127"/>
        <w:gridCol w:w="2892"/>
      </w:tblGrid>
      <w:tr>
        <w:tblPrEx>
          <w:tblW w:w="9279" w:type="dxa"/>
          <w:tblInd w:w="2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22"/>
        </w:trPr>
        <w:tc>
          <w:tcPr>
            <w:tcW w:w="2123" w:type="dxa"/>
            <w:vAlign w:val="top"/>
          </w:tcPr>
          <w:p>
            <w:pPr>
              <w:pStyle w:val="TableText"/>
              <w:spacing w:before="113" w:line="219" w:lineRule="auto"/>
              <w:ind w:left="634"/>
            </w:pPr>
            <w:r>
              <w:rPr>
                <w:spacing w:val="10"/>
              </w:rPr>
              <w:t>检定项目</w:t>
            </w:r>
          </w:p>
        </w:tc>
        <w:tc>
          <w:tcPr>
            <w:tcW w:w="2137" w:type="dxa"/>
            <w:vAlign w:val="top"/>
          </w:tcPr>
          <w:p>
            <w:pPr>
              <w:pStyle w:val="TableText"/>
              <w:spacing w:before="113" w:line="219" w:lineRule="auto"/>
              <w:ind w:left="641"/>
            </w:pPr>
            <w:r>
              <w:rPr>
                <w:spacing w:val="3"/>
              </w:rPr>
              <w:t>首次检定</w:t>
            </w:r>
          </w:p>
        </w:tc>
        <w:tc>
          <w:tcPr>
            <w:tcW w:w="2127" w:type="dxa"/>
            <w:vAlign w:val="top"/>
          </w:tcPr>
          <w:p>
            <w:pPr>
              <w:pStyle w:val="TableText"/>
              <w:spacing w:before="113" w:line="219" w:lineRule="auto"/>
              <w:ind w:left="634"/>
            </w:pPr>
            <w:r>
              <w:rPr>
                <w:spacing w:val="3"/>
              </w:rPr>
              <w:t>后续检定</w:t>
            </w:r>
          </w:p>
        </w:tc>
        <w:tc>
          <w:tcPr>
            <w:tcW w:w="2892" w:type="dxa"/>
            <w:vAlign w:val="top"/>
          </w:tcPr>
          <w:p>
            <w:pPr>
              <w:pStyle w:val="TableText"/>
              <w:spacing w:before="113" w:line="219" w:lineRule="auto"/>
              <w:ind w:left="917"/>
            </w:pPr>
            <w:r>
              <w:rPr>
                <w:spacing w:val="-2"/>
              </w:rPr>
              <w:t>使用中检验</w:t>
            </w:r>
          </w:p>
        </w:tc>
      </w:tr>
      <w:tr>
        <w:tblPrEx>
          <w:tblW w:w="9279" w:type="dxa"/>
          <w:tblInd w:w="29" w:type="dxa"/>
          <w:tblLayout w:type="fixed"/>
        </w:tblPrEx>
        <w:trPr>
          <w:trHeight w:val="418"/>
        </w:trPr>
        <w:tc>
          <w:tcPr>
            <w:tcW w:w="2123" w:type="dxa"/>
            <w:vAlign w:val="top"/>
          </w:tcPr>
          <w:p>
            <w:pPr>
              <w:pStyle w:val="TableText"/>
              <w:spacing w:before="112" w:line="220" w:lineRule="auto"/>
              <w:ind w:left="845"/>
            </w:pPr>
            <w:r>
              <w:rPr>
                <w:spacing w:val="5"/>
              </w:rPr>
              <w:t>外观</w:t>
            </w:r>
          </w:p>
        </w:tc>
        <w:tc>
          <w:tcPr>
            <w:tcW w:w="2137" w:type="dxa"/>
            <w:vAlign w:val="top"/>
          </w:tcPr>
          <w:p>
            <w:pPr>
              <w:pStyle w:val="TableText"/>
              <w:spacing w:before="112" w:line="221" w:lineRule="auto"/>
              <w:ind w:left="951"/>
            </w:pPr>
            <w:r>
              <w:t>十</w:t>
            </w:r>
          </w:p>
        </w:tc>
        <w:tc>
          <w:tcPr>
            <w:tcW w:w="2127" w:type="dxa"/>
            <w:vAlign w:val="top"/>
          </w:tcPr>
          <w:p>
            <w:pPr>
              <w:pStyle w:val="TableText"/>
              <w:spacing w:before="112" w:line="221" w:lineRule="auto"/>
              <w:ind w:left="954"/>
            </w:pPr>
            <w:r>
              <w:t>十</w:t>
            </w:r>
          </w:p>
        </w:tc>
        <w:tc>
          <w:tcPr>
            <w:tcW w:w="2892" w:type="dxa"/>
            <w:vAlign w:val="top"/>
          </w:tcPr>
          <w:p>
            <w:pPr>
              <w:pStyle w:val="TableText"/>
              <w:spacing w:before="112" w:line="221" w:lineRule="auto"/>
              <w:ind w:left="1338"/>
            </w:pPr>
            <w:r>
              <w:t>十</w:t>
            </w:r>
          </w:p>
        </w:tc>
      </w:tr>
      <w:tr>
        <w:tblPrEx>
          <w:tblW w:w="9279" w:type="dxa"/>
          <w:tblInd w:w="29" w:type="dxa"/>
          <w:tblLayout w:type="fixed"/>
        </w:tblPrEx>
        <w:trPr>
          <w:trHeight w:val="418"/>
        </w:trPr>
        <w:tc>
          <w:tcPr>
            <w:tcW w:w="2123" w:type="dxa"/>
            <w:vAlign w:val="top"/>
          </w:tcPr>
          <w:p>
            <w:pPr>
              <w:pStyle w:val="TableText"/>
              <w:spacing w:before="113" w:line="219" w:lineRule="auto"/>
              <w:ind w:left="634"/>
            </w:pPr>
            <w:r>
              <w:rPr>
                <w:spacing w:val="2"/>
              </w:rPr>
              <w:t>示值误差</w:t>
            </w:r>
          </w:p>
        </w:tc>
        <w:tc>
          <w:tcPr>
            <w:tcW w:w="2137" w:type="dxa"/>
            <w:vAlign w:val="top"/>
          </w:tcPr>
          <w:p>
            <w:pPr>
              <w:pStyle w:val="TableText"/>
              <w:spacing w:before="114" w:line="221" w:lineRule="auto"/>
              <w:ind w:left="951"/>
            </w:pPr>
            <w:r>
              <w:t>十</w:t>
            </w:r>
          </w:p>
        </w:tc>
        <w:tc>
          <w:tcPr>
            <w:tcW w:w="2127" w:type="dxa"/>
            <w:vAlign w:val="top"/>
          </w:tcPr>
          <w:p>
            <w:pPr>
              <w:pStyle w:val="TableText"/>
              <w:spacing w:before="114" w:line="221" w:lineRule="auto"/>
              <w:ind w:left="954"/>
            </w:pPr>
            <w:r>
              <w:t>十</w:t>
            </w:r>
          </w:p>
        </w:tc>
        <w:tc>
          <w:tcPr>
            <w:tcW w:w="2892" w:type="dxa"/>
            <w:vAlign w:val="top"/>
          </w:tcPr>
          <w:p>
            <w:pPr>
              <w:pStyle w:val="TableText"/>
              <w:spacing w:before="114" w:line="221" w:lineRule="auto"/>
              <w:ind w:left="1338"/>
            </w:pPr>
            <w:r>
              <w:t>十</w:t>
            </w:r>
          </w:p>
        </w:tc>
      </w:tr>
      <w:tr>
        <w:tblPrEx>
          <w:tblW w:w="9279" w:type="dxa"/>
          <w:tblInd w:w="29" w:type="dxa"/>
          <w:tblLayout w:type="fixed"/>
        </w:tblPrEx>
        <w:trPr>
          <w:trHeight w:val="408"/>
        </w:trPr>
        <w:tc>
          <w:tcPr>
            <w:tcW w:w="2123" w:type="dxa"/>
            <w:vAlign w:val="top"/>
          </w:tcPr>
          <w:p>
            <w:pPr>
              <w:pStyle w:val="TableText"/>
              <w:spacing w:before="105" w:line="219" w:lineRule="auto"/>
              <w:ind w:left="634"/>
            </w:pPr>
            <w:r>
              <w:rPr>
                <w:spacing w:val="2"/>
              </w:rPr>
              <w:t>零点漂移</w:t>
            </w:r>
          </w:p>
        </w:tc>
        <w:tc>
          <w:tcPr>
            <w:tcW w:w="2137" w:type="dxa"/>
            <w:vAlign w:val="top"/>
          </w:tcPr>
          <w:p>
            <w:pPr>
              <w:pStyle w:val="TableText"/>
              <w:spacing w:before="106" w:line="221" w:lineRule="auto"/>
              <w:ind w:left="951"/>
            </w:pPr>
            <w:r>
              <w:t>十</w:t>
            </w:r>
          </w:p>
        </w:tc>
        <w:tc>
          <w:tcPr>
            <w:tcW w:w="2127" w:type="dxa"/>
            <w:vAlign w:val="top"/>
          </w:tcPr>
          <w:p>
            <w:pPr>
              <w:pStyle w:val="TableText"/>
              <w:spacing w:before="106" w:line="221" w:lineRule="auto"/>
              <w:ind w:left="954"/>
            </w:pPr>
            <w:r>
              <w:t>十</w:t>
            </w:r>
          </w:p>
        </w:tc>
        <w:tc>
          <w:tcPr>
            <w:tcW w:w="2892" w:type="dxa"/>
            <w:vAlign w:val="top"/>
          </w:tcPr>
          <w:p>
            <w:pPr>
              <w:pStyle w:val="TableText"/>
              <w:spacing w:before="106" w:line="221" w:lineRule="auto"/>
              <w:ind w:left="1338"/>
            </w:pPr>
            <w:r>
              <w:t>十</w:t>
            </w:r>
          </w:p>
        </w:tc>
      </w:tr>
      <w:tr>
        <w:tblPrEx>
          <w:tblW w:w="9279" w:type="dxa"/>
          <w:tblInd w:w="29" w:type="dxa"/>
          <w:tblLayout w:type="fixed"/>
        </w:tblPrEx>
        <w:trPr>
          <w:trHeight w:val="413"/>
        </w:trPr>
        <w:tc>
          <w:tcPr>
            <w:tcW w:w="2123" w:type="dxa"/>
            <w:vAlign w:val="top"/>
          </w:tcPr>
          <w:p>
            <w:pPr>
              <w:pStyle w:val="TableText"/>
              <w:spacing w:before="108" w:line="220" w:lineRule="auto"/>
              <w:ind w:left="734"/>
            </w:pPr>
            <w:r>
              <w:rPr>
                <w:spacing w:val="-3"/>
              </w:rPr>
              <w:t>重复性</w:t>
            </w:r>
          </w:p>
        </w:tc>
        <w:tc>
          <w:tcPr>
            <w:tcW w:w="2137" w:type="dxa"/>
            <w:vAlign w:val="top"/>
          </w:tcPr>
          <w:p>
            <w:pPr>
              <w:pStyle w:val="TableText"/>
              <w:spacing w:before="108" w:line="221" w:lineRule="auto"/>
              <w:ind w:left="951"/>
            </w:pPr>
            <w:r>
              <w:t>十</w:t>
            </w:r>
          </w:p>
        </w:tc>
        <w:tc>
          <w:tcPr>
            <w:tcW w:w="2127" w:type="dxa"/>
            <w:vAlign w:val="top"/>
          </w:tcPr>
          <w:p>
            <w:pPr>
              <w:pStyle w:val="TableText"/>
              <w:spacing w:before="108" w:line="221" w:lineRule="auto"/>
              <w:ind w:left="954"/>
            </w:pPr>
            <w:r>
              <w:t>十</w:t>
            </w:r>
          </w:p>
        </w:tc>
        <w:tc>
          <w:tcPr>
            <w:tcW w:w="28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50" w:lineRule="auto"/>
        <w:rPr>
          <w:rFonts w:ascii="Arial"/>
          <w:sz w:val="21"/>
        </w:rPr>
      </w:pPr>
    </w:p>
    <w:p>
      <w:pPr>
        <w:spacing w:before="78" w:line="355" w:lineRule="exact"/>
        <w:ind w:left="489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2"/>
          <w:position w:val="8"/>
          <w:sz w:val="24"/>
          <w:szCs w:val="24"/>
        </w:rPr>
        <w:t>注：“+”表示需检定的项目</w:t>
      </w:r>
    </w:p>
    <w:p>
      <w:pPr>
        <w:spacing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7.2.1  外观</w:t>
      </w:r>
    </w:p>
    <w:p>
      <w:pPr>
        <w:spacing w:before="93" w:line="219" w:lineRule="auto"/>
        <w:ind w:left="48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8"/>
          <w:sz w:val="24"/>
          <w:szCs w:val="24"/>
        </w:rPr>
        <w:t>按6.1、6.2要求，用目视法进行外观检查。</w:t>
      </w:r>
    </w:p>
    <w:p>
      <w:pPr>
        <w:spacing w:before="86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7.2.2  密度计量值检定</w:t>
      </w:r>
    </w:p>
    <w:p>
      <w:pPr>
        <w:spacing w:before="105" w:line="219" w:lineRule="auto"/>
        <w:rPr>
          <w:rFonts w:ascii="SimSun" w:eastAsia="SimSun" w:hAnsi="SimSun" w:cs="SimSun"/>
          <w:sz w:val="24"/>
          <w:szCs w:val="24"/>
        </w:rPr>
      </w:pPr>
      <w:hyperlink r:id="rId14" w:history="1">
        <w:r>
          <w:rPr>
            <w:rFonts w:ascii="SimSun" w:eastAsia="SimSun" w:hAnsi="SimSun" w:cs="SimSun"/>
            <w:spacing w:val="2"/>
            <w:sz w:val="24"/>
            <w:szCs w:val="24"/>
          </w:rPr>
          <w:t>7.2.2.1</w:t>
        </w:r>
      </w:hyperlink>
      <w:r>
        <w:rPr>
          <w:rFonts w:ascii="SimSun" w:eastAsia="SimSun" w:hAnsi="SimSun" w:cs="SimSun"/>
          <w:spacing w:val="2"/>
          <w:sz w:val="24"/>
          <w:szCs w:val="24"/>
        </w:rPr>
        <w:t xml:space="preserve">  预热密度计，待读数稳定后，再进行量值检定。</w:t>
      </w:r>
    </w:p>
    <w:p>
      <w:pPr>
        <w:spacing w:before="55" w:line="219" w:lineRule="auto"/>
        <w:ind w:left="3"/>
        <w:rPr>
          <w:rFonts w:ascii="SimSun" w:eastAsia="SimSun" w:hAnsi="SimSun" w:cs="SimSun"/>
          <w:sz w:val="24"/>
          <w:szCs w:val="24"/>
        </w:rPr>
      </w:pPr>
      <w:hyperlink r:id="rId15" w:history="1">
        <w:r>
          <w:rPr>
            <w:rFonts w:ascii="SimSun" w:eastAsia="SimSun" w:hAnsi="SimSun" w:cs="SimSun"/>
            <w:b/>
            <w:bCs/>
            <w:spacing w:val="-3"/>
            <w:sz w:val="24"/>
            <w:szCs w:val="24"/>
          </w:rPr>
          <w:t>7.2.2.2</w:t>
        </w:r>
      </w:hyperlink>
      <w:r>
        <w:rPr>
          <w:rFonts w:ascii="SimSun" w:eastAsia="SimSun" w:hAnsi="SimSun" w:cs="SimSun"/>
          <w:spacing w:val="-3"/>
          <w:sz w:val="24"/>
          <w:szCs w:val="24"/>
        </w:rPr>
        <w:t xml:space="preserve">  示值误差</w:t>
      </w:r>
    </w:p>
    <w:p>
      <w:pPr>
        <w:pStyle w:val="BodyText"/>
        <w:spacing w:before="82" w:line="272" w:lineRule="auto"/>
        <w:ind w:right="74" w:firstLine="489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4"/>
          <w:sz w:val="24"/>
          <w:szCs w:val="24"/>
        </w:rPr>
        <w:t>密度计处于正常工作状后，将密度计的显示值置于零位，用</w:t>
      </w:r>
      <w:r>
        <w:rPr>
          <w:rFonts w:ascii="SimSun" w:eastAsia="SimSun" w:hAnsi="SimSun" w:cs="SimSun"/>
          <w:spacing w:val="3"/>
          <w:sz w:val="24"/>
          <w:szCs w:val="24"/>
        </w:rPr>
        <w:t>标准密度片校准被检定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3"/>
          <w:sz w:val="24"/>
          <w:szCs w:val="24"/>
        </w:rPr>
        <w:t>密度计的高密度示值，或按仪器使用说明校准，校准后，用标准密度片从低到高依次检</w:t>
      </w:r>
      <w:r>
        <w:rPr>
          <w:rFonts w:ascii="SimSun" w:eastAsia="SimSun" w:hAnsi="SimSun" w:cs="SimSun"/>
          <w:spacing w:val="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6"/>
          <w:sz w:val="24"/>
          <w:szCs w:val="24"/>
        </w:rPr>
        <w:t>定密度计示值。测量时，将每一级密度片的中心对准密度计的出射光阑(每一级放置光</w:t>
      </w:r>
      <w:r>
        <w:rPr>
          <w:rFonts w:ascii="SimSun" w:eastAsia="SimSun" w:hAnsi="SimSun" w:cs="SimSun"/>
          <w:spacing w:val="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9"/>
          <w:sz w:val="24"/>
          <w:szCs w:val="24"/>
        </w:rPr>
        <w:t>阑的时间不大于5</w:t>
      </w:r>
      <w:r>
        <w:rPr>
          <w:rFonts w:ascii="SimSun" w:eastAsia="SimSun" w:hAnsi="SimSun" w:cs="SimSun"/>
          <w:spacing w:val="-65"/>
          <w:sz w:val="24"/>
          <w:szCs w:val="24"/>
        </w:rPr>
        <w:t xml:space="preserve"> </w:t>
      </w:r>
      <w:r>
        <w:rPr>
          <w:spacing w:val="9"/>
          <w:sz w:val="24"/>
          <w:szCs w:val="24"/>
        </w:rPr>
        <w:t xml:space="preserve">s,   </w:t>
      </w:r>
      <w:r>
        <w:rPr>
          <w:rFonts w:ascii="SimSun" w:eastAsia="SimSun" w:hAnsi="SimSun" w:cs="SimSun"/>
          <w:spacing w:val="9"/>
          <w:sz w:val="24"/>
          <w:szCs w:val="24"/>
        </w:rPr>
        <w:t>以免标准密度</w:t>
      </w:r>
      <w:r>
        <w:rPr>
          <w:rFonts w:ascii="SimSun" w:eastAsia="SimSun" w:hAnsi="SimSun" w:cs="SimSun"/>
          <w:spacing w:val="8"/>
          <w:sz w:val="24"/>
          <w:szCs w:val="24"/>
        </w:rPr>
        <w:t>片受热损毁),测量三次，然后取平均值，作为该级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7"/>
          <w:sz w:val="24"/>
          <w:szCs w:val="24"/>
        </w:rPr>
        <w:t>的密度计检定示值。示值误差应符合5.2的规定。</w:t>
      </w:r>
    </w:p>
    <w:p>
      <w:pPr>
        <w:spacing w:before="56" w:line="219" w:lineRule="auto"/>
        <w:rPr>
          <w:rFonts w:ascii="SimSun" w:eastAsia="SimSun" w:hAnsi="SimSun" w:cs="SimSun"/>
          <w:sz w:val="24"/>
          <w:szCs w:val="24"/>
        </w:rPr>
      </w:pPr>
      <w:hyperlink r:id="rId16" w:history="1">
        <w:r>
          <w:rPr>
            <w:rFonts w:ascii="SimSun" w:eastAsia="SimSun" w:hAnsi="SimSun" w:cs="SimSun"/>
            <w:spacing w:val="-3"/>
            <w:sz w:val="24"/>
            <w:szCs w:val="24"/>
          </w:rPr>
          <w:t>7.2.2.3</w:t>
        </w:r>
      </w:hyperlink>
      <w:r>
        <w:rPr>
          <w:rFonts w:ascii="SimSun" w:eastAsia="SimSun" w:hAnsi="SimSun" w:cs="SimSun"/>
          <w:spacing w:val="17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3"/>
          <w:sz w:val="24"/>
          <w:szCs w:val="24"/>
        </w:rPr>
        <w:t>零点漂移</w:t>
      </w:r>
    </w:p>
    <w:p>
      <w:pPr>
        <w:spacing w:before="113" w:line="250" w:lineRule="auto"/>
        <w:ind w:right="79" w:firstLine="48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3"/>
          <w:sz w:val="24"/>
          <w:szCs w:val="24"/>
        </w:rPr>
        <w:t>待</w:t>
      </w:r>
      <w:hyperlink r:id="rId15" w:history="1">
        <w:r>
          <w:rPr>
            <w:rFonts w:ascii="SimSun" w:eastAsia="SimSun" w:hAnsi="SimSun" w:cs="SimSun"/>
            <w:spacing w:val="13"/>
            <w:sz w:val="24"/>
            <w:szCs w:val="24"/>
          </w:rPr>
          <w:t>7.2.2.2</w:t>
        </w:r>
      </w:hyperlink>
      <w:r>
        <w:rPr>
          <w:rFonts w:ascii="SimSun" w:eastAsia="SimSun" w:hAnsi="SimSun" w:cs="SimSun"/>
          <w:spacing w:val="13"/>
          <w:sz w:val="24"/>
          <w:szCs w:val="24"/>
        </w:rPr>
        <w:t>项完成后，再次测量密度计的零点示值，该示值为零点漂</w:t>
      </w:r>
      <w:r>
        <w:rPr>
          <w:rFonts w:ascii="SimSun" w:eastAsia="SimSun" w:hAnsi="SimSun" w:cs="SimSun"/>
          <w:spacing w:val="12"/>
          <w:sz w:val="24"/>
          <w:szCs w:val="24"/>
        </w:rPr>
        <w:t>移，应符合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5.3的要求。</w:t>
      </w:r>
    </w:p>
    <w:p>
      <w:pPr>
        <w:spacing w:before="72" w:line="220" w:lineRule="auto"/>
        <w:ind w:left="3"/>
        <w:rPr>
          <w:rFonts w:ascii="SimSun" w:eastAsia="SimSun" w:hAnsi="SimSun" w:cs="SimSun"/>
          <w:sz w:val="24"/>
          <w:szCs w:val="24"/>
        </w:rPr>
      </w:pPr>
      <w:hyperlink r:id="rId17" w:history="1">
        <w:r>
          <w:rPr>
            <w:rFonts w:ascii="SimSun" w:eastAsia="SimSun" w:hAnsi="SimSun" w:cs="SimSun"/>
            <w:b/>
            <w:bCs/>
            <w:spacing w:val="-4"/>
            <w:sz w:val="24"/>
            <w:szCs w:val="24"/>
          </w:rPr>
          <w:t>7.2.2.4</w:t>
        </w:r>
      </w:hyperlink>
      <w:r>
        <w:rPr>
          <w:rFonts w:ascii="SimSun" w:eastAsia="SimSun" w:hAnsi="SimSun" w:cs="SimSun"/>
          <w:spacing w:val="10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4"/>
          <w:sz w:val="24"/>
          <w:szCs w:val="24"/>
        </w:rPr>
        <w:t>重复性</w:t>
      </w:r>
    </w:p>
    <w:p>
      <w:pPr>
        <w:spacing w:before="93" w:line="258" w:lineRule="auto"/>
        <w:ind w:right="80" w:firstLine="489"/>
        <w:rPr>
          <w:rFonts w:ascii="SimSun" w:eastAsia="SimSun" w:hAnsi="SimSun" w:cs="SimSun"/>
          <w:sz w:val="24"/>
          <w:szCs w:val="24"/>
        </w:rPr>
      </w:pPr>
      <w:hyperlink r:id="rId16" w:history="1">
        <w:r>
          <w:rPr>
            <w:rFonts w:ascii="SimSun" w:eastAsia="SimSun" w:hAnsi="SimSun" w:cs="SimSun"/>
            <w:spacing w:val="9"/>
            <w:sz w:val="24"/>
            <w:szCs w:val="24"/>
          </w:rPr>
          <w:t>7.2.2.3</w:t>
        </w:r>
      </w:hyperlink>
      <w:r>
        <w:rPr>
          <w:rFonts w:ascii="SimSun" w:eastAsia="SimSun" w:hAnsi="SimSun" w:cs="SimSun"/>
          <w:spacing w:val="9"/>
          <w:sz w:val="24"/>
          <w:szCs w:val="24"/>
        </w:rPr>
        <w:t>项完成后，将密度计的显示值再次置于零位，密度计连续测量5次密度值</w:t>
      </w:r>
      <w:r>
        <w:rPr>
          <w:rFonts w:ascii="SimSun" w:eastAsia="SimSun" w:hAnsi="SimSun" w:cs="SimSun"/>
          <w:spacing w:val="1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0"/>
          <w:sz w:val="24"/>
          <w:szCs w:val="24"/>
        </w:rPr>
        <w:t>约为2.0的标准密度片某一级，5次示值的平均值与各次示值之</w:t>
      </w:r>
      <w:r>
        <w:rPr>
          <w:rFonts w:ascii="SimSun" w:eastAsia="SimSun" w:hAnsi="SimSun" w:cs="SimSun"/>
          <w:spacing w:val="9"/>
          <w:sz w:val="24"/>
          <w:szCs w:val="24"/>
        </w:rPr>
        <w:t xml:space="preserve">差应符合5.4的要求。 </w:t>
      </w:r>
      <w:r>
        <w:rPr>
          <w:rFonts w:ascii="SimSun" w:eastAsia="SimSun" w:hAnsi="SimSun" w:cs="SimSun"/>
          <w:spacing w:val="-2"/>
          <w:sz w:val="24"/>
          <w:szCs w:val="24"/>
        </w:rPr>
        <w:t>7.3  检定结果处理</w:t>
      </w:r>
    </w:p>
    <w:p>
      <w:pPr>
        <w:spacing w:before="93" w:line="248" w:lineRule="auto"/>
        <w:ind w:right="80" w:firstLine="48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4"/>
          <w:sz w:val="24"/>
          <w:szCs w:val="24"/>
        </w:rPr>
        <w:t>经检定合格的密度计，发给检定证书，并注明</w:t>
      </w:r>
      <w:r>
        <w:rPr>
          <w:rFonts w:ascii="SimSun" w:eastAsia="SimSun" w:hAnsi="SimSun" w:cs="SimSun"/>
          <w:spacing w:val="3"/>
          <w:sz w:val="24"/>
          <w:szCs w:val="24"/>
        </w:rPr>
        <w:t>检定范围；不合格的发给检定结果通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知书，并注明不合格项。</w:t>
      </w:r>
    </w:p>
    <w:p>
      <w:pPr>
        <w:spacing w:before="77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7.4</w:t>
      </w:r>
      <w:r>
        <w:rPr>
          <w:rFonts w:ascii="SimSun" w:eastAsia="SimSun" w:hAnsi="SimSun" w:cs="SimSun"/>
          <w:spacing w:val="9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4"/>
          <w:sz w:val="24"/>
          <w:szCs w:val="24"/>
        </w:rPr>
        <w:t>检定周期</w:t>
      </w:r>
    </w:p>
    <w:p>
      <w:pPr>
        <w:spacing w:before="85" w:line="219" w:lineRule="auto"/>
        <w:ind w:left="48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0"/>
          <w:sz w:val="24"/>
          <w:szCs w:val="24"/>
        </w:rPr>
        <w:t>检定周期一般不超过1年。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headerReference w:type="default" r:id="rId18"/>
          <w:footerReference w:type="default" r:id="rId19"/>
          <w:pgSz w:w="11900" w:h="16840"/>
          <w:pgMar w:top="1640" w:right="1160" w:bottom="975" w:left="1400" w:header="1301" w:footer="826" w:gutter="0"/>
          <w:pgNumType w:start="5"/>
          <w:cols w:space="708"/>
        </w:sectPr>
      </w:pPr>
    </w:p>
    <w:p>
      <w:pPr>
        <w:pStyle w:val="BodyText"/>
        <w:spacing w:before="215" w:line="222" w:lineRule="auto"/>
        <w:ind w:left="13"/>
        <w:rPr>
          <w:sz w:val="27"/>
          <w:szCs w:val="27"/>
        </w:rPr>
      </w:pPr>
      <w:r>
        <w:rPr>
          <w:rFonts w:ascii="SimHei" w:eastAsia="SimHei" w:hAnsi="SimHei" w:cs="SimHei"/>
          <w:b/>
          <w:bCs/>
          <w:spacing w:val="-11"/>
          <w:sz w:val="27"/>
          <w:szCs w:val="27"/>
        </w:rPr>
        <w:t>附录</w:t>
      </w:r>
      <w:r>
        <w:rPr>
          <w:rFonts w:ascii="SimHei" w:eastAsia="SimHei" w:hAnsi="SimHei" w:cs="SimHei"/>
          <w:spacing w:val="-43"/>
          <w:sz w:val="27"/>
          <w:szCs w:val="27"/>
        </w:rPr>
        <w:t xml:space="preserve"> </w:t>
      </w:r>
      <w:r>
        <w:rPr>
          <w:b/>
          <w:bCs/>
          <w:spacing w:val="-11"/>
          <w:sz w:val="27"/>
          <w:szCs w:val="27"/>
        </w:rPr>
        <w:t>A</w:t>
      </w:r>
    </w:p>
    <w:p>
      <w:pPr>
        <w:spacing w:line="344" w:lineRule="auto"/>
        <w:rPr>
          <w:rFonts w:ascii="Arial"/>
          <w:sz w:val="21"/>
        </w:rPr>
      </w:pPr>
    </w:p>
    <w:p>
      <w:pPr>
        <w:spacing w:before="88" w:line="221" w:lineRule="auto"/>
        <w:ind w:left="2963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pacing w:val="4"/>
          <w:sz w:val="27"/>
          <w:szCs w:val="27"/>
        </w:rPr>
        <w:t>漫透射视觉密度的几何模式</w:t>
      </w:r>
    </w:p>
    <w:p>
      <w:pPr>
        <w:spacing w:line="359" w:lineRule="auto"/>
        <w:rPr>
          <w:rFonts w:ascii="Arial"/>
          <w:sz w:val="21"/>
        </w:rPr>
      </w:pPr>
    </w:p>
    <w:p>
      <w:pPr>
        <w:spacing w:before="78" w:line="246" w:lineRule="auto"/>
        <w:ind w:left="9" w:right="30" w:firstLine="49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sz w:val="24"/>
          <w:szCs w:val="24"/>
        </w:rPr>
        <w:t>采用漫射辐照源和定向接收器的方法可以测量漫透射密度，这种布置称为“漫入射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模式”,另一种布置是定向辐照源和漫射接收器，称</w:t>
      </w:r>
      <w:r>
        <w:rPr>
          <w:rFonts w:ascii="SimSun" w:eastAsia="SimSun" w:hAnsi="SimSun" w:cs="SimSun"/>
          <w:spacing w:val="-2"/>
          <w:sz w:val="24"/>
          <w:szCs w:val="24"/>
        </w:rPr>
        <w:t>之为“漫出射模式”。</w:t>
      </w:r>
    </w:p>
    <w:p>
      <w:pPr>
        <w:pStyle w:val="BodyText"/>
        <w:spacing w:before="91" w:line="408" w:lineRule="exact"/>
        <w:ind w:right="50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8"/>
          <w:position w:val="12"/>
          <w:sz w:val="24"/>
          <w:szCs w:val="24"/>
        </w:rPr>
        <w:t>两种漫射模式如图</w:t>
      </w:r>
      <w:r>
        <w:rPr>
          <w:rFonts w:ascii="SimSun" w:eastAsia="SimSun" w:hAnsi="SimSun" w:cs="SimSun"/>
          <w:spacing w:val="-70"/>
          <w:position w:val="12"/>
          <w:sz w:val="24"/>
          <w:szCs w:val="24"/>
        </w:rPr>
        <w:t xml:space="preserve"> </w:t>
      </w:r>
      <w:r>
        <w:rPr>
          <w:spacing w:val="8"/>
          <w:position w:val="12"/>
          <w:sz w:val="24"/>
          <w:szCs w:val="24"/>
        </w:rPr>
        <w:t xml:space="preserve">A.1  </w:t>
      </w:r>
      <w:r>
        <w:rPr>
          <w:rFonts w:ascii="SimSun" w:eastAsia="SimSun" w:hAnsi="SimSun" w:cs="SimSun"/>
          <w:spacing w:val="8"/>
          <w:position w:val="12"/>
          <w:sz w:val="24"/>
          <w:szCs w:val="24"/>
        </w:rPr>
        <w:t>所示。可以用规定的漫射分布和规定</w:t>
      </w:r>
      <w:r>
        <w:rPr>
          <w:rFonts w:ascii="SimSun" w:eastAsia="SimSun" w:hAnsi="SimSun" w:cs="SimSun"/>
          <w:spacing w:val="7"/>
          <w:position w:val="12"/>
          <w:sz w:val="24"/>
          <w:szCs w:val="24"/>
        </w:rPr>
        <w:t>的定向分布描述测量</w:t>
      </w:r>
    </w:p>
    <w:p>
      <w:pPr>
        <w:spacing w:before="1" w:line="218" w:lineRule="auto"/>
        <w:ind w:left="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1"/>
          <w:sz w:val="20"/>
          <w:szCs w:val="20"/>
        </w:rPr>
        <w:t>模式。该分布是辐射分布还是接收分布取决于具体模式。</w:t>
      </w:r>
    </w:p>
    <w:p>
      <w:pPr>
        <w:spacing w:line="373" w:lineRule="auto"/>
        <w:rPr>
          <w:rFonts w:ascii="Arial"/>
          <w:sz w:val="21"/>
        </w:rPr>
      </w:pPr>
    </w:p>
    <w:p>
      <w:pPr>
        <w:spacing w:line="4430" w:lineRule="exact"/>
        <w:ind w:firstLine="1809"/>
      </w:pPr>
      <w:r>
        <w:rPr>
          <w:position w:val="-88"/>
        </w:rPr>
        <w:drawing>
          <wp:inline distT="0" distB="0" distL="0" distR="0">
            <wp:extent cx="3530623" cy="2813005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530623" cy="281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pStyle w:val="BodyText"/>
        <w:spacing w:before="65" w:line="219" w:lineRule="auto"/>
        <w:ind w:left="29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图</w:t>
      </w:r>
      <w:r>
        <w:rPr>
          <w:rFonts w:ascii="SimSun" w:eastAsia="SimSun" w:hAnsi="SimSun" w:cs="SimSun"/>
          <w:spacing w:val="-15"/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 xml:space="preserve">A.1     </w:t>
      </w:r>
      <w:r>
        <w:rPr>
          <w:rFonts w:ascii="SimSun" w:eastAsia="SimSun" w:hAnsi="SimSun" w:cs="SimSun"/>
          <w:spacing w:val="7"/>
          <w:sz w:val="20"/>
          <w:szCs w:val="20"/>
        </w:rPr>
        <w:t>漫透射视觉密度的几何模式</w:t>
      </w:r>
    </w:p>
    <w:p>
      <w:pPr>
        <w:spacing w:before="43" w:line="221" w:lineRule="auto"/>
        <w:ind w:left="33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-11"/>
          <w:sz w:val="20"/>
          <w:szCs w:val="20"/>
        </w:rPr>
        <w:t>说明：</w:t>
      </w:r>
    </w:p>
    <w:p>
      <w:pPr>
        <w:spacing w:before="71" w:line="219" w:lineRule="auto"/>
        <w:ind w:left="33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7"/>
          <w:sz w:val="20"/>
          <w:szCs w:val="20"/>
        </w:rPr>
        <w:t>1——采样孔；</w:t>
      </w:r>
    </w:p>
    <w:p>
      <w:pPr>
        <w:spacing w:before="83" w:line="313" w:lineRule="exact"/>
        <w:ind w:left="33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8"/>
          <w:position w:val="8"/>
          <w:sz w:val="20"/>
          <w:szCs w:val="20"/>
        </w:rPr>
        <w:t>2——出射几何条件；</w:t>
      </w:r>
    </w:p>
    <w:p>
      <w:pPr>
        <w:pStyle w:val="BodyText"/>
        <w:spacing w:line="221" w:lineRule="auto"/>
        <w:ind w:left="339"/>
        <w:rPr>
          <w:rFonts w:ascii="SimSun" w:eastAsia="SimSun" w:hAnsi="SimSun" w:cs="SimSun"/>
          <w:sz w:val="20"/>
          <w:szCs w:val="20"/>
        </w:rPr>
      </w:pPr>
      <w:r>
        <w:rPr>
          <w:spacing w:val="-10"/>
          <w:sz w:val="20"/>
          <w:szCs w:val="20"/>
        </w:rPr>
        <w:t>3——O</w:t>
      </w:r>
      <w:r>
        <w:rPr>
          <w:rFonts w:ascii="SimSun" w:eastAsia="SimSun" w:hAnsi="SimSun" w:cs="SimSun"/>
          <w:spacing w:val="-10"/>
          <w:sz w:val="20"/>
          <w:szCs w:val="20"/>
        </w:rPr>
        <w:t>点；</w:t>
      </w:r>
    </w:p>
    <w:p>
      <w:pPr>
        <w:spacing w:before="57" w:line="219" w:lineRule="auto"/>
        <w:ind w:left="33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8"/>
          <w:sz w:val="20"/>
          <w:szCs w:val="20"/>
        </w:rPr>
        <w:t>4——人射几何条件。</w:t>
      </w:r>
    </w:p>
    <w:p>
      <w:pPr>
        <w:pStyle w:val="BodyText"/>
        <w:spacing w:before="41" w:line="300" w:lineRule="exact"/>
        <w:ind w:left="339"/>
        <w:rPr>
          <w:sz w:val="20"/>
          <w:szCs w:val="20"/>
        </w:rPr>
      </w:pPr>
      <w:r>
        <w:rPr>
          <w:rFonts w:ascii="SimSun" w:eastAsia="SimSun" w:hAnsi="SimSun" w:cs="SimSun"/>
          <w:spacing w:val="-11"/>
          <w:position w:val="7"/>
          <w:sz w:val="20"/>
          <w:szCs w:val="20"/>
        </w:rPr>
        <w:t>其中漫入射模式：</w:t>
      </w:r>
      <w:r>
        <w:rPr>
          <w:rFonts w:ascii="SimSun" w:eastAsia="SimSun" w:hAnsi="SimSun" w:cs="SimSun"/>
          <w:spacing w:val="-17"/>
          <w:position w:val="7"/>
          <w:sz w:val="20"/>
          <w:szCs w:val="20"/>
        </w:rPr>
        <w:t xml:space="preserve"> </w:t>
      </w:r>
      <w:r>
        <w:rPr>
          <w:spacing w:val="-11"/>
          <w:position w:val="7"/>
          <w:sz w:val="20"/>
          <w:szCs w:val="20"/>
        </w:rPr>
        <w:t>(x;=10°,x,≤90°)</w:t>
      </w:r>
    </w:p>
    <w:p>
      <w:pPr>
        <w:pStyle w:val="BodyText"/>
        <w:spacing w:before="1" w:line="212" w:lineRule="auto"/>
        <w:ind w:left="700"/>
        <w:rPr>
          <w:sz w:val="20"/>
          <w:szCs w:val="20"/>
        </w:rPr>
      </w:pPr>
      <w:r>
        <w:rPr>
          <w:rFonts w:ascii="SimSun" w:eastAsia="SimSun" w:hAnsi="SimSun" w:cs="SimSun"/>
          <w:spacing w:val="-10"/>
          <w:sz w:val="20"/>
          <w:szCs w:val="20"/>
        </w:rPr>
        <w:t>漫出射模式：</w:t>
      </w:r>
      <w:r>
        <w:rPr>
          <w:rFonts w:ascii="SimSun" w:eastAsia="SimSun" w:hAnsi="SimSun" w:cs="SimSun"/>
          <w:spacing w:val="-20"/>
          <w:sz w:val="20"/>
          <w:szCs w:val="20"/>
        </w:rPr>
        <w:t xml:space="preserve"> </w:t>
      </w:r>
      <w:r>
        <w:rPr>
          <w:spacing w:val="-10"/>
          <w:sz w:val="20"/>
          <w:szCs w:val="20"/>
        </w:rPr>
        <w:t>(x,=90°,x,≤10°)</w:t>
      </w:r>
    </w:p>
    <w:p>
      <w:pPr>
        <w:spacing w:line="212" w:lineRule="auto"/>
        <w:rPr>
          <w:sz w:val="20"/>
          <w:szCs w:val="20"/>
        </w:rPr>
        <w:sectPr>
          <w:headerReference w:type="default" r:id="rId21"/>
          <w:footerReference w:type="default" r:id="rId22"/>
          <w:pgSz w:w="11900" w:h="16840"/>
          <w:pgMar w:top="1610" w:right="1370" w:bottom="1062" w:left="1249" w:header="1287" w:footer="903" w:gutter="0"/>
          <w:pgNumType w:start="6"/>
          <w:cols w:space="708"/>
        </w:sectPr>
      </w:pPr>
    </w:p>
    <w:p>
      <w:pPr>
        <w:pStyle w:val="BodyText"/>
        <w:spacing w:before="195" w:line="222" w:lineRule="auto"/>
        <w:ind w:left="88"/>
        <w:rPr>
          <w:sz w:val="27"/>
          <w:szCs w:val="27"/>
        </w:rPr>
      </w:pPr>
      <w:r>
        <w:rPr>
          <w:rFonts w:ascii="SimHei" w:eastAsia="SimHei" w:hAnsi="SimHei" w:cs="SimHei"/>
          <w:b/>
          <w:bCs/>
          <w:spacing w:val="-11"/>
          <w:sz w:val="27"/>
          <w:szCs w:val="27"/>
        </w:rPr>
        <w:t>附录</w:t>
      </w:r>
      <w:r>
        <w:rPr>
          <w:rFonts w:ascii="SimHei" w:eastAsia="SimHei" w:hAnsi="SimHei" w:cs="SimHei"/>
          <w:spacing w:val="-43"/>
          <w:sz w:val="27"/>
          <w:szCs w:val="27"/>
        </w:rPr>
        <w:t xml:space="preserve"> </w:t>
      </w:r>
      <w:r>
        <w:rPr>
          <w:b/>
          <w:bCs/>
          <w:spacing w:val="-11"/>
          <w:sz w:val="27"/>
          <w:szCs w:val="27"/>
        </w:rPr>
        <w:t>B</w:t>
      </w:r>
    </w:p>
    <w:p>
      <w:pPr>
        <w:spacing w:line="394" w:lineRule="auto"/>
        <w:rPr>
          <w:rFonts w:ascii="Arial"/>
          <w:sz w:val="21"/>
        </w:rPr>
      </w:pPr>
    </w:p>
    <w:p>
      <w:pPr>
        <w:spacing w:before="88" w:line="221" w:lineRule="auto"/>
        <w:ind w:left="2838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pacing w:val="7"/>
          <w:sz w:val="27"/>
          <w:szCs w:val="27"/>
        </w:rPr>
        <w:t>漫透射视觉密度计的光谱条件</w:t>
      </w:r>
    </w:p>
    <w:p>
      <w:pPr>
        <w:spacing w:line="360" w:lineRule="auto"/>
        <w:rPr>
          <w:rFonts w:ascii="Arial"/>
          <w:sz w:val="21"/>
        </w:rPr>
      </w:pPr>
    </w:p>
    <w:p>
      <w:pPr>
        <w:spacing w:before="68" w:line="219" w:lineRule="auto"/>
        <w:ind w:left="376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5"/>
          <w:sz w:val="21"/>
          <w:szCs w:val="21"/>
        </w:rPr>
        <w:t>(峰值规定为5.000)</w:t>
      </w:r>
    </w:p>
    <w:tbl>
      <w:tblPr>
        <w:tblStyle w:val="TableNormal2"/>
        <w:tblW w:w="921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639"/>
        <w:gridCol w:w="4580"/>
      </w:tblGrid>
      <w:tr>
        <w:tblPrEx>
          <w:tblW w:w="921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34"/>
        </w:trPr>
        <w:tc>
          <w:tcPr>
            <w:tcW w:w="4639" w:type="dxa"/>
            <w:vAlign w:val="top"/>
          </w:tcPr>
          <w:p>
            <w:pPr>
              <w:pStyle w:val="TableText"/>
              <w:spacing w:before="113" w:line="220" w:lineRule="auto"/>
              <w:ind w:left="2015"/>
              <w:rPr>
                <w:sz w:val="20"/>
                <w:szCs w:val="20"/>
              </w:rPr>
            </w:pPr>
            <w:r>
              <w:rPr>
                <w:spacing w:val="18"/>
                <w:sz w:val="20"/>
                <w:szCs w:val="20"/>
              </w:rPr>
              <w:t>波长λ</w:t>
            </w:r>
          </w:p>
          <w:p>
            <w:pPr>
              <w:pStyle w:val="TableText"/>
              <w:spacing w:before="260" w:line="111" w:lineRule="exact"/>
              <w:ind w:left="2234"/>
              <w:rPr>
                <w:sz w:val="15"/>
                <w:szCs w:val="15"/>
              </w:rPr>
            </w:pPr>
            <w:r>
              <w:rPr>
                <w:spacing w:val="-2"/>
                <w:sz w:val="15"/>
                <w:szCs w:val="15"/>
              </w:rPr>
              <w:t>nm</w:t>
            </w:r>
          </w:p>
        </w:tc>
        <w:tc>
          <w:tcPr>
            <w:tcW w:w="4580" w:type="dxa"/>
            <w:vAlign w:val="top"/>
          </w:tcPr>
          <w:p>
            <w:pPr>
              <w:pStyle w:val="TableText"/>
              <w:spacing w:before="113" w:line="373" w:lineRule="exact"/>
              <w:ind w:left="2085"/>
              <w:rPr>
                <w:sz w:val="20"/>
                <w:szCs w:val="20"/>
              </w:rPr>
            </w:pPr>
            <w:r>
              <w:rPr>
                <w:spacing w:val="-2"/>
                <w:position w:val="13"/>
                <w:sz w:val="20"/>
                <w:szCs w:val="20"/>
              </w:rPr>
              <w:t>视觉</w:t>
            </w:r>
          </w:p>
          <w:p>
            <w:pPr>
              <w:pStyle w:val="TableText"/>
              <w:spacing w:line="213" w:lineRule="auto"/>
              <w:ind w:left="2085"/>
              <w:rPr>
                <w:sz w:val="20"/>
                <w:szCs w:val="20"/>
              </w:rPr>
            </w:pPr>
            <w:r>
              <w:rPr>
                <w:spacing w:val="-8"/>
                <w:sz w:val="20"/>
                <w:szCs w:val="20"/>
              </w:rPr>
              <w:t>lgI。</w:t>
            </w:r>
          </w:p>
        </w:tc>
      </w:tr>
    </w:tbl>
    <w:p>
      <w:pPr>
        <w:sectPr>
          <w:headerReference w:type="default" r:id="rId23"/>
          <w:footerReference w:type="default" r:id="rId24"/>
          <w:pgSz w:w="11900" w:h="16840"/>
          <w:pgMar w:top="1699" w:right="1130" w:bottom="927" w:left="1435" w:header="1369" w:footer="760" w:gutter="0"/>
          <w:pgNumType w:start="7"/>
          <w:cols w:space="708"/>
        </w:sectPr>
      </w:pPr>
    </w:p>
    <w:tbl>
      <w:tblPr>
        <w:tblStyle w:val="TableNormal3"/>
        <w:tblW w:w="921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639"/>
        <w:gridCol w:w="4580"/>
      </w:tblGrid>
      <w:tr>
        <w:tblPrEx>
          <w:tblW w:w="921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1125"/>
        </w:trPr>
        <w:tc>
          <w:tcPr>
            <w:tcW w:w="4639" w:type="dxa"/>
            <w:vAlign w:val="top"/>
          </w:tcPr>
          <w:p>
            <w:pPr>
              <w:pStyle w:val="TableText"/>
              <w:spacing w:before="120" w:line="183" w:lineRule="auto"/>
              <w:ind w:left="216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400</w:t>
            </w:r>
          </w:p>
          <w:p>
            <w:pPr>
              <w:pStyle w:val="TableText"/>
              <w:spacing w:before="140" w:line="184" w:lineRule="auto"/>
              <w:ind w:left="216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410</w:t>
            </w:r>
          </w:p>
          <w:p>
            <w:pPr>
              <w:pStyle w:val="TableText"/>
              <w:spacing w:before="101" w:line="183" w:lineRule="auto"/>
              <w:ind w:left="216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420</w:t>
            </w:r>
          </w:p>
          <w:p>
            <w:pPr>
              <w:pStyle w:val="TableText"/>
              <w:spacing w:before="121" w:line="183" w:lineRule="auto"/>
              <w:ind w:left="216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430</w:t>
            </w:r>
          </w:p>
          <w:p>
            <w:pPr>
              <w:pStyle w:val="TableText"/>
              <w:spacing w:before="132" w:line="183" w:lineRule="auto"/>
              <w:ind w:left="216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440</w:t>
            </w:r>
          </w:p>
          <w:p>
            <w:pPr>
              <w:spacing w:line="3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6" w:line="183" w:lineRule="auto"/>
              <w:ind w:left="216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450</w:t>
            </w:r>
          </w:p>
          <w:p>
            <w:pPr>
              <w:pStyle w:val="TableText"/>
              <w:spacing w:before="142" w:line="183" w:lineRule="auto"/>
              <w:ind w:left="216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460</w:t>
            </w:r>
          </w:p>
          <w:p>
            <w:pPr>
              <w:pStyle w:val="TableText"/>
              <w:spacing w:before="91" w:line="183" w:lineRule="auto"/>
              <w:ind w:left="216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470</w:t>
            </w:r>
          </w:p>
          <w:p>
            <w:pPr>
              <w:pStyle w:val="TableText"/>
              <w:spacing w:before="132" w:line="183" w:lineRule="auto"/>
              <w:ind w:left="216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480</w:t>
            </w:r>
          </w:p>
          <w:p>
            <w:pPr>
              <w:pStyle w:val="TableText"/>
              <w:spacing w:before="122" w:line="183" w:lineRule="auto"/>
              <w:ind w:left="216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490</w:t>
            </w:r>
          </w:p>
          <w:p>
            <w:pPr>
              <w:spacing w:line="39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3" w:lineRule="auto"/>
              <w:ind w:left="21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500</w:t>
            </w:r>
          </w:p>
          <w:p>
            <w:pPr>
              <w:pStyle w:val="TableText"/>
              <w:spacing w:before="111" w:line="184" w:lineRule="auto"/>
              <w:ind w:left="21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510</w:t>
            </w:r>
          </w:p>
          <w:p>
            <w:pPr>
              <w:pStyle w:val="TableText"/>
              <w:spacing w:before="102" w:line="183" w:lineRule="auto"/>
              <w:ind w:left="21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520</w:t>
            </w:r>
          </w:p>
          <w:p>
            <w:pPr>
              <w:pStyle w:val="TableText"/>
              <w:spacing w:before="141" w:line="183" w:lineRule="auto"/>
              <w:ind w:left="21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530</w:t>
            </w:r>
          </w:p>
          <w:p>
            <w:pPr>
              <w:pStyle w:val="TableText"/>
              <w:spacing w:before="122" w:line="183" w:lineRule="auto"/>
              <w:ind w:left="21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540</w:t>
            </w:r>
          </w:p>
          <w:p>
            <w:pPr>
              <w:spacing w:line="3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6" w:line="183" w:lineRule="auto"/>
              <w:ind w:left="21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550</w:t>
            </w:r>
          </w:p>
          <w:p>
            <w:pPr>
              <w:pStyle w:val="TableText"/>
              <w:spacing w:before="141" w:line="183" w:lineRule="auto"/>
              <w:ind w:left="21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560</w:t>
            </w:r>
          </w:p>
          <w:p>
            <w:pPr>
              <w:pStyle w:val="TableText"/>
              <w:spacing w:before="102" w:line="183" w:lineRule="auto"/>
              <w:ind w:left="21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570</w:t>
            </w:r>
          </w:p>
          <w:p>
            <w:pPr>
              <w:pStyle w:val="TableText"/>
              <w:spacing w:before="122" w:line="183" w:lineRule="auto"/>
              <w:ind w:left="21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580</w:t>
            </w:r>
          </w:p>
          <w:p>
            <w:pPr>
              <w:pStyle w:val="TableText"/>
              <w:spacing w:before="122" w:line="183" w:lineRule="auto"/>
              <w:ind w:left="21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590</w:t>
            </w:r>
          </w:p>
          <w:p>
            <w:pPr>
              <w:spacing w:line="3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3" w:lineRule="auto"/>
              <w:ind w:left="21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600</w:t>
            </w:r>
          </w:p>
          <w:p>
            <w:pPr>
              <w:pStyle w:val="TableText"/>
              <w:spacing w:before="121" w:line="184" w:lineRule="auto"/>
              <w:ind w:left="21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610</w:t>
            </w:r>
          </w:p>
          <w:p>
            <w:pPr>
              <w:pStyle w:val="TableText"/>
              <w:spacing w:before="121" w:line="183" w:lineRule="auto"/>
              <w:ind w:left="21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620</w:t>
            </w:r>
          </w:p>
          <w:p>
            <w:pPr>
              <w:pStyle w:val="TableText"/>
              <w:spacing w:before="102" w:line="183" w:lineRule="auto"/>
              <w:ind w:left="21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630</w:t>
            </w:r>
          </w:p>
          <w:p>
            <w:pPr>
              <w:pStyle w:val="TableText"/>
              <w:spacing w:before="122" w:line="183" w:lineRule="auto"/>
              <w:ind w:left="21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640</w:t>
            </w:r>
          </w:p>
          <w:p>
            <w:pPr>
              <w:spacing w:line="38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3" w:lineRule="auto"/>
              <w:ind w:left="21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650</w:t>
            </w:r>
          </w:p>
          <w:p>
            <w:pPr>
              <w:pStyle w:val="TableText"/>
              <w:spacing w:before="102" w:line="183" w:lineRule="auto"/>
              <w:ind w:left="21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660</w:t>
            </w:r>
          </w:p>
          <w:p>
            <w:pPr>
              <w:pStyle w:val="TableText"/>
              <w:spacing w:before="122" w:line="183" w:lineRule="auto"/>
              <w:ind w:left="21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670</w:t>
            </w:r>
          </w:p>
          <w:p>
            <w:pPr>
              <w:pStyle w:val="TableText"/>
              <w:spacing w:before="102" w:line="183" w:lineRule="auto"/>
              <w:ind w:left="21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680</w:t>
            </w:r>
          </w:p>
          <w:p>
            <w:pPr>
              <w:pStyle w:val="TableText"/>
              <w:spacing w:before="131" w:line="154" w:lineRule="exact"/>
              <w:ind w:left="2164"/>
              <w:rPr>
                <w:sz w:val="20"/>
                <w:szCs w:val="20"/>
              </w:rPr>
            </w:pPr>
            <w:r>
              <w:rPr>
                <w:spacing w:val="-3"/>
                <w:position w:val="-2"/>
                <w:sz w:val="20"/>
                <w:szCs w:val="20"/>
              </w:rPr>
              <w:t>690</w:t>
            </w:r>
          </w:p>
        </w:tc>
        <w:tc>
          <w:tcPr>
            <w:tcW w:w="4580" w:type="dxa"/>
            <w:vAlign w:val="top"/>
          </w:tcPr>
          <w:p>
            <w:pPr>
              <w:pStyle w:val="TableText"/>
              <w:spacing w:before="127" w:line="322" w:lineRule="exact"/>
              <w:ind w:left="1985"/>
              <w:rPr>
                <w:sz w:val="20"/>
                <w:szCs w:val="20"/>
              </w:rPr>
            </w:pPr>
            <w:r>
              <w:rPr>
                <w:spacing w:val="-3"/>
                <w:position w:val="12"/>
                <w:sz w:val="20"/>
                <w:szCs w:val="20"/>
              </w:rPr>
              <w:t>&lt;1.000</w:t>
            </w:r>
          </w:p>
          <w:p>
            <w:pPr>
              <w:pStyle w:val="TableText"/>
              <w:spacing w:line="183" w:lineRule="auto"/>
              <w:ind w:left="203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1.322</w:t>
            </w:r>
          </w:p>
          <w:p>
            <w:pPr>
              <w:pStyle w:val="TableText"/>
              <w:spacing w:before="110" w:line="184" w:lineRule="auto"/>
              <w:ind w:left="203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1.914</w:t>
            </w:r>
          </w:p>
          <w:p>
            <w:pPr>
              <w:pStyle w:val="TableText"/>
              <w:spacing w:before="122" w:line="183" w:lineRule="auto"/>
              <w:ind w:left="20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2.447</w:t>
            </w:r>
          </w:p>
          <w:p>
            <w:pPr>
              <w:pStyle w:val="TableText"/>
              <w:spacing w:before="121" w:line="184" w:lineRule="auto"/>
              <w:ind w:left="20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2.811</w:t>
            </w:r>
          </w:p>
          <w:p>
            <w:pPr>
              <w:spacing w:line="3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320" w:lineRule="exact"/>
              <w:ind w:left="2035"/>
              <w:rPr>
                <w:sz w:val="20"/>
                <w:szCs w:val="20"/>
              </w:rPr>
            </w:pPr>
            <w:r>
              <w:rPr>
                <w:spacing w:val="-2"/>
                <w:position w:val="12"/>
                <w:sz w:val="20"/>
                <w:szCs w:val="20"/>
              </w:rPr>
              <w:t>3.090</w:t>
            </w:r>
          </w:p>
          <w:p>
            <w:pPr>
              <w:pStyle w:val="TableText"/>
              <w:spacing w:line="183" w:lineRule="auto"/>
              <w:ind w:left="20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3.346</w:t>
            </w:r>
          </w:p>
          <w:p>
            <w:pPr>
              <w:pStyle w:val="TableText"/>
              <w:spacing w:before="122" w:line="183" w:lineRule="auto"/>
              <w:ind w:left="20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3.582</w:t>
            </w:r>
          </w:p>
          <w:p>
            <w:pPr>
              <w:pStyle w:val="TableText"/>
              <w:spacing w:before="120" w:line="184" w:lineRule="auto"/>
              <w:ind w:left="20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3.818</w:t>
            </w:r>
          </w:p>
          <w:p>
            <w:pPr>
              <w:pStyle w:val="TableText"/>
              <w:spacing w:before="121" w:line="184" w:lineRule="auto"/>
              <w:ind w:left="20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4.041</w:t>
            </w:r>
          </w:p>
          <w:p>
            <w:pPr>
              <w:spacing w:line="3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320" w:lineRule="exact"/>
              <w:ind w:left="2035"/>
              <w:rPr>
                <w:sz w:val="20"/>
                <w:szCs w:val="20"/>
              </w:rPr>
            </w:pPr>
            <w:r>
              <w:rPr>
                <w:spacing w:val="-2"/>
                <w:position w:val="12"/>
                <w:sz w:val="20"/>
                <w:szCs w:val="20"/>
              </w:rPr>
              <w:t>4.276</w:t>
            </w:r>
          </w:p>
          <w:p>
            <w:pPr>
              <w:pStyle w:val="TableText"/>
              <w:spacing w:line="183" w:lineRule="auto"/>
              <w:ind w:left="20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4.513</w:t>
            </w:r>
          </w:p>
          <w:p>
            <w:pPr>
              <w:pStyle w:val="TableText"/>
              <w:spacing w:before="122" w:line="183" w:lineRule="auto"/>
              <w:ind w:left="20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4.702</w:t>
            </w:r>
          </w:p>
          <w:p>
            <w:pPr>
              <w:pStyle w:val="TableText"/>
              <w:spacing w:before="122" w:line="183" w:lineRule="auto"/>
              <w:ind w:left="20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4.825</w:t>
            </w:r>
          </w:p>
          <w:p>
            <w:pPr>
              <w:pStyle w:val="TableText"/>
              <w:spacing w:before="122" w:line="183" w:lineRule="auto"/>
              <w:ind w:left="20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4.905</w:t>
            </w:r>
          </w:p>
          <w:p>
            <w:pPr>
              <w:spacing w:line="3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320" w:lineRule="exact"/>
              <w:ind w:left="2035"/>
              <w:rPr>
                <w:sz w:val="20"/>
                <w:szCs w:val="20"/>
              </w:rPr>
            </w:pPr>
            <w:r>
              <w:rPr>
                <w:spacing w:val="-2"/>
                <w:position w:val="12"/>
                <w:sz w:val="20"/>
                <w:szCs w:val="20"/>
              </w:rPr>
              <w:t>4.957</w:t>
            </w:r>
          </w:p>
          <w:p>
            <w:pPr>
              <w:pStyle w:val="TableText"/>
              <w:spacing w:line="183" w:lineRule="auto"/>
              <w:ind w:left="20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4.989</w:t>
            </w:r>
          </w:p>
          <w:p>
            <w:pPr>
              <w:pStyle w:val="TableText"/>
              <w:spacing w:before="112" w:line="183" w:lineRule="auto"/>
              <w:ind w:left="20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5.000</w:t>
            </w:r>
          </w:p>
          <w:p>
            <w:pPr>
              <w:pStyle w:val="TableText"/>
              <w:spacing w:before="122" w:line="183" w:lineRule="auto"/>
              <w:ind w:left="20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4.989</w:t>
            </w:r>
          </w:p>
          <w:p>
            <w:pPr>
              <w:pStyle w:val="TableText"/>
              <w:spacing w:before="121" w:line="183" w:lineRule="auto"/>
              <w:ind w:left="20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4.956</w:t>
            </w:r>
          </w:p>
          <w:p>
            <w:pPr>
              <w:spacing w:line="3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6" w:line="310" w:lineRule="exact"/>
              <w:ind w:left="2035"/>
              <w:rPr>
                <w:sz w:val="20"/>
                <w:szCs w:val="20"/>
              </w:rPr>
            </w:pPr>
            <w:r>
              <w:rPr>
                <w:spacing w:val="-2"/>
                <w:position w:val="11"/>
                <w:sz w:val="20"/>
                <w:szCs w:val="20"/>
              </w:rPr>
              <w:t>4.902</w:t>
            </w:r>
          </w:p>
          <w:p>
            <w:pPr>
              <w:pStyle w:val="TableText"/>
              <w:spacing w:line="183" w:lineRule="auto"/>
              <w:ind w:left="20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4.827</w:t>
            </w:r>
          </w:p>
          <w:p>
            <w:pPr>
              <w:pStyle w:val="TableText"/>
              <w:spacing w:before="120" w:line="184" w:lineRule="auto"/>
              <w:ind w:left="20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4.731</w:t>
            </w:r>
          </w:p>
          <w:p>
            <w:pPr>
              <w:pStyle w:val="TableText"/>
              <w:spacing w:before="122" w:line="183" w:lineRule="auto"/>
              <w:ind w:left="20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4.593</w:t>
            </w:r>
          </w:p>
          <w:p>
            <w:pPr>
              <w:pStyle w:val="TableText"/>
              <w:spacing w:before="122" w:line="183" w:lineRule="auto"/>
              <w:ind w:left="20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4.433</w:t>
            </w:r>
          </w:p>
          <w:p>
            <w:pPr>
              <w:spacing w:line="3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320" w:lineRule="exact"/>
              <w:ind w:left="2035"/>
              <w:rPr>
                <w:sz w:val="20"/>
                <w:szCs w:val="20"/>
              </w:rPr>
            </w:pPr>
            <w:r>
              <w:rPr>
                <w:spacing w:val="-2"/>
                <w:position w:val="12"/>
                <w:sz w:val="20"/>
                <w:szCs w:val="20"/>
              </w:rPr>
              <w:t>4.238</w:t>
            </w:r>
          </w:p>
          <w:p>
            <w:pPr>
              <w:pStyle w:val="TableText"/>
              <w:spacing w:line="183" w:lineRule="auto"/>
              <w:ind w:left="20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4.013</w:t>
            </w:r>
          </w:p>
          <w:p>
            <w:pPr>
              <w:pStyle w:val="TableText"/>
              <w:spacing w:before="112" w:line="183" w:lineRule="auto"/>
              <w:ind w:left="20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3.749</w:t>
            </w:r>
          </w:p>
        </w:tc>
      </w:tr>
    </w:tbl>
    <w:p>
      <w:pPr>
        <w:sectPr>
          <w:headerReference w:type="default" r:id="rId25"/>
          <w:footerReference w:type="default" r:id="rId26"/>
          <w:type w:val="nextPage"/>
          <w:pgSz w:w="11900" w:h="16840"/>
          <w:pgMar w:top="1699" w:right="1130" w:bottom="927" w:left="1435" w:header="1369" w:footer="760" w:gutter="0"/>
          <w:pgNumType w:start="8"/>
          <w:cols w:space="708"/>
          <w:titlePg w:val="0"/>
        </w:sectPr>
      </w:pPr>
    </w:p>
    <w:tbl>
      <w:tblPr>
        <w:tblStyle w:val="TableNormal4"/>
        <w:tblW w:w="921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639"/>
        <w:gridCol w:w="4580"/>
      </w:tblGrid>
      <w:tr>
        <w:tblPrEx>
          <w:tblW w:w="921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1125"/>
        </w:trPr>
        <w:tc>
          <w:tcPr>
            <w:tcW w:w="4639" w:type="dxa"/>
            <w:vAlign w:val="top"/>
          </w:tcPr>
          <w:p/>
        </w:tc>
        <w:tc>
          <w:tcPr>
            <w:tcW w:w="4580" w:type="dxa"/>
            <w:vAlign w:val="top"/>
          </w:tcPr>
          <w:p>
            <w:pPr>
              <w:pStyle w:val="TableText"/>
              <w:spacing w:before="122" w:line="183" w:lineRule="auto"/>
              <w:ind w:left="20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3.490</w:t>
            </w:r>
          </w:p>
          <w:p>
            <w:pPr>
              <w:pStyle w:val="TableText"/>
              <w:spacing w:before="111" w:line="165" w:lineRule="exact"/>
              <w:ind w:left="2035"/>
              <w:rPr>
                <w:sz w:val="20"/>
                <w:szCs w:val="20"/>
              </w:rPr>
            </w:pPr>
            <w:r>
              <w:rPr>
                <w:spacing w:val="-2"/>
                <w:position w:val="-2"/>
                <w:sz w:val="20"/>
                <w:szCs w:val="20"/>
              </w:rPr>
              <w:t>3.188</w:t>
            </w:r>
          </w:p>
        </w:tc>
      </w:tr>
    </w:tbl>
    <w:p>
      <w:pPr>
        <w:spacing w:line="197" w:lineRule="exact"/>
        <w:rPr>
          <w:rFonts w:ascii="Arial"/>
          <w:sz w:val="17"/>
        </w:rPr>
      </w:pPr>
    </w:p>
    <w:p>
      <w:pPr>
        <w:spacing w:line="197" w:lineRule="exact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sz w:val="17"/>
          <w:szCs w:val="17"/>
        </w:rPr>
        <w:br/>
      </w:r>
      <w:r>
        <w:rPr>
          <w:rFonts w:ascii="Arial" w:eastAsia="Arial" w:hAnsi="Arial" w:cs="Arial"/>
          <w:sz w:val="17"/>
          <w:szCs w:val="17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https://d.book118.com/505031200013011113</w:t>
        </w:r>
      </w:hyperlink>
    </w:p>
    <w:p>
      <w:pPr>
        <w:spacing w:line="197" w:lineRule="exact"/>
        <w:rPr>
          <w:rFonts w:ascii="Arial" w:eastAsia="Arial" w:hAnsi="Arial" w:cs="Arial"/>
          <w:sz w:val="17"/>
          <w:szCs w:val="17"/>
        </w:rPr>
      </w:pPr>
    </w:p>
    <w:sectPr>
      <w:headerReference w:type="default" r:id="rId28"/>
      <w:footerReference w:type="default" r:id="rId29"/>
      <w:type w:val="nextPage"/>
      <w:pgSz w:w="11900" w:h="16840"/>
      <w:pgMar w:top="1699" w:right="1130" w:bottom="927" w:left="1435" w:header="1369" w:footer="760" w:gutter="0"/>
      <w:pgNumType w:start="9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899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899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60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160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8989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90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4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8925"/>
      <w:rPr>
        <w:rFonts w:ascii="SimSun" w:eastAsia="SimSun" w:hAnsi="SimSun" w:cs="SimSun"/>
        <w:sz w:val="17"/>
        <w:szCs w:val="17"/>
      </w:rPr>
    </w:pPr>
    <w:r>
      <w:rPr>
        <w:rFonts w:ascii="SimSun" w:eastAsia="SimSun" w:hAnsi="SimSun" w:cs="SimSun"/>
        <w:sz w:val="17"/>
        <w:szCs w:val="17"/>
      </w:rPr>
      <w:t>5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8925"/>
      <w:rPr>
        <w:rFonts w:ascii="SimSun" w:eastAsia="SimSun" w:hAnsi="SimSun" w:cs="SimSun"/>
        <w:sz w:val="17"/>
        <w:szCs w:val="17"/>
      </w:rPr>
    </w:pPr>
    <w:r>
      <w:rPr>
        <w:rFonts w:ascii="SimSun" w:eastAsia="SimSun" w:hAnsi="SimSun" w:cs="SimSun"/>
        <w:sz w:val="17"/>
        <w:szCs w:val="17"/>
      </w:rPr>
      <w:t>5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8925"/>
      <w:rPr>
        <w:rFonts w:ascii="SimSun" w:eastAsia="SimSun" w:hAnsi="SimSun" w:cs="SimSun"/>
        <w:sz w:val="17"/>
        <w:szCs w:val="17"/>
      </w:rPr>
    </w:pPr>
    <w:r>
      <w:rPr>
        <w:rFonts w:ascii="SimSun" w:eastAsia="SimSun" w:hAnsi="SimSun" w:cs="SimSun"/>
        <w:sz w:val="17"/>
        <w:szCs w:val="17"/>
      </w:rPr>
      <w:t>5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8" w:lineRule="auto"/>
      <w:ind w:left="3979"/>
      <w:rPr>
        <w:sz w:val="18"/>
        <w:szCs w:val="18"/>
      </w:rPr>
    </w:pPr>
    <w:r>
      <w:rPr>
        <w:spacing w:val="-1"/>
        <w:sz w:val="18"/>
        <w:szCs w:val="18"/>
      </w:rPr>
      <w:t>JJG</w:t>
    </w:r>
    <w:r>
      <w:rPr>
        <w:spacing w:val="6"/>
        <w:sz w:val="18"/>
        <w:szCs w:val="18"/>
      </w:rPr>
      <w:t xml:space="preserve">      </w:t>
    </w:r>
    <w:r>
      <w:rPr>
        <w:spacing w:val="-1"/>
        <w:sz w:val="18"/>
        <w:szCs w:val="18"/>
      </w:rPr>
      <w:t>920—2017</w:t>
    </w:r>
  </w:p>
  <w:p>
    <w:pPr>
      <w:spacing w:before="73" w:line="10" w:lineRule="exact"/>
      <w:ind w:firstLine="19"/>
    </w:pPr>
    <w:r>
      <w:drawing>
        <wp:inline distT="0" distB="0" distL="0" distR="0">
          <wp:extent cx="5918174" cy="6375"/>
          <wp:effectExtent l="0" t="0" r="0" b="0"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918174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8" w:lineRule="auto"/>
      <w:ind w:left="3979"/>
      <w:rPr>
        <w:sz w:val="18"/>
        <w:szCs w:val="18"/>
      </w:rPr>
    </w:pPr>
    <w:r>
      <w:rPr>
        <w:spacing w:val="-1"/>
        <w:sz w:val="18"/>
        <w:szCs w:val="18"/>
      </w:rPr>
      <w:t>JJG</w:t>
    </w:r>
    <w:r>
      <w:rPr>
        <w:spacing w:val="6"/>
        <w:sz w:val="18"/>
        <w:szCs w:val="18"/>
      </w:rPr>
      <w:t xml:space="preserve">      </w:t>
    </w:r>
    <w:r>
      <w:rPr>
        <w:spacing w:val="-1"/>
        <w:sz w:val="18"/>
        <w:szCs w:val="18"/>
      </w:rPr>
      <w:t>920—2017</w:t>
    </w:r>
  </w:p>
  <w:p>
    <w:pPr>
      <w:spacing w:before="73" w:line="10" w:lineRule="exact"/>
      <w:ind w:firstLine="19"/>
    </w:pPr>
    <w:r>
      <w:drawing>
        <wp:inline distT="0" distB="0" distL="0" distR="0">
          <wp:extent cx="5918174" cy="6375"/>
          <wp:effectExtent l="0" t="0" r="0" b="0"/>
          <wp:docPr id="756206923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6206923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918174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3989"/>
      <w:rPr>
        <w:rFonts w:ascii="SimSun" w:eastAsia="SimSun" w:hAnsi="SimSun" w:cs="SimSun"/>
        <w:sz w:val="24"/>
        <w:szCs w:val="24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774692</wp:posOffset>
          </wp:positionH>
          <wp:positionV relativeFrom="page">
            <wp:posOffset>1022394</wp:posOffset>
          </wp:positionV>
          <wp:extent cx="5899133" cy="12618"/>
          <wp:effectExtent l="0" t="0" r="0" b="0"/>
          <wp:wrapNone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99133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spacing w:val="-15"/>
        <w:sz w:val="24"/>
        <w:szCs w:val="24"/>
      </w:rPr>
      <w:t>JJG 920—2017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3989"/>
      <w:rPr>
        <w:rFonts w:ascii="SimSun" w:eastAsia="SimSun" w:hAnsi="SimSun" w:cs="SimSun"/>
        <w:sz w:val="24"/>
        <w:szCs w:val="24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774692</wp:posOffset>
          </wp:positionH>
          <wp:positionV relativeFrom="page">
            <wp:posOffset>1022394</wp:posOffset>
          </wp:positionV>
          <wp:extent cx="5899133" cy="12618"/>
          <wp:effectExtent l="0" t="0" r="0" b="0"/>
          <wp:wrapNone/>
          <wp:docPr id="190530916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530916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99133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spacing w:val="-15"/>
        <w:sz w:val="24"/>
        <w:szCs w:val="24"/>
      </w:rPr>
      <w:t>JJG 920—2017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3973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b/>
        <w:bCs/>
        <w:spacing w:val="-17"/>
        <w:sz w:val="24"/>
        <w:szCs w:val="24"/>
      </w:rPr>
      <w:t>JJG</w:t>
    </w:r>
    <w:r>
      <w:rPr>
        <w:rFonts w:ascii="SimSun" w:eastAsia="SimSun" w:hAnsi="SimSun" w:cs="SimSun"/>
        <w:spacing w:val="-17"/>
        <w:sz w:val="24"/>
        <w:szCs w:val="24"/>
      </w:rPr>
      <w:t xml:space="preserve"> </w:t>
    </w:r>
    <w:r>
      <w:rPr>
        <w:rFonts w:ascii="SimSun" w:eastAsia="SimSun" w:hAnsi="SimSun" w:cs="SimSun"/>
        <w:b/>
        <w:bCs/>
        <w:spacing w:val="-17"/>
        <w:sz w:val="24"/>
        <w:szCs w:val="24"/>
      </w:rPr>
      <w:t>920—2017</w:t>
    </w:r>
  </w:p>
  <w:p>
    <w:pPr>
      <w:spacing w:before="80" w:line="10" w:lineRule="exact"/>
      <w:ind w:firstLine="19"/>
    </w:pPr>
    <w:r>
      <w:drawing>
        <wp:inline distT="0" distB="0" distL="0" distR="0">
          <wp:extent cx="5918174" cy="6375"/>
          <wp:effectExtent l="0" t="0" r="0" b="0"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918174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3939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pacing w:val="-2"/>
        <w:sz w:val="20"/>
        <w:szCs w:val="20"/>
      </w:rPr>
      <w:t>JJG</w:t>
    </w:r>
    <w:r>
      <w:rPr>
        <w:rFonts w:ascii="SimSun" w:eastAsia="SimSun" w:hAnsi="SimSun" w:cs="SimSun"/>
        <w:spacing w:val="92"/>
        <w:sz w:val="20"/>
        <w:szCs w:val="20"/>
      </w:rPr>
      <w:t xml:space="preserve"> </w:t>
    </w:r>
    <w:r>
      <w:rPr>
        <w:rFonts w:ascii="SimSun" w:eastAsia="SimSun" w:hAnsi="SimSun" w:cs="SimSun"/>
        <w:spacing w:val="-2"/>
        <w:sz w:val="20"/>
        <w:szCs w:val="20"/>
      </w:rPr>
      <w:t>920—2017</w:t>
    </w:r>
  </w:p>
  <w:p>
    <w:pPr>
      <w:spacing w:before="103" w:line="10" w:lineRule="exact"/>
    </w:pPr>
    <w:r>
      <w:drawing>
        <wp:inline distT="0" distB="0" distL="0" distR="0">
          <wp:extent cx="5892784" cy="6375"/>
          <wp:effectExtent l="0" t="0" r="0" b="0"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92784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3994"/>
      <w:rPr>
        <w:rFonts w:ascii="SimSun" w:eastAsia="SimSun" w:hAnsi="SimSun" w:cs="SimSun"/>
        <w:sz w:val="21"/>
        <w:szCs w:val="21"/>
      </w:rPr>
    </w:pPr>
    <w:r>
      <w:rPr>
        <w:rFonts w:ascii="SimSun" w:eastAsia="SimSun" w:hAnsi="SimSun" w:cs="SimSun"/>
        <w:spacing w:val="-2"/>
        <w:sz w:val="21"/>
        <w:szCs w:val="21"/>
      </w:rPr>
      <w:t>JJG</w:t>
    </w:r>
    <w:r>
      <w:rPr>
        <w:rFonts w:ascii="SimSun" w:eastAsia="SimSun" w:hAnsi="SimSun" w:cs="SimSun"/>
        <w:spacing w:val="38"/>
        <w:sz w:val="21"/>
        <w:szCs w:val="21"/>
      </w:rPr>
      <w:t xml:space="preserve"> </w:t>
    </w:r>
    <w:r>
      <w:rPr>
        <w:rFonts w:ascii="SimSun" w:eastAsia="SimSun" w:hAnsi="SimSun" w:cs="SimSun"/>
        <w:spacing w:val="-2"/>
        <w:sz w:val="21"/>
        <w:szCs w:val="21"/>
      </w:rPr>
      <w:t>920—2017</w:t>
    </w:r>
  </w:p>
  <w:p>
    <w:pPr>
      <w:spacing w:before="101" w:line="10" w:lineRule="exact"/>
      <w:ind w:firstLine="54"/>
    </w:pPr>
    <w:r>
      <w:drawing>
        <wp:inline distT="0" distB="0" distL="0" distR="0">
          <wp:extent cx="5892784" cy="6375"/>
          <wp:effectExtent l="0" t="0" r="0" b="0"/>
          <wp:docPr id="1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92784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3994"/>
      <w:rPr>
        <w:rFonts w:ascii="SimSun" w:eastAsia="SimSun" w:hAnsi="SimSun" w:cs="SimSun"/>
        <w:sz w:val="21"/>
        <w:szCs w:val="21"/>
      </w:rPr>
    </w:pPr>
    <w:r>
      <w:rPr>
        <w:rFonts w:ascii="SimSun" w:eastAsia="SimSun" w:hAnsi="SimSun" w:cs="SimSun"/>
        <w:spacing w:val="-2"/>
        <w:sz w:val="21"/>
        <w:szCs w:val="21"/>
      </w:rPr>
      <w:t>JJG</w:t>
    </w:r>
    <w:r>
      <w:rPr>
        <w:rFonts w:ascii="SimSun" w:eastAsia="SimSun" w:hAnsi="SimSun" w:cs="SimSun"/>
        <w:spacing w:val="38"/>
        <w:sz w:val="21"/>
        <w:szCs w:val="21"/>
      </w:rPr>
      <w:t xml:space="preserve"> </w:t>
    </w:r>
    <w:r>
      <w:rPr>
        <w:rFonts w:ascii="SimSun" w:eastAsia="SimSun" w:hAnsi="SimSun" w:cs="SimSun"/>
        <w:spacing w:val="-2"/>
        <w:sz w:val="21"/>
        <w:szCs w:val="21"/>
      </w:rPr>
      <w:t>920—2017</w:t>
    </w:r>
  </w:p>
  <w:p>
    <w:pPr>
      <w:spacing w:before="101" w:line="10" w:lineRule="exact"/>
      <w:ind w:firstLine="54"/>
    </w:pPr>
    <w:r>
      <w:drawing>
        <wp:inline distT="0" distB="0" distL="0" distR="0">
          <wp:extent cx="5892784" cy="6375"/>
          <wp:effectExtent l="0" t="0" r="0" b="0"/>
          <wp:docPr id="1828089824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8089824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92784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3994"/>
      <w:rPr>
        <w:rFonts w:ascii="SimSun" w:eastAsia="SimSun" w:hAnsi="SimSun" w:cs="SimSun"/>
        <w:sz w:val="21"/>
        <w:szCs w:val="21"/>
      </w:rPr>
    </w:pPr>
    <w:r>
      <w:rPr>
        <w:rFonts w:ascii="SimSun" w:eastAsia="SimSun" w:hAnsi="SimSun" w:cs="SimSun"/>
        <w:spacing w:val="-2"/>
        <w:sz w:val="21"/>
        <w:szCs w:val="21"/>
      </w:rPr>
      <w:t>JJG</w:t>
    </w:r>
    <w:r>
      <w:rPr>
        <w:rFonts w:ascii="SimSun" w:eastAsia="SimSun" w:hAnsi="SimSun" w:cs="SimSun"/>
        <w:spacing w:val="38"/>
        <w:sz w:val="21"/>
        <w:szCs w:val="21"/>
      </w:rPr>
      <w:t xml:space="preserve"> </w:t>
    </w:r>
    <w:r>
      <w:rPr>
        <w:rFonts w:ascii="SimSun" w:eastAsia="SimSun" w:hAnsi="SimSun" w:cs="SimSun"/>
        <w:spacing w:val="-2"/>
        <w:sz w:val="21"/>
        <w:szCs w:val="21"/>
      </w:rPr>
      <w:t>920—2017</w:t>
    </w:r>
  </w:p>
  <w:p>
    <w:pPr>
      <w:spacing w:before="101" w:line="10" w:lineRule="exact"/>
      <w:ind w:firstLine="54"/>
    </w:pPr>
    <w:r>
      <w:drawing>
        <wp:inline distT="0" distB="0" distL="0" distR="0">
          <wp:extent cx="5892784" cy="6375"/>
          <wp:effectExtent l="0" t="0" r="0" b="0"/>
          <wp:docPr id="271930774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1930774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92784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23"/>
      <w:szCs w:val="23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hyperlink" Target="7.2.2.1" TargetMode="External" /><Relationship Id="rId15" Type="http://schemas.openxmlformats.org/officeDocument/2006/relationships/hyperlink" Target="7.2.2.2" TargetMode="External" /><Relationship Id="rId16" Type="http://schemas.openxmlformats.org/officeDocument/2006/relationships/hyperlink" Target="7.2.2.3" TargetMode="External" /><Relationship Id="rId17" Type="http://schemas.openxmlformats.org/officeDocument/2006/relationships/hyperlink" Target="7.2.2.4" TargetMode="External" /><Relationship Id="rId18" Type="http://schemas.openxmlformats.org/officeDocument/2006/relationships/header" Target="header5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image" Target="media/image6.jpeg" /><Relationship Id="rId21" Type="http://schemas.openxmlformats.org/officeDocument/2006/relationships/header" Target="header6.xml" /><Relationship Id="rId22" Type="http://schemas.openxmlformats.org/officeDocument/2006/relationships/footer" Target="footer6.xml" /><Relationship Id="rId23" Type="http://schemas.openxmlformats.org/officeDocument/2006/relationships/header" Target="header7.xml" /><Relationship Id="rId24" Type="http://schemas.openxmlformats.org/officeDocument/2006/relationships/footer" Target="footer7.xml" /><Relationship Id="rId25" Type="http://schemas.openxmlformats.org/officeDocument/2006/relationships/header" Target="header8.xml" /><Relationship Id="rId26" Type="http://schemas.openxmlformats.org/officeDocument/2006/relationships/footer" Target="footer8.xml" /><Relationship Id="rId27" Type="http://schemas.openxmlformats.org/officeDocument/2006/relationships/hyperlink" Target="https://d.book118.com/505031200013011113" TargetMode="External" /><Relationship Id="rId28" Type="http://schemas.openxmlformats.org/officeDocument/2006/relationships/header" Target="header9.xml" /><Relationship Id="rId29" Type="http://schemas.openxmlformats.org/officeDocument/2006/relationships/footer" Target="footer9.xm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2024-02-28T19:50:33Z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2024-02-28T19:50:35Z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65df1e0779f318001fd02a53wl</vt:lpwstr>
  </property>
</Properties>
</file>