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spacing w:line="540" w:lineRule="exact"/>
        <w:jc w:val="left"/>
        <w:rPr>
          <w:rFonts w:eastAsia="仿宋_GB2312"/>
          <w:sz w:val="52"/>
          <w:szCs w:val="28"/>
        </w:rPr>
        <w:sectPr>
          <w:footerReference w:type="default" r:id="rId5"/>
          <w:pgSz w:w="11906" w:h="16838"/>
          <w:pgMar w:top="1701" w:right="1474" w:bottom="1474" w:left="1588" w:header="851" w:footer="992" w:gutter="0"/>
          <w:cols w:num="1" w:space="720"/>
          <w:docGrid w:type="lines" w:linePitch="312" w:charSpace="0"/>
        </w:sectPr>
      </w:pPr>
      <w:r>
        <w:rPr>
          <w:rFonts w:eastAsia="仿宋_GB2312"/>
          <w:sz w:val="32"/>
          <w:szCs w:val="32"/>
        </w:rPr>
        <w:t xml:space="preserve">                              </w:t>
      </w:r>
    </w:p>
    <w:p>
      <w:pPr>
        <w:adjustRightInd w:val="0"/>
        <w:snapToGrid w:val="0"/>
        <w:jc w:val="left"/>
        <w:rPr>
          <w:rFonts w:ascii="华文中宋" w:eastAsia="华文中宋" w:hAnsi="华文中宋"/>
          <w:sz w:val="52"/>
          <w:szCs w:val="28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-20320</wp:posOffset>
            </wp:positionH>
            <wp:positionV relativeFrom="paragraph">
              <wp:posOffset>62230</wp:posOffset>
            </wp:positionV>
            <wp:extent cx="1247775" cy="1247775"/>
            <wp:effectExtent l="0" t="0" r="9525" b="952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effectLst>
                      <a:softEdge rad="88900"/>
                    </a:effectLst>
                    <a:scene3d>
                      <a:camera prst="orthographicFront"/>
                      <a:lightRig rig="threePt" dir="t"/>
                    </a:scene3d>
                    <a:sp3d extrusionH="6350"/>
                  </pic:spPr>
                </pic:pic>
              </a:graphicData>
            </a:graphic>
          </wp:anchor>
        </w:drawing>
      </w:r>
    </w:p>
    <w:p>
      <w:pPr>
        <w:rPr>
          <w:rFonts w:ascii="方正小标宋简体" w:eastAsia="方正小标宋简体" w:hAnsi="Calibri" w:cs="华文中宋"/>
          <w:sz w:val="64"/>
          <w:szCs w:val="64"/>
        </w:rPr>
      </w:pPr>
      <w:r>
        <w:rPr>
          <w:rFonts w:ascii="方正小标宋简体" w:eastAsia="方正小标宋简体" w:hAnsi="Calibri" w:cs="华文中宋" w:hint="eastAsia"/>
          <w:sz w:val="64"/>
          <w:szCs w:val="64"/>
        </w:rPr>
        <w:t xml:space="preserve"> </w:t>
      </w:r>
      <w:r>
        <w:rPr>
          <w:rFonts w:eastAsia="仿宋_GB2312"/>
          <w:sz w:val="32"/>
          <w:szCs w:val="32"/>
        </w:rPr>
        <w:t>室</w:t>
      </w:r>
    </w:p>
    <w:p>
      <w:pPr>
        <w:adjustRightInd w:val="0"/>
        <w:snapToGrid w:val="0"/>
        <w:spacing w:before="156" w:beforeLines="50"/>
        <w:jc w:val="center"/>
        <w:rPr>
          <w:rFonts w:ascii="方正小标宋简体" w:eastAsia="方正小标宋简体" w:hAnsi="Calibri" w:cs="华文中宋"/>
          <w:sz w:val="72"/>
          <w:szCs w:val="72"/>
        </w:rPr>
      </w:pPr>
    </w:p>
    <w:p>
      <w:pPr>
        <w:spacing w:before="468" w:beforeLines="150"/>
        <w:jc w:val="center"/>
        <w:rPr>
          <w:rFonts w:ascii="方正小标宋简体" w:eastAsia="方正小标宋简体" w:hAnsi="Calibri" w:cs="华文中宋"/>
          <w:sz w:val="72"/>
          <w:szCs w:val="72"/>
        </w:rPr>
      </w:pPr>
      <w:r>
        <w:rPr>
          <w:rFonts w:ascii="方正小标宋简体" w:eastAsia="方正小标宋简体" w:hAnsi="Calibri" w:cs="华文中宋" w:hint="eastAsia"/>
          <w:sz w:val="72"/>
          <w:szCs w:val="72"/>
        </w:rPr>
        <w:t>灵台县职业中等专业学校</w:t>
      </w:r>
    </w:p>
    <w:p>
      <w:pPr>
        <w:jc w:val="center"/>
        <w:rPr>
          <w:rFonts w:ascii="方正小标宋简体" w:eastAsia="方正小标宋简体" w:hAnsi="Calibri" w:cs="华文中宋"/>
          <w:sz w:val="72"/>
          <w:szCs w:val="72"/>
        </w:rPr>
      </w:pPr>
      <w:r>
        <w:rPr>
          <w:rFonts w:ascii="方正小标宋简体" w:eastAsia="方正小标宋简体" w:hAnsi="Calibri" w:cs="华文中宋" w:hint="eastAsia"/>
          <w:sz w:val="72"/>
          <w:szCs w:val="72"/>
        </w:rPr>
        <w:t>教育质量年度报告</w:t>
      </w:r>
    </w:p>
    <w:p>
      <w:pPr>
        <w:jc w:val="center"/>
        <w:rPr>
          <w:rFonts w:ascii="方正小标宋简体" w:eastAsia="方正小标宋简体" w:hAnsi="Calibri" w:cs="华文中宋"/>
          <w:sz w:val="64"/>
          <w:szCs w:val="64"/>
        </w:rPr>
      </w:pPr>
      <w:r>
        <w:rPr>
          <w:rFonts w:ascii="方正小标宋简体" w:eastAsia="方正小标宋简体" w:hAnsi="Calibri" w:cs="华文中宋" w:hint="eastAsia"/>
          <w:sz w:val="64"/>
          <w:szCs w:val="64"/>
        </w:rPr>
        <w:t>（20</w:t>
      </w:r>
      <w:r>
        <w:rPr>
          <w:rFonts w:ascii="方正小标宋简体" w:eastAsia="方正小标宋简体" w:hAnsi="Calibri" w:cs="华文中宋"/>
          <w:sz w:val="64"/>
          <w:szCs w:val="64"/>
        </w:rPr>
        <w:t>2</w:t>
      </w:r>
      <w:r>
        <w:rPr>
          <w:rFonts w:ascii="方正小标宋简体" w:eastAsia="方正小标宋简体" w:hAnsi="Calibri" w:cs="华文中宋" w:hint="eastAsia"/>
          <w:sz w:val="64"/>
          <w:szCs w:val="64"/>
        </w:rPr>
        <w:t>2）</w:t>
      </w:r>
    </w:p>
    <w:p>
      <w:pPr>
        <w:jc w:val="center"/>
        <w:rPr>
          <w:rFonts w:ascii="方正小标宋简体" w:eastAsia="方正小标宋简体" w:hAnsi="Calibri" w:cs="华文中宋"/>
          <w:sz w:val="40"/>
          <w:szCs w:val="40"/>
        </w:rPr>
      </w:pPr>
    </w:p>
    <w:p>
      <w:pPr>
        <w:jc w:val="center"/>
        <w:rPr>
          <w:rFonts w:ascii="方正小标宋简体" w:eastAsia="方正小标宋简体" w:hAnsi="Calibri" w:cs="华文中宋"/>
          <w:sz w:val="40"/>
          <w:szCs w:val="40"/>
        </w:rPr>
      </w:pPr>
    </w:p>
    <w:p>
      <w:pPr>
        <w:jc w:val="center"/>
        <w:rPr>
          <w:rFonts w:ascii="方正小标宋简体" w:eastAsia="方正小标宋简体" w:hAnsi="Calibri" w:cs="华文中宋"/>
          <w:sz w:val="40"/>
          <w:szCs w:val="40"/>
        </w:rPr>
      </w:pPr>
    </w:p>
    <w:p>
      <w:pPr>
        <w:jc w:val="center"/>
        <w:rPr>
          <w:rFonts w:ascii="方正小标宋简体" w:eastAsia="方正小标宋简体" w:hAnsi="Calibri" w:cs="华文中宋"/>
          <w:sz w:val="40"/>
          <w:szCs w:val="40"/>
        </w:rPr>
      </w:pPr>
    </w:p>
    <w:p>
      <w:pPr>
        <w:jc w:val="center"/>
        <w:rPr>
          <w:rFonts w:ascii="方正小标宋简体" w:eastAsia="方正小标宋简体" w:hAnsi="Calibri" w:cs="华文中宋"/>
          <w:sz w:val="40"/>
          <w:szCs w:val="40"/>
        </w:rPr>
      </w:pPr>
    </w:p>
    <w:p>
      <w:pPr>
        <w:jc w:val="center"/>
        <w:rPr>
          <w:rFonts w:ascii="方正小标宋简体" w:eastAsia="方正小标宋简体" w:hAnsi="Calibri" w:cs="华文中宋"/>
          <w:sz w:val="56"/>
          <w:szCs w:val="64"/>
        </w:rPr>
        <w:sectPr>
          <w:footerReference w:type="default" r:id="rId7"/>
          <w:pgSz w:w="11906" w:h="16838"/>
          <w:pgMar w:top="1701" w:right="1474" w:bottom="1474" w:left="1588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方正小标宋简体" w:eastAsia="方正小标宋简体" w:hAnsi="Calibri" w:cs="华文中宋" w:hint="eastAsia"/>
          <w:sz w:val="56"/>
          <w:szCs w:val="64"/>
        </w:rPr>
        <w:t>甘肃·灵台</w:t>
      </w:r>
    </w:p>
    <w:p>
      <w:pPr>
        <w:jc w:val="center"/>
        <w:rPr>
          <w:rFonts w:ascii="方正小标宋简体" w:eastAsia="方正小标宋简体" w:hAnsi="Calibri" w:cs="华文中宋"/>
          <w:sz w:val="56"/>
          <w:szCs w:val="64"/>
        </w:rPr>
        <w:sectPr>
          <w:footerReference w:type="default" r:id="rId8"/>
          <w:type w:val="nextPage"/>
          <w:pgSz w:w="11906" w:h="16838"/>
          <w:pgMar w:top="1701" w:right="1474" w:bottom="1474" w:left="1588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方正小标宋简体" w:eastAsia="方正小标宋简体" w:hAnsi="Calibri" w:cs="华文中宋" w:hint="eastAsia"/>
          <w:sz w:val="56"/>
          <w:szCs w:val="64"/>
        </w:rPr>
        <w:t>20</w:t>
      </w:r>
      <w:r>
        <w:rPr>
          <w:rFonts w:ascii="方正小标宋简体" w:eastAsia="方正小标宋简体" w:hAnsi="Calibri" w:cs="华文中宋"/>
          <w:sz w:val="56"/>
          <w:szCs w:val="64"/>
        </w:rPr>
        <w:t>2</w:t>
      </w:r>
      <w:r>
        <w:rPr>
          <w:rFonts w:ascii="方正小标宋简体" w:eastAsia="方正小标宋简体" w:hAnsi="Calibri" w:cs="华文中宋" w:hint="eastAsia"/>
          <w:sz w:val="56"/>
          <w:szCs w:val="64"/>
        </w:rPr>
        <w:t>1年11月</w:t>
      </w:r>
    </w:p>
    <w:p>
      <w:pPr>
        <w:jc w:val="center"/>
        <w:rPr>
          <w:rFonts w:ascii="方正小标宋简体" w:eastAsia="方正小标宋简体" w:hAnsi="Calibri" w:cs="华文中宋"/>
          <w:sz w:val="56"/>
          <w:szCs w:val="64"/>
        </w:rPr>
      </w:pPr>
      <w:r>
        <w:rPr>
          <w:rFonts w:ascii="方正小标宋简体" w:eastAsia="方正小标宋简体" w:hAnsi="Calibri" w:cs="华文中宋" w:hint="eastAsia"/>
          <w:sz w:val="44"/>
          <w:szCs w:val="44"/>
        </w:rPr>
        <w:t>目  录</w:t>
      </w:r>
    </w:p>
    <w:p>
      <w:pPr>
        <w:tabs>
          <w:tab w:val="right" w:leader="dot" w:pos="8834"/>
        </w:tabs>
        <w:rPr>
          <w:rFonts w:eastAsia="等线"/>
          <w:sz w:val="28"/>
          <w:szCs w:val="22"/>
        </w:rPr>
      </w:pPr>
      <w:r>
        <w:rPr>
          <w:rFonts w:eastAsia="方正小标宋简体"/>
          <w:sz w:val="200"/>
          <w:szCs w:val="64"/>
        </w:rPr>
        <w:fldChar w:fldCharType="begin"/>
      </w:r>
      <w:r>
        <w:rPr>
          <w:rFonts w:eastAsia="方正小标宋简体"/>
          <w:sz w:val="200"/>
          <w:szCs w:val="64"/>
        </w:rPr>
        <w:instrText xml:space="preserve"> TOC \o "1-3" \h \z \u </w:instrText>
      </w:r>
      <w:r>
        <w:rPr>
          <w:rFonts w:eastAsia="方正小标宋简体"/>
          <w:sz w:val="200"/>
          <w:szCs w:val="64"/>
        </w:rPr>
        <w:fldChar w:fldCharType="separate"/>
      </w:r>
      <w:hyperlink w:anchor="_Toc2340515" w:history="1">
        <w:r>
          <w:rPr>
            <w:rFonts w:eastAsia="黑体" w:hint="eastAsia"/>
            <w:b/>
            <w:bCs/>
            <w:color w:val="2D2D2D"/>
            <w:sz w:val="28"/>
          </w:rPr>
          <w:t>1</w:t>
        </w:r>
        <w:r>
          <w:rPr>
            <w:rFonts w:eastAsia="黑体"/>
            <w:b/>
            <w:bCs/>
            <w:color w:val="2D2D2D"/>
            <w:sz w:val="28"/>
          </w:rPr>
          <w:t>.</w:t>
        </w:r>
        <w:r>
          <w:rPr>
            <w:rFonts w:eastAsia="黑体"/>
            <w:color w:val="2D2D2D"/>
            <w:sz w:val="28"/>
          </w:rPr>
          <w:t>学校情况</w:t>
        </w:r>
        <w:r>
          <w:rPr>
            <w:sz w:val="28"/>
          </w:rPr>
          <w:tab/>
        </w:r>
        <w:r>
          <w:rPr>
            <w:sz w:val="28"/>
          </w:rPr>
          <w:t>1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16" w:history="1">
        <w:r>
          <w:rPr>
            <w:rFonts w:eastAsia="楷体_GB2312"/>
            <w:color w:val="2D2D2D"/>
            <w:sz w:val="28"/>
          </w:rPr>
          <w:t>1.1学校概况</w:t>
        </w:r>
        <w:r>
          <w:rPr>
            <w:sz w:val="28"/>
          </w:rPr>
          <w:tab/>
        </w:r>
        <w:r>
          <w:rPr>
            <w:sz w:val="28"/>
          </w:rPr>
          <w:t>1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17" w:history="1">
        <w:r>
          <w:rPr>
            <w:rFonts w:eastAsia="楷体_GB2312"/>
            <w:color w:val="2D2D2D"/>
            <w:sz w:val="28"/>
          </w:rPr>
          <w:t>1.2 学生情况</w:t>
        </w:r>
        <w:r>
          <w:rPr>
            <w:sz w:val="28"/>
          </w:rPr>
          <w:tab/>
        </w:r>
        <w:r>
          <w:rPr>
            <w:sz w:val="28"/>
          </w:rPr>
          <w:t>2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18" w:history="1">
        <w:r>
          <w:rPr>
            <w:rFonts w:eastAsia="楷体_GB2312"/>
            <w:color w:val="2D2D2D"/>
            <w:sz w:val="28"/>
          </w:rPr>
          <w:t>1.3教师队伍</w:t>
        </w:r>
        <w:r>
          <w:rPr>
            <w:sz w:val="28"/>
          </w:rPr>
          <w:tab/>
        </w:r>
        <w:r>
          <w:rPr>
            <w:sz w:val="28"/>
          </w:rPr>
          <w:t>3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19" w:history="1">
        <w:r>
          <w:rPr>
            <w:rFonts w:eastAsia="楷体_GB2312"/>
            <w:color w:val="2D2D2D"/>
            <w:sz w:val="28"/>
          </w:rPr>
          <w:t>1.4设施设备</w:t>
        </w:r>
        <w:r>
          <w:rPr>
            <w:sz w:val="28"/>
          </w:rPr>
          <w:tab/>
        </w:r>
        <w:r>
          <w:rPr>
            <w:rFonts w:hint="eastAsia"/>
            <w:sz w:val="28"/>
          </w:rPr>
          <w:t>3</w:t>
        </w:r>
      </w:hyperlink>
    </w:p>
    <w:p>
      <w:pPr>
        <w:tabs>
          <w:tab w:val="right" w:leader="dot" w:pos="8834"/>
        </w:tabs>
        <w:rPr>
          <w:rFonts w:eastAsia="等线"/>
          <w:sz w:val="28"/>
          <w:szCs w:val="22"/>
        </w:rPr>
      </w:pPr>
      <w:hyperlink w:anchor="_Toc2340520" w:history="1">
        <w:r>
          <w:rPr>
            <w:rFonts w:eastAsia="黑体"/>
            <w:b/>
            <w:bCs/>
            <w:color w:val="2D2D2D"/>
            <w:sz w:val="28"/>
          </w:rPr>
          <w:t>2.</w:t>
        </w:r>
        <w:r>
          <w:rPr>
            <w:rFonts w:eastAsia="黑体"/>
            <w:color w:val="2D2D2D"/>
            <w:sz w:val="28"/>
          </w:rPr>
          <w:t>学生发展</w:t>
        </w:r>
        <w:r>
          <w:rPr>
            <w:sz w:val="28"/>
          </w:rPr>
          <w:tab/>
        </w:r>
        <w:r>
          <w:rPr>
            <w:sz w:val="28"/>
          </w:rPr>
          <w:t>4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21" w:history="1">
        <w:r>
          <w:rPr>
            <w:rFonts w:eastAsia="楷体_GB2312"/>
            <w:color w:val="2D2D2D"/>
            <w:sz w:val="28"/>
          </w:rPr>
          <w:t>2.1学生素质</w:t>
        </w:r>
        <w:r>
          <w:rPr>
            <w:sz w:val="28"/>
          </w:rPr>
          <w:tab/>
        </w:r>
        <w:r>
          <w:rPr>
            <w:sz w:val="28"/>
          </w:rPr>
          <w:t>5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22" w:history="1">
        <w:r>
          <w:rPr>
            <w:rFonts w:eastAsia="楷体_GB2312"/>
            <w:color w:val="2D2D2D"/>
            <w:sz w:val="28"/>
          </w:rPr>
          <w:t>2.2在校体验</w:t>
        </w:r>
        <w:r>
          <w:rPr>
            <w:sz w:val="28"/>
          </w:rPr>
          <w:tab/>
        </w:r>
        <w:r>
          <w:rPr>
            <w:sz w:val="28"/>
          </w:rPr>
          <w:t>6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23" w:history="1">
        <w:r>
          <w:rPr>
            <w:rFonts w:eastAsia="楷体_GB2312"/>
            <w:color w:val="2D2D2D"/>
            <w:sz w:val="28"/>
          </w:rPr>
          <w:t>2.3资助情况</w:t>
        </w:r>
        <w:r>
          <w:rPr>
            <w:sz w:val="28"/>
          </w:rPr>
          <w:tab/>
        </w:r>
        <w:r>
          <w:rPr>
            <w:sz w:val="28"/>
          </w:rPr>
          <w:t>6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24" w:history="1">
        <w:r>
          <w:rPr>
            <w:rFonts w:eastAsia="楷体_GB2312"/>
            <w:color w:val="2D2D2D"/>
            <w:sz w:val="28"/>
          </w:rPr>
          <w:t>2.4就业质量</w:t>
        </w:r>
        <w:r>
          <w:rPr>
            <w:sz w:val="28"/>
          </w:rPr>
          <w:tab/>
        </w:r>
        <w:r>
          <w:rPr>
            <w:sz w:val="28"/>
          </w:rPr>
          <w:t>7</w:t>
        </w:r>
      </w:hyperlink>
    </w:p>
    <w:p>
      <w:pPr>
        <w:tabs>
          <w:tab w:val="right" w:leader="dot" w:pos="8834"/>
        </w:tabs>
        <w:ind w:left="420" w:leftChars="200"/>
        <w:rPr>
          <w:sz w:val="28"/>
        </w:rPr>
      </w:pPr>
      <w:hyperlink w:anchor="_Toc2340525" w:history="1">
        <w:r>
          <w:rPr>
            <w:rFonts w:eastAsia="楷体_GB2312"/>
            <w:color w:val="2D2D2D"/>
            <w:sz w:val="28"/>
          </w:rPr>
          <w:t>2.5升学情况</w:t>
        </w:r>
        <w:r>
          <w:rPr>
            <w:sz w:val="28"/>
          </w:rPr>
          <w:tab/>
        </w:r>
        <w:r>
          <w:rPr>
            <w:sz w:val="28"/>
          </w:rPr>
          <w:t>8</w:t>
        </w:r>
      </w:hyperlink>
    </w:p>
    <w:p>
      <w:pPr>
        <w:tabs>
          <w:tab w:val="right" w:leader="dot" w:pos="8834"/>
        </w:tabs>
        <w:ind w:left="420" w:leftChars="200"/>
        <w:rPr>
          <w:sz w:val="28"/>
        </w:rPr>
      </w:pPr>
      <w:hyperlink w:anchor="_Toc2340525" w:history="1">
        <w:r>
          <w:rPr>
            <w:rFonts w:eastAsia="楷体_GB2312"/>
            <w:color w:val="2D2D2D"/>
            <w:sz w:val="28"/>
          </w:rPr>
          <w:t>2.6职业发展</w:t>
        </w:r>
        <w:r>
          <w:rPr>
            <w:sz w:val="28"/>
          </w:rPr>
          <w:tab/>
        </w:r>
        <w:r>
          <w:rPr>
            <w:sz w:val="28"/>
          </w:rPr>
          <w:t>8</w:t>
        </w:r>
      </w:hyperlink>
    </w:p>
    <w:p>
      <w:pPr>
        <w:tabs>
          <w:tab w:val="right" w:leader="dot" w:pos="8834"/>
        </w:tabs>
        <w:rPr>
          <w:rFonts w:eastAsia="等线"/>
          <w:sz w:val="28"/>
          <w:szCs w:val="22"/>
        </w:rPr>
      </w:pPr>
      <w:hyperlink w:anchor="_Toc2340526" w:history="1">
        <w:r>
          <w:rPr>
            <w:rFonts w:eastAsia="黑体"/>
            <w:b/>
            <w:bCs/>
            <w:color w:val="2D2D2D"/>
            <w:sz w:val="28"/>
          </w:rPr>
          <w:t>3.</w:t>
        </w:r>
        <w:r>
          <w:rPr>
            <w:rFonts w:eastAsia="黑体"/>
            <w:color w:val="2D2D2D"/>
            <w:sz w:val="28"/>
          </w:rPr>
          <w:t>教学改革</w:t>
        </w:r>
        <w:r>
          <w:rPr>
            <w:sz w:val="28"/>
          </w:rPr>
          <w:tab/>
        </w:r>
        <w:r>
          <w:rPr>
            <w:rFonts w:hint="eastAsia"/>
            <w:sz w:val="28"/>
          </w:rPr>
          <w:t>8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27" w:history="1">
        <w:r>
          <w:rPr>
            <w:rFonts w:eastAsia="楷体_GB2312"/>
            <w:color w:val="2D2D2D"/>
            <w:sz w:val="28"/>
          </w:rPr>
          <w:t>3.1教育教学改革</w:t>
        </w:r>
        <w:r>
          <w:rPr>
            <w:sz w:val="28"/>
          </w:rPr>
          <w:tab/>
        </w:r>
        <w:r>
          <w:rPr>
            <w:rFonts w:hint="eastAsia"/>
            <w:sz w:val="28"/>
          </w:rPr>
          <w:t>8</w:t>
        </w:r>
      </w:hyperlink>
    </w:p>
    <w:p>
      <w:pPr>
        <w:tabs>
          <w:tab w:val="right" w:leader="dot" w:pos="8834"/>
        </w:tabs>
        <w:ind w:left="420" w:leftChars="200"/>
        <w:rPr>
          <w:sz w:val="28"/>
          <w:szCs w:val="22"/>
        </w:rPr>
      </w:pPr>
      <w:hyperlink w:anchor="_Toc2340528" w:history="1">
        <w:r>
          <w:rPr>
            <w:rFonts w:eastAsia="楷体_GB2312"/>
            <w:color w:val="2D2D2D"/>
            <w:sz w:val="28"/>
          </w:rPr>
          <w:t>3.2专业调整动态</w:t>
        </w:r>
        <w:r>
          <w:rPr>
            <w:sz w:val="28"/>
          </w:rPr>
          <w:tab/>
        </w:r>
        <w:r>
          <w:rPr>
            <w:sz w:val="28"/>
          </w:rPr>
          <w:t>1</w:t>
        </w:r>
      </w:hyperlink>
      <w:r>
        <w:rPr>
          <w:sz w:val="28"/>
        </w:rPr>
        <w:t>0</w:t>
      </w:r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29" w:history="1">
        <w:r>
          <w:rPr>
            <w:rFonts w:eastAsia="楷体_GB2312"/>
            <w:color w:val="2D2D2D"/>
            <w:sz w:val="28"/>
          </w:rPr>
          <w:t>3.3 教师培养</w:t>
        </w:r>
        <w:r>
          <w:rPr>
            <w:sz w:val="28"/>
          </w:rPr>
          <w:tab/>
        </w:r>
        <w:r>
          <w:rPr>
            <w:sz w:val="28"/>
          </w:rPr>
          <w:t>11</w:t>
        </w:r>
      </w:hyperlink>
    </w:p>
    <w:p>
      <w:pPr>
        <w:tabs>
          <w:tab w:val="right" w:leader="dot" w:pos="8834"/>
        </w:tabs>
        <w:rPr>
          <w:rFonts w:eastAsia="等线"/>
          <w:sz w:val="28"/>
          <w:szCs w:val="22"/>
        </w:rPr>
      </w:pPr>
      <w:hyperlink w:anchor="_Toc2340534" w:history="1">
        <w:r>
          <w:rPr>
            <w:rFonts w:eastAsia="黑体"/>
            <w:b/>
            <w:bCs/>
            <w:color w:val="2D2D2D"/>
            <w:sz w:val="28"/>
          </w:rPr>
          <w:t>4.</w:t>
        </w:r>
        <w:r>
          <w:rPr>
            <w:rFonts w:eastAsia="黑体"/>
            <w:color w:val="2D2D2D"/>
            <w:sz w:val="28"/>
          </w:rPr>
          <w:t>质量保障措施</w:t>
        </w:r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2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35" w:history="1">
        <w:r>
          <w:rPr>
            <w:rFonts w:eastAsia="楷体_GB2312"/>
            <w:color w:val="2D2D2D"/>
            <w:sz w:val="28"/>
          </w:rPr>
          <w:t>4.1 规范管理情况</w:t>
        </w:r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2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36" w:history="1">
        <w:r>
          <w:rPr>
            <w:rFonts w:eastAsia="楷体_GB2312"/>
            <w:color w:val="2D2D2D"/>
            <w:sz w:val="28"/>
          </w:rPr>
          <w:t>4.2 德育工作情况</w:t>
        </w:r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3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  <w:sectPr>
          <w:footerReference w:type="default" r:id="rId9"/>
          <w:type w:val="nextPage"/>
          <w:pgSz w:w="11906" w:h="16838"/>
          <w:pgMar w:top="1701" w:right="1474" w:bottom="1474" w:left="1588" w:header="851" w:footer="992" w:gutter="0"/>
          <w:pgNumType w:start="4"/>
          <w:cols w:num="1" w:space="720"/>
          <w:titlePg w:val="0"/>
          <w:docGrid w:type="lines" w:linePitch="312" w:charSpace="0"/>
        </w:sectPr>
      </w:pPr>
      <w:hyperlink w:anchor="_Toc2340538" w:history="1">
        <w:r>
          <w:rPr>
            <w:rFonts w:eastAsia="楷体_GB2312"/>
            <w:color w:val="2D2D2D"/>
            <w:sz w:val="28"/>
          </w:rPr>
          <w:t>4.3 党建情况</w:t>
        </w:r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4</w:t>
        </w:r>
      </w:hyperlink>
    </w:p>
    <w:p>
      <w:pPr>
        <w:tabs>
          <w:tab w:val="right" w:leader="dot" w:pos="8834"/>
        </w:tabs>
        <w:rPr>
          <w:sz w:val="28"/>
        </w:rPr>
      </w:pPr>
      <w:r>
        <w:fldChar w:fldCharType="begin"/>
      </w:r>
      <w:r>
        <w:instrText xml:space="preserve"> HYPERLINK \l "_Toc2340539" </w:instrText>
      </w:r>
      <w:r>
        <w:fldChar w:fldCharType="separate"/>
      </w:r>
      <w:r>
        <w:rPr>
          <w:rFonts w:eastAsia="黑体"/>
          <w:b/>
          <w:bCs/>
          <w:color w:val="2D2D2D"/>
          <w:sz w:val="28"/>
        </w:rPr>
        <w:t>5.</w:t>
      </w:r>
      <w:r>
        <w:rPr>
          <w:rFonts w:eastAsia="黑体"/>
          <w:color w:val="2D2D2D"/>
          <w:sz w:val="28"/>
        </w:rPr>
        <w:t>校企合作</w:t>
      </w:r>
      <w:r>
        <w:rPr>
          <w:sz w:val="28"/>
        </w:rPr>
        <w:tab/>
      </w:r>
      <w:r>
        <w:rPr>
          <w:sz w:val="28"/>
        </w:rPr>
        <w:t>1</w:t>
      </w:r>
      <w:r>
        <w:rPr>
          <w:rFonts w:hint="eastAsia"/>
          <w:sz w:val="28"/>
        </w:rPr>
        <w:t>5</w:t>
      </w:r>
    </w:p>
    <w:p>
      <w:pPr>
        <w:tabs>
          <w:tab w:val="right" w:leader="dot" w:pos="8834"/>
        </w:tabs>
        <w:ind w:left="420" w:leftChars="200"/>
        <w:rPr>
          <w:color w:val="2D2D2D"/>
          <w:sz w:val="28"/>
        </w:rPr>
      </w:pPr>
      <w:r>
        <w:rPr>
          <w:rFonts w:eastAsia="楷体_GB2312"/>
          <w:color w:val="2D2D2D"/>
          <w:sz w:val="28"/>
        </w:rPr>
        <w:t>5.1校企合作开展情况和效果</w:t>
      </w:r>
      <w:r>
        <w:rPr>
          <w:sz w:val="28"/>
        </w:rPr>
        <w:tab/>
      </w:r>
      <w:r>
        <w:rPr>
          <w:sz w:val="28"/>
        </w:rPr>
        <w:t>1</w:t>
      </w:r>
      <w:r>
        <w:rPr>
          <w:rFonts w:hint="eastAsia"/>
          <w:sz w:val="28"/>
        </w:rPr>
        <w:t>5</w:t>
      </w:r>
    </w:p>
    <w:p>
      <w:pPr>
        <w:tabs>
          <w:tab w:val="right" w:leader="dot" w:pos="8834"/>
        </w:tabs>
        <w:ind w:left="420" w:leftChars="200"/>
        <w:rPr>
          <w:sz w:val="28"/>
        </w:rPr>
      </w:pPr>
      <w:r>
        <w:rPr>
          <w:rFonts w:eastAsia="楷体_GB2312"/>
          <w:color w:val="2D2D2D"/>
          <w:sz w:val="28"/>
        </w:rPr>
        <w:t>5.2学生实习情况</w:t>
      </w:r>
      <w:r>
        <w:rPr>
          <w:sz w:val="28"/>
        </w:rPr>
        <w:tab/>
      </w:r>
      <w:r>
        <w:rPr>
          <w:sz w:val="28"/>
        </w:rPr>
        <w:t>1</w:t>
      </w:r>
      <w:r>
        <w:rPr>
          <w:rFonts w:hint="eastAsia"/>
          <w:sz w:val="28"/>
        </w:rPr>
        <w:t>6</w:t>
      </w:r>
    </w:p>
    <w:p>
      <w:pPr>
        <w:tabs>
          <w:tab w:val="right" w:leader="dot" w:pos="8834"/>
        </w:tabs>
        <w:ind w:left="420" w:leftChars="200"/>
        <w:rPr>
          <w:sz w:val="28"/>
        </w:rPr>
      </w:pPr>
      <w:r>
        <w:rPr>
          <w:rFonts w:eastAsia="楷体_GB2312"/>
          <w:color w:val="2D2D2D"/>
          <w:sz w:val="28"/>
        </w:rPr>
        <w:t>5.3集团化办学情况</w:t>
      </w:r>
      <w:r>
        <w:rPr>
          <w:sz w:val="28"/>
        </w:rPr>
        <w:tab/>
      </w:r>
      <w:r>
        <w:rPr>
          <w:sz w:val="28"/>
        </w:rPr>
        <w:t>1</w:t>
      </w:r>
      <w:r>
        <w:rPr>
          <w:rFonts w:hint="eastAsia"/>
          <w:sz w:val="28"/>
        </w:rPr>
        <w:t>7</w:t>
      </w:r>
    </w:p>
    <w:p>
      <w:pPr>
        <w:tabs>
          <w:tab w:val="right" w:leader="dot" w:pos="8834"/>
        </w:tabs>
        <w:rPr>
          <w:sz w:val="28"/>
        </w:rPr>
      </w:pPr>
      <w:r>
        <w:rPr>
          <w:rFonts w:eastAsia="黑体"/>
          <w:b/>
          <w:bCs/>
          <w:color w:val="2D2D2D"/>
          <w:sz w:val="28"/>
        </w:rPr>
        <w:t>6.</w:t>
      </w:r>
      <w:r>
        <w:rPr>
          <w:rFonts w:eastAsia="黑体"/>
          <w:color w:val="2D2D2D"/>
          <w:sz w:val="28"/>
        </w:rPr>
        <w:t>社会贡献</w:t>
      </w:r>
      <w:r>
        <w:rPr>
          <w:sz w:val="28"/>
        </w:rPr>
        <w:tab/>
      </w:r>
      <w:r>
        <w:rPr>
          <w:sz w:val="28"/>
        </w:rPr>
        <w:t>1</w:t>
      </w:r>
      <w:r>
        <w:rPr>
          <w:rFonts w:hint="eastAsia"/>
          <w:sz w:val="28"/>
        </w:rPr>
        <w:t>7</w:t>
      </w:r>
      <w:r>
        <w:rPr>
          <w:sz w:val="28"/>
        </w:rPr>
        <w:fldChar w:fldCharType="end"/>
      </w:r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r>
        <w:rPr>
          <w:rFonts w:eastAsia="楷体_GB2312"/>
          <w:color w:val="2D2D2D"/>
          <w:sz w:val="28"/>
        </w:rPr>
        <w:t>6.1技术技能人才培养</w:t>
      </w:r>
      <w:hyperlink w:anchor="_Toc2340535" w:history="1"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7</w:t>
        </w:r>
      </w:hyperlink>
    </w:p>
    <w:p>
      <w:pPr>
        <w:tabs>
          <w:tab w:val="right" w:leader="dot" w:pos="8834"/>
        </w:tabs>
        <w:ind w:left="420" w:leftChars="200"/>
        <w:rPr>
          <w:rFonts w:eastAsia="等线"/>
          <w:sz w:val="28"/>
          <w:szCs w:val="22"/>
        </w:rPr>
      </w:pPr>
      <w:hyperlink w:anchor="_Toc2340536" w:history="1">
        <w:r>
          <w:rPr>
            <w:rFonts w:eastAsia="楷体_GB2312"/>
            <w:color w:val="2D2D2D"/>
            <w:sz w:val="28"/>
          </w:rPr>
          <w:t>6.2社会服务</w:t>
        </w:r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7</w:t>
        </w:r>
      </w:hyperlink>
    </w:p>
    <w:p>
      <w:pPr>
        <w:tabs>
          <w:tab w:val="right" w:leader="dot" w:pos="8834"/>
        </w:tabs>
        <w:ind w:left="420" w:leftChars="200"/>
        <w:rPr>
          <w:sz w:val="28"/>
        </w:rPr>
      </w:pPr>
      <w:hyperlink w:anchor="_Toc2340538" w:history="1">
        <w:r>
          <w:rPr>
            <w:rFonts w:eastAsia="楷体_GB2312"/>
            <w:color w:val="2D2D2D"/>
            <w:sz w:val="28"/>
          </w:rPr>
          <w:t>6.3 对口支援</w:t>
        </w:r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8</w:t>
        </w:r>
      </w:hyperlink>
    </w:p>
    <w:p>
      <w:pPr>
        <w:tabs>
          <w:tab w:val="right" w:leader="dot" w:pos="8834"/>
        </w:tabs>
        <w:ind w:left="420" w:leftChars="200"/>
        <w:rPr>
          <w:sz w:val="28"/>
        </w:rPr>
      </w:pPr>
      <w:hyperlink w:anchor="_Toc2340538" w:history="1">
        <w:r>
          <w:rPr>
            <w:rFonts w:eastAsia="楷体_GB2312"/>
            <w:color w:val="2D2D2D"/>
            <w:sz w:val="28"/>
          </w:rPr>
          <w:t>6.4 服务抗疫</w:t>
        </w:r>
        <w:r>
          <w:rPr>
            <w:sz w:val="28"/>
          </w:rPr>
          <w:tab/>
        </w:r>
        <w:r>
          <w:rPr>
            <w:sz w:val="28"/>
          </w:rPr>
          <w:t>1</w:t>
        </w:r>
        <w:r>
          <w:rPr>
            <w:rFonts w:hint="eastAsia"/>
            <w:sz w:val="28"/>
          </w:rPr>
          <w:t>8</w:t>
        </w:r>
      </w:hyperlink>
    </w:p>
    <w:p>
      <w:pPr>
        <w:tabs>
          <w:tab w:val="right" w:leader="dot" w:pos="8834"/>
        </w:tabs>
        <w:rPr>
          <w:sz w:val="28"/>
          <w:szCs w:val="22"/>
        </w:rPr>
      </w:pPr>
      <w:hyperlink w:anchor="_Toc2340540" w:history="1">
        <w:r>
          <w:rPr>
            <w:rFonts w:eastAsia="黑体"/>
            <w:b/>
            <w:bCs/>
            <w:color w:val="2D2D2D"/>
            <w:sz w:val="28"/>
          </w:rPr>
          <w:t>7.</w:t>
        </w:r>
        <w:r>
          <w:rPr>
            <w:rFonts w:eastAsia="黑体"/>
            <w:color w:val="2D2D2D"/>
            <w:sz w:val="28"/>
          </w:rPr>
          <w:t>举办者履职</w:t>
        </w:r>
        <w:r>
          <w:rPr>
            <w:sz w:val="28"/>
          </w:rPr>
          <w:tab/>
        </w:r>
        <w:r>
          <w:rPr>
            <w:rFonts w:hint="eastAsia"/>
            <w:sz w:val="28"/>
          </w:rPr>
          <w:t>1</w:t>
        </w:r>
      </w:hyperlink>
      <w:r>
        <w:rPr>
          <w:rFonts w:hint="eastAsia"/>
          <w:sz w:val="28"/>
        </w:rPr>
        <w:t>9</w:t>
      </w:r>
    </w:p>
    <w:p>
      <w:pPr>
        <w:tabs>
          <w:tab w:val="right" w:leader="dot" w:pos="8834"/>
        </w:tabs>
        <w:ind w:left="420" w:leftChars="200"/>
        <w:rPr>
          <w:sz w:val="28"/>
          <w:szCs w:val="22"/>
        </w:rPr>
      </w:pPr>
      <w:hyperlink w:anchor="_Toc2340541" w:history="1">
        <w:r>
          <w:rPr>
            <w:rFonts w:eastAsia="楷体_GB2312"/>
            <w:color w:val="2D2D2D"/>
            <w:sz w:val="28"/>
          </w:rPr>
          <w:t>7.1经费</w:t>
        </w:r>
        <w:r>
          <w:rPr>
            <w:sz w:val="28"/>
          </w:rPr>
          <w:tab/>
        </w:r>
        <w:r>
          <w:rPr>
            <w:rFonts w:hint="eastAsia"/>
            <w:sz w:val="28"/>
          </w:rPr>
          <w:t>1</w:t>
        </w:r>
      </w:hyperlink>
      <w:r>
        <w:rPr>
          <w:rFonts w:hint="eastAsia"/>
          <w:sz w:val="28"/>
        </w:rPr>
        <w:t>9</w:t>
      </w:r>
    </w:p>
    <w:p>
      <w:pPr>
        <w:tabs>
          <w:tab w:val="right" w:leader="dot" w:pos="8834"/>
        </w:tabs>
        <w:ind w:left="420" w:leftChars="200"/>
        <w:rPr>
          <w:sz w:val="28"/>
          <w:szCs w:val="22"/>
        </w:rPr>
      </w:pPr>
      <w:hyperlink w:anchor="_Toc2340542" w:history="1">
        <w:r>
          <w:rPr>
            <w:rFonts w:eastAsia="楷体_GB2312"/>
            <w:color w:val="2D2D2D"/>
            <w:sz w:val="28"/>
          </w:rPr>
          <w:t>7.2政策措施</w:t>
        </w:r>
        <w:r>
          <w:rPr>
            <w:sz w:val="28"/>
          </w:rPr>
          <w:tab/>
        </w:r>
        <w:r>
          <w:rPr>
            <w:rFonts w:hint="eastAsia"/>
            <w:sz w:val="28"/>
          </w:rPr>
          <w:t>1</w:t>
        </w:r>
      </w:hyperlink>
      <w:r>
        <w:rPr>
          <w:rFonts w:hint="eastAsia"/>
          <w:sz w:val="28"/>
        </w:rPr>
        <w:t>9</w:t>
      </w:r>
    </w:p>
    <w:p>
      <w:pPr>
        <w:tabs>
          <w:tab w:val="right" w:leader="dot" w:pos="8834"/>
        </w:tabs>
        <w:rPr>
          <w:sz w:val="28"/>
          <w:szCs w:val="22"/>
        </w:rPr>
      </w:pPr>
      <w:hyperlink w:anchor="_Toc2340543" w:history="1">
        <w:r>
          <w:rPr>
            <w:rFonts w:eastAsia="黑体"/>
            <w:b/>
            <w:bCs/>
            <w:color w:val="2D2D2D"/>
            <w:sz w:val="28"/>
          </w:rPr>
          <w:t>8.</w:t>
        </w:r>
        <w:r>
          <w:rPr>
            <w:rFonts w:eastAsia="黑体"/>
            <w:color w:val="2D2D2D"/>
            <w:sz w:val="28"/>
          </w:rPr>
          <w:t>特色创新</w:t>
        </w:r>
        <w:r>
          <w:rPr>
            <w:sz w:val="28"/>
          </w:rPr>
          <w:tab/>
        </w:r>
        <w:r>
          <w:rPr>
            <w:sz w:val="28"/>
          </w:rPr>
          <w:t>2</w:t>
        </w:r>
      </w:hyperlink>
      <w:r>
        <w:rPr>
          <w:rFonts w:hint="eastAsia"/>
          <w:sz w:val="28"/>
        </w:rPr>
        <w:t>0</w:t>
      </w:r>
    </w:p>
    <w:p>
      <w:pPr>
        <w:tabs>
          <w:tab w:val="right" w:leader="dot" w:pos="8834"/>
        </w:tabs>
        <w:rPr>
          <w:sz w:val="28"/>
        </w:rPr>
      </w:pPr>
      <w:hyperlink w:anchor="_Toc2340544" w:history="1">
        <w:r>
          <w:rPr>
            <w:rFonts w:eastAsia="黑体"/>
            <w:b/>
            <w:bCs/>
            <w:color w:val="2D2D2D"/>
            <w:sz w:val="28"/>
          </w:rPr>
          <w:t>9.</w:t>
        </w:r>
        <w:r>
          <w:rPr>
            <w:rFonts w:eastAsia="黑体"/>
            <w:color w:val="2D2D2D"/>
            <w:sz w:val="28"/>
          </w:rPr>
          <w:t>主要问题及改进措施</w:t>
        </w:r>
        <w:r>
          <w:rPr>
            <w:sz w:val="28"/>
          </w:rPr>
          <w:tab/>
        </w:r>
        <w:r>
          <w:rPr>
            <w:sz w:val="28"/>
          </w:rPr>
          <w:t>2</w:t>
        </w:r>
      </w:hyperlink>
      <w:r>
        <w:rPr>
          <w:rFonts w:hint="eastAsia"/>
          <w:sz w:val="28"/>
        </w:rPr>
        <w:t>1</w:t>
      </w:r>
    </w:p>
    <w:p>
      <w:pPr>
        <w:tabs>
          <w:tab w:val="right" w:leader="dot" w:pos="8834"/>
        </w:tabs>
        <w:ind w:left="420" w:leftChars="200"/>
        <w:rPr>
          <w:sz w:val="28"/>
          <w:szCs w:val="22"/>
        </w:rPr>
      </w:pPr>
      <w:hyperlink w:anchor="_Toc2340541" w:history="1">
        <w:r>
          <w:rPr>
            <w:rFonts w:eastAsia="楷体_GB2312"/>
            <w:color w:val="2D2D2D"/>
            <w:sz w:val="28"/>
          </w:rPr>
          <w:t>9.1困难及问题</w:t>
        </w:r>
        <w:r>
          <w:rPr>
            <w:sz w:val="28"/>
          </w:rPr>
          <w:tab/>
        </w:r>
        <w:r>
          <w:rPr>
            <w:sz w:val="28"/>
          </w:rPr>
          <w:t>2</w:t>
        </w:r>
      </w:hyperlink>
      <w:r>
        <w:rPr>
          <w:rFonts w:hint="eastAsia"/>
          <w:sz w:val="28"/>
        </w:rPr>
        <w:t>1</w:t>
      </w:r>
    </w:p>
    <w:p>
      <w:pPr>
        <w:tabs>
          <w:tab w:val="right" w:leader="dot" w:pos="8834"/>
        </w:tabs>
        <w:ind w:left="420" w:leftChars="200"/>
        <w:rPr>
          <w:sz w:val="28"/>
          <w:szCs w:val="22"/>
        </w:rPr>
      </w:pPr>
      <w:hyperlink w:anchor="_Toc2340542" w:history="1">
        <w:r>
          <w:rPr>
            <w:rFonts w:eastAsia="楷体_GB2312"/>
            <w:color w:val="2D2D2D"/>
            <w:sz w:val="28"/>
          </w:rPr>
          <w:t>9.2学校举措</w:t>
        </w:r>
        <w:r>
          <w:rPr>
            <w:sz w:val="28"/>
          </w:rPr>
          <w:tab/>
        </w:r>
        <w:r>
          <w:rPr>
            <w:sz w:val="28"/>
          </w:rPr>
          <w:t>2</w:t>
        </w:r>
      </w:hyperlink>
      <w:r>
        <w:rPr>
          <w:rFonts w:hint="eastAsia"/>
          <w:sz w:val="28"/>
        </w:rPr>
        <w:t>2</w:t>
      </w:r>
    </w:p>
    <w:p>
      <w:pPr>
        <w:tabs>
          <w:tab w:val="right" w:leader="dot" w:pos="8834"/>
        </w:tabs>
        <w:adjustRightInd w:val="0"/>
        <w:snapToGrid w:val="0"/>
        <w:spacing w:line="520" w:lineRule="exact"/>
        <w:rPr>
          <w:rFonts w:ascii="方正小标宋简体" w:eastAsia="方正小标宋简体" w:hAnsi="Calibri" w:cs="华文中宋"/>
          <w:sz w:val="56"/>
          <w:szCs w:val="64"/>
        </w:rPr>
        <w:sectPr>
          <w:footerReference w:type="default" r:id="rId10"/>
          <w:type w:val="nextPage"/>
          <w:pgSz w:w="11906" w:h="16838"/>
          <w:pgMar w:top="1701" w:right="1474" w:bottom="1474" w:left="1588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eastAsia="方正小标宋简体"/>
          <w:sz w:val="200"/>
          <w:szCs w:val="64"/>
        </w:rPr>
        <w:fldChar w:fldCharType="end"/>
      </w:r>
    </w:p>
    <w:p>
      <w:pPr>
        <w:spacing w:line="579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p>
      <w:pPr>
        <w:spacing w:line="579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灵台县职业中等专业学校2022年教育质量年度报告</w:t>
      </w:r>
    </w:p>
    <w:bookmarkEnd w:id="0"/>
    <w:p>
      <w:pPr>
        <w:spacing w:line="579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灵台县职业中等专业学校是一所市级重点职业学校，集电大高等学历教育、中等职业教育、职业技能培训多种教育形式于一体的综合性职业学校。2021年9月被灵台县教育局授予 “教学质量先进单位”荣誉称号。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近年来，在县委、县政府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正确领导下，学校坚持为当地经济建设和社会发展服务的办学宗旨，以市场为导向，以教学为中心，重视技能训练，狠抓教学质量，加强学校管理，促进招生安置，强化后勤服务，抓特色、求发展，走出了一条“适应市场、订单培养、特色办学、升学就业”的办学路子。</w:t>
      </w:r>
    </w:p>
    <w:p>
      <w:pPr>
        <w:spacing w:line="579" w:lineRule="exact"/>
        <w:ind w:firstLine="640" w:firstLineChars="200"/>
        <w:rPr>
          <w:rFonts w:ascii="黑体" w:eastAsia="黑体" w:hAnsi="黑体" w:cs="黑体"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1.</w:t>
      </w:r>
      <w:r>
        <w:rPr>
          <w:rFonts w:ascii="黑体" w:eastAsia="黑体" w:hAnsi="黑体" w:cs="黑体" w:hint="eastAsia"/>
          <w:sz w:val="32"/>
          <w:szCs w:val="32"/>
        </w:rPr>
        <w:t>学校情况</w:t>
      </w:r>
    </w:p>
    <w:p>
      <w:pPr>
        <w:spacing w:line="579" w:lineRule="exact"/>
        <w:ind w:firstLine="640" w:firstLineChars="20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1.1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学校概况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  <w:sectPr>
          <w:footerReference w:type="even" r:id="rId11"/>
          <w:footerReference w:type="default" r:id="rId12"/>
          <w:pgSz w:w="11906" w:h="16838"/>
          <w:pgMar w:top="2098" w:right="1474" w:bottom="1984" w:left="1587" w:header="851" w:footer="1417" w:gutter="0"/>
          <w:pgNumType w:start="1"/>
          <w:cols w:num="1" w:space="0"/>
          <w:docGrid w:type="lines" w:linePitch="312" w:charSpace="0"/>
        </w:sectPr>
      </w:pPr>
      <w:r>
        <w:rPr>
          <w:rFonts w:eastAsia="仿宋_GB2312" w:hint="eastAsia"/>
          <w:b/>
          <w:bCs/>
          <w:sz w:val="32"/>
          <w:szCs w:val="32"/>
        </w:rPr>
        <w:t>（</w:t>
      </w:r>
      <w:r>
        <w:rPr>
          <w:rFonts w:eastAsia="仿宋_GB2312"/>
          <w:b/>
          <w:bCs/>
          <w:sz w:val="32"/>
          <w:szCs w:val="32"/>
        </w:rPr>
        <w:t>1</w:t>
      </w:r>
      <w:r>
        <w:rPr>
          <w:rFonts w:eastAsia="仿宋_GB2312" w:hint="eastAsia"/>
          <w:b/>
          <w:bCs/>
          <w:sz w:val="32"/>
          <w:szCs w:val="32"/>
        </w:rPr>
        <w:t>）</w:t>
      </w:r>
      <w:r>
        <w:rPr>
          <w:rFonts w:eastAsia="仿宋_GB2312"/>
          <w:b/>
          <w:bCs/>
          <w:sz w:val="32"/>
          <w:szCs w:val="32"/>
        </w:rPr>
        <w:t>迁址合并情况。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校始建于1986年，2003年7月县委、县政府决定对县教师进修学校、县卫生学校、独店职业中学、县职业高中、中央广播电视大学灵台教学点进行合并，组建成灵台县职业技术教育中心，2009年10月，经省教育厅批准晋等改办为灵台县职业中等专业学校，2012年经平凉市人社局批准成立平凉市第十二技能鉴定所。经过多次整合以后，学校师资力量更加雄厚，办学条件更加完备，功能更加齐全，成为一所集职业教育、成人教育和下岗职工、农民工培训及就业服务、中级工技能鉴定为一体的公办多功能职业中等专业学校。</w:t>
      </w:r>
    </w:p>
    <w:p>
      <w:pPr>
        <w:spacing w:line="579" w:lineRule="exact"/>
        <w:ind w:firstLine="470" w:firstLineChars="147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（2）学校基本概况。</w:t>
      </w:r>
      <w:r>
        <w:rPr>
          <w:rFonts w:eastAsia="仿宋_GB2312"/>
          <w:sz w:val="32"/>
          <w:szCs w:val="32"/>
        </w:rPr>
        <w:t>学校目前占地面积32154㎡，建筑面积22249㎡，固定资产3843.51万元。现有教职工134名，共有学生（员）2179名。其中：中职生1759名，成人生420名。中职在校生32个教学班。2008年12月经省教育厅评估验收，评为“市级重点中等职业学校”。</w:t>
      </w:r>
    </w:p>
    <w:p>
      <w:pPr>
        <w:spacing w:line="579" w:lineRule="exact"/>
        <w:ind w:firstLine="640" w:firstLineChars="200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1.2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学生情况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学校现有学生（员）2179名。其中，中职生1759名，成人学历教育学员420名。2021年中职招生622名，较去年减少1名。毕业453名，较去年减少57名；学生巩固率96.5%，较去年提高2个百分点。</w:t>
      </w:r>
    </w:p>
    <w:p>
      <w:pPr>
        <w:spacing w:line="579" w:lineRule="exact"/>
        <w:jc w:val="center"/>
        <w:rPr>
          <w:rFonts w:eastAsia="楷体_GB2312"/>
          <w:b/>
          <w:bCs/>
          <w:sz w:val="28"/>
          <w:szCs w:val="28"/>
        </w:rPr>
      </w:pPr>
    </w:p>
    <w:p>
      <w:pPr>
        <w:spacing w:after="156" w:afterLines="50" w:line="579" w:lineRule="exact"/>
        <w:jc w:val="center"/>
        <w:rPr>
          <w:rFonts w:eastAsia="楷体_GB2312"/>
          <w:b/>
          <w:bCs/>
          <w:sz w:val="28"/>
          <w:szCs w:val="28"/>
        </w:rPr>
      </w:pPr>
      <w:r>
        <w:rPr>
          <w:rFonts w:eastAsia="楷体_GB2312"/>
          <w:b/>
          <w:bCs/>
          <w:sz w:val="28"/>
          <w:szCs w:val="28"/>
        </w:rPr>
        <w:t>表1  2021年学生情况统计表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725"/>
        <w:gridCol w:w="2031"/>
        <w:gridCol w:w="2029"/>
        <w:gridCol w:w="1424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/>
          <w:jc w:val="center"/>
        </w:trPr>
        <w:tc>
          <w:tcPr>
            <w:tcW w:w="1291" w:type="dxa"/>
            <w:shd w:val="clear" w:color="auto" w:fill="DCD8C2"/>
            <w:vAlign w:val="center"/>
          </w:tcPr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年   度</w:t>
            </w:r>
          </w:p>
        </w:tc>
        <w:tc>
          <w:tcPr>
            <w:tcW w:w="1725" w:type="dxa"/>
            <w:shd w:val="clear" w:color="auto" w:fill="DCD8C2"/>
            <w:vAlign w:val="center"/>
          </w:tcPr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在校生规模（人数）</w:t>
            </w:r>
          </w:p>
        </w:tc>
        <w:tc>
          <w:tcPr>
            <w:tcW w:w="2031" w:type="dxa"/>
            <w:shd w:val="clear" w:color="auto" w:fill="DCD8C2"/>
            <w:vAlign w:val="center"/>
          </w:tcPr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招生规模</w:t>
            </w:r>
          </w:p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（人数）</w:t>
            </w:r>
          </w:p>
        </w:tc>
        <w:tc>
          <w:tcPr>
            <w:tcW w:w="2029" w:type="dxa"/>
            <w:shd w:val="clear" w:color="auto" w:fill="DCD8C2"/>
            <w:vAlign w:val="center"/>
          </w:tcPr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毕业生规模</w:t>
            </w:r>
          </w:p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（人数）</w:t>
            </w:r>
          </w:p>
        </w:tc>
        <w:tc>
          <w:tcPr>
            <w:tcW w:w="1424" w:type="dxa"/>
            <w:shd w:val="clear" w:color="auto" w:fill="DCD8C2"/>
            <w:vAlign w:val="center"/>
          </w:tcPr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巩固率</w:t>
            </w:r>
          </w:p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(%)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/>
          <w:jc w:val="center"/>
        </w:trPr>
        <w:tc>
          <w:tcPr>
            <w:tcW w:w="1291" w:type="dxa"/>
          </w:tcPr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2020</w:t>
            </w:r>
          </w:p>
        </w:tc>
        <w:tc>
          <w:tcPr>
            <w:tcW w:w="1725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1766</w:t>
            </w:r>
          </w:p>
        </w:tc>
        <w:tc>
          <w:tcPr>
            <w:tcW w:w="2031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623</w:t>
            </w:r>
          </w:p>
        </w:tc>
        <w:tc>
          <w:tcPr>
            <w:tcW w:w="2029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510</w:t>
            </w:r>
          </w:p>
        </w:tc>
        <w:tc>
          <w:tcPr>
            <w:tcW w:w="1424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96.5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/>
          <w:jc w:val="center"/>
        </w:trPr>
        <w:tc>
          <w:tcPr>
            <w:tcW w:w="1291" w:type="dxa"/>
          </w:tcPr>
          <w:p>
            <w:pPr>
              <w:spacing w:line="579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2021</w:t>
            </w:r>
          </w:p>
        </w:tc>
        <w:tc>
          <w:tcPr>
            <w:tcW w:w="1725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1759</w:t>
            </w:r>
          </w:p>
        </w:tc>
        <w:tc>
          <w:tcPr>
            <w:tcW w:w="2031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622</w:t>
            </w:r>
          </w:p>
        </w:tc>
        <w:tc>
          <w:tcPr>
            <w:tcW w:w="2029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453</w:t>
            </w:r>
          </w:p>
        </w:tc>
        <w:tc>
          <w:tcPr>
            <w:tcW w:w="1424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98.5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/>
          <w:jc w:val="center"/>
        </w:trPr>
        <w:tc>
          <w:tcPr>
            <w:tcW w:w="1291" w:type="dxa"/>
          </w:tcPr>
          <w:p>
            <w:pPr>
              <w:spacing w:line="579" w:lineRule="exact"/>
              <w:rPr>
                <w:rFonts w:eastAsia="仿宋_GB2312"/>
                <w:sz w:val="32"/>
                <w:szCs w:val="28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变化情况</w:t>
            </w:r>
          </w:p>
        </w:tc>
        <w:tc>
          <w:tcPr>
            <w:tcW w:w="1725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-7</w:t>
            </w:r>
          </w:p>
        </w:tc>
        <w:tc>
          <w:tcPr>
            <w:tcW w:w="2031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-1</w:t>
            </w:r>
          </w:p>
        </w:tc>
        <w:tc>
          <w:tcPr>
            <w:tcW w:w="2029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-57</w:t>
            </w:r>
          </w:p>
        </w:tc>
        <w:tc>
          <w:tcPr>
            <w:tcW w:w="1424" w:type="dxa"/>
          </w:tcPr>
          <w:p>
            <w:pPr>
              <w:spacing w:line="579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2</w:t>
            </w:r>
          </w:p>
        </w:tc>
      </w:tr>
    </w:tbl>
    <w:p>
      <w:pPr>
        <w:spacing w:line="579" w:lineRule="exact"/>
        <w:rPr>
          <w:rFonts w:eastAsia="仿宋_GB2312"/>
          <w:bCs/>
          <w:sz w:val="32"/>
          <w:szCs w:val="32"/>
        </w:rPr>
      </w:pPr>
    </w:p>
    <w:p>
      <w:pPr>
        <w:spacing w:line="579" w:lineRule="exact"/>
        <w:ind w:firstLine="800" w:firstLineChars="250"/>
        <w:jc w:val="center"/>
        <w:rPr>
          <w:rFonts w:eastAsia="仿宋_GB2312"/>
          <w:bCs/>
          <w:sz w:val="32"/>
          <w:szCs w:val="32"/>
        </w:rPr>
        <w:sectPr>
          <w:footerReference w:type="even" r:id="rId13"/>
          <w:footerReference w:type="default" r:id="rId14"/>
          <w:type w:val="nextPage"/>
          <w:pgSz w:w="11906" w:h="16838"/>
          <w:pgMar w:top="2098" w:right="1474" w:bottom="1984" w:left="1587" w:header="851" w:footer="1417" w:gutter="0"/>
          <w:pgNumType w:start="2"/>
          <w:cols w:num="1" w:space="0"/>
          <w:titlePg w:val="0"/>
          <w:docGrid w:type="lines" w:linePitch="312" w:charSpace="0"/>
        </w:sectPr>
      </w:pPr>
      <w:r>
        <w:rPr>
          <w:rFonts w:eastAsia="仿宋_GB2312"/>
          <w:bCs/>
          <w:sz w:val="32"/>
          <w:szCs w:val="32"/>
        </w:rPr>
        <w:t>2021秋中职招生人数622人</w:t>
      </w:r>
    </w:p>
    <w:p>
      <w:pPr>
        <w:spacing w:before="156" w:beforeLines="50" w:after="156" w:afterLines="50" w:line="560" w:lineRule="exact"/>
        <w:jc w:val="center"/>
        <w:rPr>
          <w:rFonts w:eastAsia="楷体_GB2312"/>
          <w:b/>
          <w:bCs/>
          <w:sz w:val="28"/>
          <w:szCs w:val="28"/>
        </w:rPr>
      </w:pPr>
      <w:r>
        <w:rPr>
          <w:rFonts w:eastAsia="楷体_GB2312"/>
          <w:b/>
          <w:bCs/>
          <w:sz w:val="28"/>
          <w:szCs w:val="28"/>
        </w:rPr>
        <w:t>表2</w:t>
      </w:r>
      <w:r>
        <w:rPr>
          <w:rFonts w:eastAsia="楷体_GB2312" w:hint="eastAsia"/>
          <w:b/>
          <w:bCs/>
          <w:sz w:val="28"/>
          <w:szCs w:val="28"/>
        </w:rPr>
        <w:t xml:space="preserve"> </w:t>
      </w:r>
      <w:r>
        <w:rPr>
          <w:rFonts w:eastAsia="楷体_GB2312"/>
          <w:b/>
          <w:bCs/>
          <w:sz w:val="28"/>
          <w:szCs w:val="28"/>
        </w:rPr>
        <w:t xml:space="preserve"> 2021年秋季各专业招生人数统计表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3395"/>
        <w:gridCol w:w="2169"/>
        <w:gridCol w:w="212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/>
          <w:tblHeader/>
          <w:jc w:val="center"/>
        </w:trPr>
        <w:tc>
          <w:tcPr>
            <w:tcW w:w="1367" w:type="dxa"/>
            <w:shd w:val="clear" w:color="auto" w:fill="DCD8C2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序 号</w:t>
            </w:r>
          </w:p>
        </w:tc>
        <w:tc>
          <w:tcPr>
            <w:tcW w:w="3395" w:type="dxa"/>
            <w:shd w:val="clear" w:color="auto" w:fill="DCD8C2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专   业</w:t>
            </w:r>
          </w:p>
        </w:tc>
        <w:tc>
          <w:tcPr>
            <w:tcW w:w="2169" w:type="dxa"/>
            <w:shd w:val="clear" w:color="auto" w:fill="DCD8C2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2020年</w:t>
            </w:r>
          </w:p>
        </w:tc>
        <w:tc>
          <w:tcPr>
            <w:tcW w:w="2128" w:type="dxa"/>
            <w:shd w:val="clear" w:color="auto" w:fill="DCD8C2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2021年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矿山机电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15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焊接技术应用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31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29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3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电子电器应用与维修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79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59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4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铁道运输管理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18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12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5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计算机应用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176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126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6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护理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0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7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营养与保健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150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129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8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学前教育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0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9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幼儿保育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96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86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/>
          <w:jc w:val="center"/>
        </w:trPr>
        <w:tc>
          <w:tcPr>
            <w:tcW w:w="13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10</w:t>
            </w:r>
          </w:p>
        </w:tc>
        <w:tc>
          <w:tcPr>
            <w:tcW w:w="339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调整后中职非全日制学生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58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161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/>
          <w:jc w:val="center"/>
        </w:trPr>
        <w:tc>
          <w:tcPr>
            <w:tcW w:w="4762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sz w:val="24"/>
                <w:szCs w:val="22"/>
              </w:rPr>
            </w:pPr>
            <w:r>
              <w:rPr>
                <w:rFonts w:eastAsia="仿宋_GB2312"/>
                <w:b/>
                <w:sz w:val="24"/>
                <w:szCs w:val="22"/>
              </w:rPr>
              <w:t>合计</w:t>
            </w:r>
          </w:p>
        </w:tc>
        <w:tc>
          <w:tcPr>
            <w:tcW w:w="216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sz w:val="24"/>
                <w:szCs w:val="22"/>
              </w:rPr>
            </w:pPr>
            <w:r>
              <w:rPr>
                <w:rFonts w:eastAsia="仿宋_GB2312"/>
                <w:b/>
                <w:sz w:val="24"/>
                <w:szCs w:val="22"/>
              </w:rPr>
              <w:t>623</w:t>
            </w:r>
          </w:p>
        </w:tc>
        <w:tc>
          <w:tcPr>
            <w:tcW w:w="21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sz w:val="24"/>
                <w:szCs w:val="22"/>
              </w:rPr>
            </w:pPr>
            <w:r>
              <w:rPr>
                <w:rFonts w:eastAsia="仿宋_GB2312"/>
                <w:b/>
                <w:sz w:val="24"/>
                <w:szCs w:val="22"/>
              </w:rPr>
              <w:t>622</w:t>
            </w:r>
          </w:p>
        </w:tc>
      </w:tr>
    </w:tbl>
    <w:p>
      <w:pPr>
        <w:spacing w:line="579" w:lineRule="exact"/>
        <w:ind w:firstLine="640" w:firstLineChars="200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1.3教师队伍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学校有正式教职工134名，其中工勤人员1名，教师中专任教师120名，双师型教师40人，占专任教师的33.33%；专任教师本科以上学历115名，占专任教师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95.83%；专任教师高级职称11人，占专任教师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9.16%。与上年度相比，增加了0.31个百分点。</w:t>
      </w:r>
    </w:p>
    <w:p>
      <w:pPr>
        <w:spacing w:before="156" w:beforeLines="50" w:after="156" w:afterLines="50" w:line="400" w:lineRule="exact"/>
        <w:jc w:val="center"/>
        <w:rPr>
          <w:rFonts w:eastAsia="楷体_GB2312"/>
          <w:b/>
          <w:bCs/>
          <w:sz w:val="28"/>
          <w:szCs w:val="28"/>
        </w:rPr>
      </w:pPr>
      <w:r>
        <w:rPr>
          <w:rFonts w:eastAsia="楷体_GB2312"/>
          <w:b/>
          <w:bCs/>
          <w:sz w:val="28"/>
          <w:szCs w:val="28"/>
        </w:rPr>
        <w:t>表3</w:t>
      </w:r>
      <w:r>
        <w:rPr>
          <w:rFonts w:eastAsia="楷体_GB2312" w:hint="eastAsia"/>
          <w:b/>
          <w:bCs/>
          <w:sz w:val="28"/>
          <w:szCs w:val="28"/>
        </w:rPr>
        <w:t xml:space="preserve"> </w:t>
      </w:r>
      <w:r>
        <w:rPr>
          <w:rFonts w:eastAsia="楷体_GB2312"/>
          <w:b/>
          <w:bCs/>
          <w:sz w:val="28"/>
          <w:szCs w:val="28"/>
        </w:rPr>
        <w:t xml:space="preserve"> 2021年教师队伍情况统计表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245"/>
        <w:gridCol w:w="1258"/>
        <w:gridCol w:w="2296"/>
        <w:gridCol w:w="184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  <w:jc w:val="center"/>
        </w:trPr>
        <w:tc>
          <w:tcPr>
            <w:tcW w:w="1771" w:type="dxa"/>
            <w:shd w:val="clear" w:color="auto" w:fill="DCD8C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年</w:t>
            </w:r>
            <w:r>
              <w:rPr>
                <w:rFonts w:eastAsia="仿宋_GB2312" w:hint="eastAsia"/>
                <w:b/>
                <w:bCs/>
                <w:sz w:val="24"/>
              </w:rPr>
              <w:t xml:space="preserve"> </w:t>
            </w:r>
            <w:r>
              <w:rPr>
                <w:rFonts w:eastAsia="仿宋_GB2312"/>
                <w:b/>
                <w:bCs/>
                <w:sz w:val="24"/>
              </w:rPr>
              <w:t>度</w:t>
            </w:r>
          </w:p>
        </w:tc>
        <w:tc>
          <w:tcPr>
            <w:tcW w:w="1245" w:type="dxa"/>
            <w:shd w:val="clear" w:color="auto" w:fill="DCD8C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生师比</w:t>
            </w:r>
          </w:p>
        </w:tc>
        <w:tc>
          <w:tcPr>
            <w:tcW w:w="1258" w:type="dxa"/>
            <w:shd w:val="clear" w:color="auto" w:fill="DCD8C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双师型教师比例</w:t>
            </w:r>
          </w:p>
        </w:tc>
        <w:tc>
          <w:tcPr>
            <w:tcW w:w="2296" w:type="dxa"/>
            <w:shd w:val="clear" w:color="auto" w:fill="DCD8C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专任教师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本科以上学历比例</w:t>
            </w:r>
          </w:p>
        </w:tc>
        <w:tc>
          <w:tcPr>
            <w:tcW w:w="1843" w:type="dxa"/>
            <w:shd w:val="clear" w:color="auto" w:fill="DCD8C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专任教师高级职称教师比例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/>
          <w:jc w:val="center"/>
        </w:trPr>
        <w:tc>
          <w:tcPr>
            <w:tcW w:w="1771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2020</w:t>
            </w:r>
          </w:p>
        </w:tc>
        <w:tc>
          <w:tcPr>
            <w:tcW w:w="1245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13.7：1</w:t>
            </w:r>
          </w:p>
        </w:tc>
        <w:tc>
          <w:tcPr>
            <w:tcW w:w="1258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36.28%</w:t>
            </w:r>
          </w:p>
        </w:tc>
        <w:tc>
          <w:tcPr>
            <w:tcW w:w="2296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95.57%</w:t>
            </w:r>
          </w:p>
        </w:tc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8.85%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/>
          <w:jc w:val="center"/>
        </w:trPr>
        <w:tc>
          <w:tcPr>
            <w:tcW w:w="1771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2021</w:t>
            </w:r>
          </w:p>
        </w:tc>
        <w:tc>
          <w:tcPr>
            <w:tcW w:w="1245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13.1：1</w:t>
            </w:r>
          </w:p>
        </w:tc>
        <w:tc>
          <w:tcPr>
            <w:tcW w:w="1258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33.33%</w:t>
            </w:r>
          </w:p>
        </w:tc>
        <w:tc>
          <w:tcPr>
            <w:tcW w:w="2296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95.83%</w:t>
            </w:r>
          </w:p>
        </w:tc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9.16%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/>
          <w:jc w:val="center"/>
        </w:trPr>
        <w:tc>
          <w:tcPr>
            <w:tcW w:w="1771" w:type="dxa"/>
          </w:tcPr>
          <w:p>
            <w:pPr>
              <w:spacing w:line="400" w:lineRule="exact"/>
              <w:jc w:val="center"/>
              <w:rPr>
                <w:rFonts w:eastAsia="仿宋_GB2312"/>
                <w:sz w:val="32"/>
                <w:szCs w:val="28"/>
              </w:rPr>
            </w:pPr>
            <w:r>
              <w:rPr>
                <w:rFonts w:eastAsia="仿宋_GB2312"/>
                <w:sz w:val="24"/>
                <w:szCs w:val="22"/>
              </w:rPr>
              <w:t>变化情况</w:t>
            </w:r>
          </w:p>
        </w:tc>
        <w:tc>
          <w:tcPr>
            <w:tcW w:w="1245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-0.6</w:t>
            </w:r>
          </w:p>
        </w:tc>
        <w:tc>
          <w:tcPr>
            <w:tcW w:w="1258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-2.95%</w:t>
            </w:r>
          </w:p>
        </w:tc>
        <w:tc>
          <w:tcPr>
            <w:tcW w:w="2296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0.26%</w:t>
            </w:r>
          </w:p>
        </w:tc>
        <w:tc>
          <w:tcPr>
            <w:tcW w:w="1843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0.31%</w:t>
            </w:r>
          </w:p>
        </w:tc>
      </w:tr>
    </w:tbl>
    <w:p>
      <w:pPr>
        <w:spacing w:line="579" w:lineRule="exact"/>
        <w:ind w:firstLine="640" w:firstLineChars="200"/>
        <w:rPr>
          <w:rFonts w:eastAsia="楷体_GB2312"/>
          <w:b/>
          <w:bCs/>
          <w:sz w:val="32"/>
          <w:szCs w:val="32"/>
        </w:rPr>
        <w:sectPr>
          <w:footerReference w:type="even" r:id="rId15"/>
          <w:footerReference w:type="default" r:id="rId16"/>
          <w:type w:val="nextPage"/>
          <w:pgSz w:w="11906" w:h="16838"/>
          <w:pgMar w:top="2098" w:right="1474" w:bottom="1984" w:left="1587" w:header="851" w:footer="1417" w:gutter="0"/>
          <w:pgNumType w:start="3"/>
          <w:cols w:num="1" w:space="0"/>
          <w:titlePg w:val="0"/>
          <w:docGrid w:type="lines" w:linePitch="312" w:charSpace="0"/>
        </w:sectPr>
      </w:pPr>
      <w:r>
        <w:rPr>
          <w:rFonts w:eastAsia="楷体_GB2312"/>
          <w:b/>
          <w:bCs/>
          <w:sz w:val="32"/>
          <w:szCs w:val="32"/>
        </w:rPr>
        <w:t>1.4设施设备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校有各类实训室50个，设备价值1476.66万元，当年新增206.62万元，增长率为13.99%。其中计算机室6个，护理实训室6个，数码钢琴室3个，焊接实训室、矿山电气室各2个，有钢琴室2个，有针灸推拿、针灸多媒体播放、电子电拖、音频视频、电子组装室、舞蹈室、声乐室、画室、烙铁手室、机加工中心、钳工、氩弧焊、二保焊、中餐、西餐摆台、中式铺床、网络布线、单片机、机光电一体化、电子产品组装与调试室、智能家居室、物联网安装与调试、中央户式空调、焊接机器人、电器安装与调试、画室、通信与控制系统（高铁）集成与维护实训室、美容美发实训室各1个，有多媒体教室40个，多媒体实训室30个。生均实训设备值0.8394万元，生均实训工位数1.85个，生均图书7.91册。</w:t>
      </w:r>
    </w:p>
    <w:tbl>
      <w:tblPr>
        <w:tblStyle w:val="TableNormal"/>
        <w:tblpPr w:leftFromText="180" w:rightFromText="180" w:vertAnchor="text" w:horzAnchor="margin" w:tblpXSpec="center" w:tblpY="879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755"/>
        <w:gridCol w:w="1928"/>
        <w:gridCol w:w="1897"/>
        <w:gridCol w:w="160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/>
        </w:trPr>
        <w:tc>
          <w:tcPr>
            <w:tcW w:w="1289" w:type="dxa"/>
            <w:shd w:val="clear" w:color="auto" w:fill="DCD8C2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年 度</w:t>
            </w:r>
          </w:p>
        </w:tc>
        <w:tc>
          <w:tcPr>
            <w:tcW w:w="1755" w:type="dxa"/>
            <w:shd w:val="clear" w:color="auto" w:fill="DCD8C2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教学设备总值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（万元）</w:t>
            </w:r>
          </w:p>
        </w:tc>
        <w:tc>
          <w:tcPr>
            <w:tcW w:w="1928" w:type="dxa"/>
            <w:shd w:val="clear" w:color="auto" w:fill="DCD8C2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生均教学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仪器设备值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（</w:t>
            </w:r>
            <w:r>
              <w:rPr>
                <w:rFonts w:eastAsia="仿宋_GB2312" w:hint="eastAsia"/>
                <w:b/>
                <w:bCs/>
                <w:sz w:val="24"/>
              </w:rPr>
              <w:t>万</w:t>
            </w:r>
            <w:r>
              <w:rPr>
                <w:rFonts w:eastAsia="仿宋_GB2312"/>
                <w:b/>
                <w:bCs/>
                <w:sz w:val="24"/>
              </w:rPr>
              <w:t>元）</w:t>
            </w:r>
          </w:p>
        </w:tc>
        <w:tc>
          <w:tcPr>
            <w:tcW w:w="1897" w:type="dxa"/>
            <w:shd w:val="clear" w:color="auto" w:fill="DCD8C2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生均实习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工位数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（个）</w:t>
            </w:r>
          </w:p>
        </w:tc>
        <w:tc>
          <w:tcPr>
            <w:tcW w:w="1603" w:type="dxa"/>
            <w:shd w:val="clear" w:color="auto" w:fill="DCD8C2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生均纸质和电子图书（册）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/>
        </w:trPr>
        <w:tc>
          <w:tcPr>
            <w:tcW w:w="1289" w:type="dxa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2020</w:t>
            </w:r>
          </w:p>
        </w:tc>
        <w:tc>
          <w:tcPr>
            <w:tcW w:w="1755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997.71</w:t>
            </w:r>
          </w:p>
        </w:tc>
        <w:tc>
          <w:tcPr>
            <w:tcW w:w="1928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0.56</w:t>
            </w:r>
          </w:p>
        </w:tc>
        <w:tc>
          <w:tcPr>
            <w:tcW w:w="1897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1.65</w:t>
            </w:r>
          </w:p>
        </w:tc>
        <w:tc>
          <w:tcPr>
            <w:tcW w:w="1603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7.89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/>
        </w:trPr>
        <w:tc>
          <w:tcPr>
            <w:tcW w:w="1289" w:type="dxa"/>
          </w:tcPr>
          <w:p>
            <w:pPr>
              <w:spacing w:line="40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2021</w:t>
            </w:r>
          </w:p>
        </w:tc>
        <w:tc>
          <w:tcPr>
            <w:tcW w:w="1755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1476.66</w:t>
            </w:r>
          </w:p>
        </w:tc>
        <w:tc>
          <w:tcPr>
            <w:tcW w:w="1928" w:type="dxa"/>
          </w:tcPr>
          <w:p>
            <w:pPr>
              <w:spacing w:line="400" w:lineRule="exact"/>
              <w:ind w:firstLine="600" w:firstLineChars="250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0.8394</w:t>
            </w:r>
          </w:p>
        </w:tc>
        <w:tc>
          <w:tcPr>
            <w:tcW w:w="1897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1.85</w:t>
            </w:r>
          </w:p>
        </w:tc>
        <w:tc>
          <w:tcPr>
            <w:tcW w:w="1603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7.91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/>
        </w:trPr>
        <w:tc>
          <w:tcPr>
            <w:tcW w:w="1289" w:type="dxa"/>
          </w:tcPr>
          <w:p>
            <w:pPr>
              <w:spacing w:line="400" w:lineRule="exact"/>
              <w:ind w:firstLine="240" w:firstLineChars="100"/>
              <w:rPr>
                <w:rFonts w:eastAsia="仿宋_GB2312"/>
                <w:sz w:val="32"/>
                <w:szCs w:val="28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变 化</w:t>
            </w:r>
          </w:p>
        </w:tc>
        <w:tc>
          <w:tcPr>
            <w:tcW w:w="1755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206.62</w:t>
            </w:r>
          </w:p>
        </w:tc>
        <w:tc>
          <w:tcPr>
            <w:tcW w:w="1928" w:type="dxa"/>
          </w:tcPr>
          <w:p>
            <w:pPr>
              <w:spacing w:line="400" w:lineRule="exact"/>
              <w:ind w:firstLine="600" w:firstLineChars="250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0.28</w:t>
            </w:r>
          </w:p>
        </w:tc>
        <w:tc>
          <w:tcPr>
            <w:tcW w:w="1897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 xml:space="preserve"> 0.2</w:t>
            </w:r>
          </w:p>
        </w:tc>
        <w:tc>
          <w:tcPr>
            <w:tcW w:w="1603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0.54</w:t>
            </w:r>
          </w:p>
        </w:tc>
      </w:tr>
    </w:tbl>
    <w:p>
      <w:pPr>
        <w:spacing w:line="579" w:lineRule="exact"/>
        <w:jc w:val="center"/>
        <w:rPr>
          <w:rFonts w:eastAsia="楷体_GB2312"/>
          <w:b/>
          <w:bCs/>
          <w:sz w:val="28"/>
          <w:szCs w:val="28"/>
        </w:rPr>
      </w:pPr>
      <w:r>
        <w:rPr>
          <w:rFonts w:eastAsia="楷体_GB2312"/>
          <w:b/>
          <w:bCs/>
          <w:sz w:val="28"/>
          <w:szCs w:val="28"/>
        </w:rPr>
        <w:t>表4  设施设备情况统计表</w:t>
      </w:r>
    </w:p>
    <w:p>
      <w:pPr>
        <w:spacing w:line="579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2.</w:t>
      </w:r>
      <w:r>
        <w:rPr>
          <w:rFonts w:eastAsia="黑体"/>
          <w:sz w:val="32"/>
          <w:szCs w:val="32"/>
        </w:rPr>
        <w:t>学生发展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  <w:sectPr>
          <w:footerReference w:type="even" r:id="rId17"/>
          <w:footerReference w:type="default" r:id="rId18"/>
          <w:type w:val="nextPage"/>
          <w:pgSz w:w="11906" w:h="16838"/>
          <w:pgMar w:top="2098" w:right="1474" w:bottom="1984" w:left="1587" w:header="851" w:footer="1417" w:gutter="0"/>
          <w:pgNumType w:start="4"/>
          <w:cols w:num="1" w:space="0"/>
          <w:titlePg w:val="0"/>
          <w:docGrid w:type="lines" w:linePitch="312" w:charSpace="0"/>
        </w:sectPr>
      </w:pP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学校围绕“一切为学生就业、创业服务”的办学理念，高度重视学生就业、创业工作，构建了就业服务体系，积极为毕业生拓宽就业渠道。根据学生专业，有针对性的选择、组织部分综合测评好的企事业单位到</w:t>
      </w:r>
      <w:r>
        <w:rPr>
          <w:rFonts w:eastAsia="仿宋_GB2312" w:hint="eastAsia"/>
          <w:sz w:val="32"/>
          <w:szCs w:val="32"/>
        </w:rPr>
        <w:t>学</w:t>
      </w:r>
      <w:r>
        <w:rPr>
          <w:rFonts w:eastAsia="仿宋_GB2312"/>
          <w:sz w:val="32"/>
          <w:szCs w:val="32"/>
        </w:rPr>
        <w:t>校与学生举行见面会，通过开设就业指导课、企业家论坛等方式建立企业与学生的有效沟通渠道。每年毕业季有计划的召开实习就业招聘会，按照双向选择的原则，为每一位毕业生提供多个对口专业岗位，确保毕业生就业专业对口。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同时学校也高度重视“三校生”对口高校招生工作，2021年283名学生参加高考，二本以上上线37人，上线率13.07%，高职以上上线283人，上线率100%，“三校生”高考质量位居全市前列。</w:t>
      </w:r>
    </w:p>
    <w:p>
      <w:pPr>
        <w:spacing w:line="579" w:lineRule="exact"/>
        <w:ind w:firstLine="640" w:firstLineChars="200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2.1学生素质</w:t>
      </w:r>
    </w:p>
    <w:p>
      <w:pPr>
        <w:spacing w:line="579" w:lineRule="exact"/>
        <w:ind w:firstLine="640" w:firstLineChars="200"/>
        <w:rPr>
          <w:rFonts w:eastAsia="仿宋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学校注重学生思想品德教育，通过丰富多彩的活动引领学生，开齐开足德育课，在校生犯罪率为零；强化教学常规管理，注重学生专业思想教育，不断提高学生学习的积极性，学生文化课合格率达83.60%；有序开展技能训练，按照人才培养方案开展专业技能训练，学生技能水平得到明显提升，47名学生参加省级学生技能大赛，27名学生获奖，获奖率57.44%。其中1名学生获一等奖，11名学生获二等奖，15名学生获三等奖。高考和技能大赛成绩稳步提升。</w:t>
      </w:r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/>
      </w:r>
      <w:r>
        <w:rPr>
          <w:rFonts w:eastAsia="仿宋_GB2312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https://d.book118.com/505114012202011033</w:t>
        </w:r>
      </w:hyperlink>
    </w:p>
    <w:p>
      <w:pPr>
        <w:spacing w:line="579" w:lineRule="exact"/>
        <w:ind w:firstLine="640" w:firstLineChars="200"/>
        <w:rPr>
          <w:rFonts w:eastAsia="仿宋_GB2312"/>
          <w:sz w:val="32"/>
          <w:szCs w:val="32"/>
        </w:rPr>
      </w:pPr>
    </w:p>
    <w:sectPr>
      <w:footerReference w:type="even" r:id="rId20"/>
      <w:footerReference w:type="default" r:id="rId21"/>
      <w:type w:val="nextPage"/>
      <w:pgSz w:w="11906" w:h="16838"/>
      <w:pgMar w:top="2098" w:right="1474" w:bottom="1984" w:left="1587" w:header="851" w:footer="1417" w:gutter="0"/>
      <w:pgNumType w:start="5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49" type="#_x0000_t202" style="width:2in;height:2in;margin-top:0;margin-left:0;mso-position-horizontal:center;mso-position-horizontal-relative:margin;mso-wrap-distance-bottom:0;mso-wrap-distance-left:9pt;mso-wrap-distance-right:9pt;mso-wrap-distance-top:0;position:absolute;v-text-anchor:top;z-index:251658240" filled="f" fillcolor="this" stroked="f">
              <v:textbox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11189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0" type="#_x0000_t202" style="width:2in;height:2in;margin-top:0;margin-left:0;mso-position-horizontal:center;mso-position-horizontal-relative:margin;mso-wrap-distance-bottom:0;mso-wrap-distance-left:9pt;mso-wrap-distance-right:9pt;mso-wrap-distance-top:0;position:absolute;v-text-anchor:top;z-index:251660288" filled="f" fillcolor="this" stroked="f">
              <v:textbox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3452388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1" type="#_x0000_t202" style="width:2in;height:2in;margin-top:0;margin-left:0;mso-position-horizontal:center;mso-position-horizontal-relative:margin;mso-wrap-distance-bottom:0;mso-wrap-distance-left:9pt;mso-wrap-distance-right:9pt;mso-wrap-distance-top:0;position:absolute;v-text-anchor:top;z-index:251662336" filled="f" fillcolor="this" stroked="f">
              <v:textbox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556574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2" type="#_x0000_t202" style="width:2in;height:2in;margin-top:0;margin-left:0;mso-position-horizontal:center;mso-position-horizontal-relative:margin;mso-wrap-distance-bottom:0;mso-wrap-distance-left:9pt;mso-wrap-distance-right:9pt;mso-wrap-distance-top:0;position:absolute;v-text-anchor:top;z-index:251664384" filled="f" fillcolor="this" stroked="f">
              <v:textbox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9514999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3" type="#_x0000_t202" style="width:2in;height:2in;margin-top:0;margin-left:0;mso-position-horizontal:center;mso-position-horizontal-relative:margin;mso-wrap-distance-bottom:0;mso-wrap-distance-left:9pt;mso-wrap-distance-right:9pt;mso-wrap-distance-top:0;position:absolute;v-text-anchor:top;z-index:251666432" filled="f" fillcolor="this" stroked="f">
              <v:textbox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212725</wp:posOffset>
              </wp:positionH>
              <wp:positionV relativeFrom="paragraph">
                <wp:posOffset>-111760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5" type="#_x0000_t202" style="width:2in;height:2in;margin-top:-8.8pt;margin-left:16.75pt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22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right"/>
      <w:rPr>
        <w:rFonts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4653915</wp:posOffset>
              </wp:positionH>
              <wp:positionV relativeFrom="paragraph">
                <wp:posOffset>81280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4" type="#_x0000_t202" style="width:2in;height:2in;margin-top:6.4pt;margin-left:366.45p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212725</wp:posOffset>
              </wp:positionH>
              <wp:positionV relativeFrom="paragraph">
                <wp:posOffset>-111760</wp:posOffset>
              </wp:positionV>
              <wp:extent cx="1828800" cy="1828800"/>
              <wp:effectExtent l="0" t="0" r="0" b="0"/>
              <wp:wrapNone/>
              <wp:docPr id="15831559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7" type="#_x0000_t202" style="width:2in;height:2in;margin-top:-8.8pt;margin-left:16.75p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right"/>
      <w:rPr>
        <w:rFonts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4653915</wp:posOffset>
              </wp:positionH>
              <wp:positionV relativeFrom="paragraph">
                <wp:posOffset>81280</wp:posOffset>
              </wp:positionV>
              <wp:extent cx="1828800" cy="1828800"/>
              <wp:effectExtent l="0" t="0" r="0" b="0"/>
              <wp:wrapNone/>
              <wp:docPr id="190541582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6" type="#_x0000_t202" style="width:2in;height:2in;margin-top:6.4pt;margin-left:366.45pt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212725</wp:posOffset>
              </wp:positionH>
              <wp:positionV relativeFrom="paragraph">
                <wp:posOffset>-111760</wp:posOffset>
              </wp:positionV>
              <wp:extent cx="1828800" cy="1828800"/>
              <wp:effectExtent l="0" t="0" r="0" b="0"/>
              <wp:wrapNone/>
              <wp:docPr id="1209174135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9" type="#_x0000_t202" style="width:2in;height:2in;margin-top:-8.8pt;margin-left:16.75pt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right"/>
      <w:rPr>
        <w:rFonts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4653915</wp:posOffset>
              </wp:positionH>
              <wp:positionV relativeFrom="paragraph">
                <wp:posOffset>81280</wp:posOffset>
              </wp:positionV>
              <wp:extent cx="1828800" cy="1828800"/>
              <wp:effectExtent l="0" t="0" r="0" b="0"/>
              <wp:wrapNone/>
              <wp:docPr id="941968353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8" type="#_x0000_t202" style="width:2in;height:2in;margin-top:6.4pt;margin-left:366.45pt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212725</wp:posOffset>
              </wp:positionH>
              <wp:positionV relativeFrom="paragraph">
                <wp:posOffset>-111760</wp:posOffset>
              </wp:positionV>
              <wp:extent cx="1828800" cy="1828800"/>
              <wp:effectExtent l="0" t="0" r="0" b="0"/>
              <wp:wrapNone/>
              <wp:docPr id="1398736244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61" type="#_x0000_t202" style="width:2in;height:2in;margin-top:-8.8pt;margin-left:16.75pt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right"/>
      <w:rPr>
        <w:rFonts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4653915</wp:posOffset>
              </wp:positionH>
              <wp:positionV relativeFrom="paragraph">
                <wp:posOffset>81280</wp:posOffset>
              </wp:positionV>
              <wp:extent cx="1828800" cy="1828800"/>
              <wp:effectExtent l="0" t="0" r="0" b="0"/>
              <wp:wrapNone/>
              <wp:docPr id="120246330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60" type="#_x0000_t202" style="width:2in;height:2in;margin-top:6.4pt;margin-left:366.45pt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21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212725</wp:posOffset>
              </wp:positionH>
              <wp:positionV relativeFrom="paragraph">
                <wp:posOffset>-111760</wp:posOffset>
              </wp:positionV>
              <wp:extent cx="1828800" cy="1828800"/>
              <wp:effectExtent l="0" t="0" r="0" b="0"/>
              <wp:wrapNone/>
              <wp:docPr id="94736319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63" type="#_x0000_t202" style="width:2in;height:2in;margin-top:-8.8pt;margin-left:16.75pt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22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right"/>
      <w:rPr>
        <w:rFonts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4653915</wp:posOffset>
              </wp:positionH>
              <wp:positionV relativeFrom="paragraph">
                <wp:posOffset>81280</wp:posOffset>
              </wp:positionV>
              <wp:extent cx="1828800" cy="1828800"/>
              <wp:effectExtent l="0" t="0" r="0" b="0"/>
              <wp:wrapNone/>
              <wp:docPr id="34407578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62" type="#_x0000_t202" style="width:2in;height:2in;margin-top:6.4pt;margin-left:366.45pt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3C221F"/>
    <w:rsid w:val="003E78C9"/>
    <w:rsid w:val="00874297"/>
    <w:rsid w:val="00FE6839"/>
    <w:rsid w:val="2FE70E33"/>
    <w:rsid w:val="38FC50E7"/>
    <w:rsid w:val="5B604085"/>
    <w:rsid w:val="783C221F"/>
  </w:rsids>
  <w:docVars>
    <w:docVar w:name="commondata" w:val="eyJoZGlkIjoiMDE4MTM0ZjFhNWI3Y2NlNzg2MWJhNWEzNmVkNTk5Y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hyperlink" Target="https://d.book118.com/505114012202011033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1995</Words>
  <Characters>11373</Characters>
  <Application>Microsoft Office Word</Application>
  <DocSecurity>0</DocSecurity>
  <Lines>94</Lines>
  <Paragraphs>26</Paragraphs>
  <ScaleCrop>false</ScaleCrop>
  <Company/>
  <LinksUpToDate>false</LinksUpToDate>
  <CharactersWithSpaces>13342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尐梅ル┶</dc:creator>
  <cp:lastModifiedBy>海边的风</cp:lastModifiedBy>
  <cp:revision>2</cp:revision>
  <cp:lastPrinted>2021-11-17T08:32:00Z</cp:lastPrinted>
  <dcterms:created xsi:type="dcterms:W3CDTF">2021-11-16T06:43:00Z</dcterms:created>
  <dcterms:modified xsi:type="dcterms:W3CDTF">2023-12-26T08:06:35Z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4C90A6471717418A837E651EBD59FFDF_13</vt:lpwstr>
  </property>
  <property fmtid="{D5CDD505-2E9C-101B-9397-08002B2CF9AE}" pid="3" name="KSOProductBuildVer">
    <vt:lpwstr>2052-12.1.0.16120</vt:lpwstr>
  </property>
</Properties>
</file>