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氢化可的松项目规划设计方案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46" w:history="1">
        <w:r>
          <w:rPr>
            <w:rFonts w:ascii="仿宋" w:eastAsia="仿宋" w:hAnsi="仿宋" w:cs="仿宋" w:hint="eastAsia"/>
            <w:lang w:eastAsia="zh-CN"/>
          </w:rPr>
          <w:t>一、项目后期运营与拓展</w:t>
        </w:r>
        <w:r>
          <w:tab/>
        </w:r>
        <w:r>
          <w:fldChar w:fldCharType="begin"/>
        </w:r>
        <w:r>
          <w:instrText xml:space="preserve"> PAGEREF _Toc12946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" w:history="1">
        <w:r>
          <w:rPr>
            <w:rFonts w:ascii="仿宋" w:eastAsia="仿宋" w:hAnsi="仿宋" w:cs="仿宋" w:hint="eastAsia"/>
            <w:lang w:eastAsia="zh-CN"/>
          </w:rPr>
          <w:t>(一)、后期运营计划</w:t>
        </w:r>
        <w:r>
          <w:tab/>
        </w:r>
        <w:r>
          <w:fldChar w:fldCharType="begin"/>
        </w:r>
        <w:r>
          <w:instrText xml:space="preserve"> PAGEREF _Toc1117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2" w:history="1">
        <w:r>
          <w:rPr>
            <w:rFonts w:ascii="仿宋" w:eastAsia="仿宋" w:hAnsi="仿宋" w:cs="仿宋" w:hint="eastAsia"/>
            <w:lang w:eastAsia="zh-CN"/>
          </w:rPr>
          <w:t>(二)、市场拓展与多元化发展</w:t>
        </w:r>
        <w:r>
          <w:tab/>
        </w:r>
        <w:r>
          <w:fldChar w:fldCharType="begin"/>
        </w:r>
        <w:r>
          <w:instrText xml:space="preserve"> PAGEREF _Toc20132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3" w:history="1">
        <w:r>
          <w:rPr>
            <w:rFonts w:ascii="仿宋" w:eastAsia="仿宋" w:hAnsi="仿宋" w:cs="仿宋" w:hint="eastAsia"/>
            <w:lang w:eastAsia="zh-CN"/>
          </w:rPr>
          <w:t>(三)、技术创新与升级计划</w:t>
        </w:r>
        <w:r>
          <w:tab/>
        </w:r>
        <w:r>
          <w:fldChar w:fldCharType="begin"/>
        </w:r>
        <w:r>
          <w:instrText xml:space="preserve"> PAGEREF _Toc5963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96" w:history="1">
        <w:r>
          <w:rPr>
            <w:rFonts w:ascii="仿宋" w:eastAsia="仿宋" w:hAnsi="仿宋" w:cs="仿宋" w:hint="eastAsia"/>
            <w:lang w:eastAsia="zh-CN"/>
          </w:rPr>
          <w:t>二、建筑物技术方案</w:t>
        </w:r>
        <w:r>
          <w:tab/>
        </w:r>
        <w:r>
          <w:fldChar w:fldCharType="begin"/>
        </w:r>
        <w:r>
          <w:instrText xml:space="preserve"> PAGEREF _Toc21396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0" w:history="1">
        <w:r>
          <w:rPr>
            <w:rFonts w:ascii="仿宋" w:eastAsia="仿宋" w:hAnsi="仿宋" w:cs="仿宋" w:hint="eastAsia"/>
            <w:lang w:eastAsia="zh-CN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_Toc30190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8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_Toc31598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0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_Toc3770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_Toc27934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0" w:history="1">
        <w:r>
          <w:rPr>
            <w:rFonts w:ascii="仿宋" w:eastAsia="仿宋" w:hAnsi="仿宋" w:cs="仿宋" w:hint="eastAsia"/>
            <w:lang w:eastAsia="zh-CN"/>
          </w:rPr>
          <w:t>(一)、氢化可的松项目选址原则</w:t>
        </w:r>
        <w:r>
          <w:tab/>
        </w:r>
        <w:r>
          <w:fldChar w:fldCharType="begin"/>
        </w:r>
        <w:r>
          <w:instrText xml:space="preserve"> PAGEREF _Toc15880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_Toc10294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_Toc12120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_Toc29602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0" w:history="1">
        <w:r>
          <w:rPr>
            <w:rFonts w:ascii="仿宋" w:eastAsia="仿宋" w:hAnsi="仿宋" w:cs="仿宋" w:hint="eastAsia"/>
            <w:lang w:eastAsia="zh-CN"/>
          </w:rPr>
          <w:t>(五)、氢化可的松项目选址综合评价</w:t>
        </w:r>
        <w:r>
          <w:tab/>
        </w:r>
        <w:r>
          <w:fldChar w:fldCharType="begin"/>
        </w:r>
        <w:r>
          <w:instrText xml:space="preserve"> PAGEREF _Toc22950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73" w:history="1">
        <w:r>
          <w:rPr>
            <w:rFonts w:ascii="仿宋" w:eastAsia="仿宋" w:hAnsi="仿宋" w:cs="仿宋" w:hint="eastAsia"/>
            <w:lang w:eastAsia="zh-CN"/>
          </w:rPr>
          <w:t>四、建设内容</w:t>
        </w:r>
        <w:r>
          <w:tab/>
        </w:r>
        <w:r>
          <w:fldChar w:fldCharType="begin"/>
        </w:r>
        <w:r>
          <w:instrText xml:space="preserve"> PAGEREF _Toc3873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_Toc30597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_Toc9612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02" w:history="1">
        <w:r>
          <w:rPr>
            <w:rFonts w:ascii="仿宋" w:eastAsia="仿宋" w:hAnsi="仿宋" w:cs="仿宋" w:hint="eastAsia"/>
            <w:lang w:eastAsia="zh-CN"/>
          </w:rPr>
          <w:t>五、运营模式分析</w:t>
        </w:r>
        <w:r>
          <w:tab/>
        </w:r>
        <w:r>
          <w:fldChar w:fldCharType="begin"/>
        </w:r>
        <w:r>
          <w:instrText xml:space="preserve"> PAGEREF _Toc8402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_Toc11809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_Toc6974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3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_Toc7543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7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_Toc24587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" w:history="1">
        <w:r>
          <w:rPr>
            <w:rFonts w:ascii="仿宋" w:eastAsia="仿宋" w:hAnsi="仿宋" w:cs="仿宋" w:hint="eastAsia"/>
            <w:lang w:eastAsia="zh-CN"/>
          </w:rPr>
          <w:t>六、氢化可的松知识产权管理</w:t>
        </w:r>
        <w:r>
          <w:tab/>
        </w:r>
        <w:r>
          <w:fldChar w:fldCharType="begin"/>
        </w:r>
        <w:r>
          <w:instrText xml:space="preserve"> PAGEREF _Toc2759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" w:history="1">
        <w:r>
          <w:rPr>
            <w:rFonts w:ascii="仿宋" w:eastAsia="仿宋" w:hAnsi="仿宋" w:cs="仿宋" w:hint="eastAsia"/>
            <w:lang w:eastAsia="zh-CN"/>
          </w:rPr>
          <w:t>(一)、知识产权管理</w:t>
        </w:r>
        <w:r>
          <w:tab/>
        </w:r>
        <w:r>
          <w:fldChar w:fldCharType="begin"/>
        </w:r>
        <w:r>
          <w:instrText xml:space="preserve"> PAGEREF _Toc2207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65" w:history="1">
        <w:r>
          <w:rPr>
            <w:rFonts w:ascii="仿宋" w:eastAsia="仿宋" w:hAnsi="仿宋" w:cs="仿宋" w:hint="eastAsia"/>
            <w:lang w:eastAsia="zh-CN"/>
          </w:rPr>
          <w:t>七、环境和生态影响分析</w:t>
        </w:r>
        <w:r>
          <w:tab/>
        </w:r>
        <w:r>
          <w:fldChar w:fldCharType="begin"/>
        </w:r>
        <w:r>
          <w:instrText xml:space="preserve"> PAGEREF _Toc21665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_Toc8425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_Toc26712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_Toc5542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2" w:history="1">
        <w:r>
          <w:rPr>
            <w:rFonts w:ascii="仿宋" w:eastAsia="仿宋" w:hAnsi="仿宋" w:cs="仿宋" w:hint="eastAsia"/>
            <w:lang w:eastAsia="zh-CN"/>
          </w:rPr>
          <w:t>(四)、四地质灾害影响分析</w:t>
        </w:r>
        <w:r>
          <w:tab/>
        </w:r>
        <w:r>
          <w:fldChar w:fldCharType="begin"/>
        </w:r>
        <w:r>
          <w:instrText xml:space="preserve"> PAGEREF _Toc10652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6" w:history="1">
        <w:r>
          <w:rPr>
            <w:rFonts w:ascii="仿宋" w:eastAsia="仿宋" w:hAnsi="仿宋" w:cs="仿宋" w:hint="eastAsia"/>
            <w:lang w:eastAsia="zh-CN"/>
          </w:rPr>
          <w:t>(五)、五特殊环境影响</w:t>
        </w:r>
        <w:r>
          <w:tab/>
        </w:r>
        <w:r>
          <w:fldChar w:fldCharType="begin"/>
        </w:r>
        <w:r>
          <w:instrText xml:space="preserve"> PAGEREF _Toc26116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50" w:history="1">
        <w:r>
          <w:rPr>
            <w:rFonts w:ascii="仿宋" w:eastAsia="仿宋" w:hAnsi="仿宋" w:cs="仿宋" w:hint="eastAsia"/>
            <w:lang w:eastAsia="zh-CN"/>
          </w:rPr>
          <w:t>八、运营风险管理的一般程序</w:t>
        </w:r>
        <w:r>
          <w:tab/>
        </w:r>
        <w:r>
          <w:fldChar w:fldCharType="begin"/>
        </w:r>
        <w:r>
          <w:instrText xml:space="preserve"> PAGEREF _Toc9250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2" w:history="1">
        <w:r>
          <w:rPr>
            <w:rFonts w:ascii="仿宋" w:eastAsia="仿宋" w:hAnsi="仿宋" w:cs="仿宋" w:hint="eastAsia"/>
            <w:lang w:eastAsia="zh-CN"/>
          </w:rPr>
          <w:t>(一)、运营风险的识别</w:t>
        </w:r>
        <w:r>
          <w:tab/>
        </w:r>
        <w:r>
          <w:fldChar w:fldCharType="begin"/>
        </w:r>
        <w:r>
          <w:instrText xml:space="preserve"> PAGEREF _Toc15162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9" w:history="1">
        <w:r>
          <w:rPr>
            <w:rFonts w:ascii="仿宋" w:eastAsia="仿宋" w:hAnsi="仿宋" w:cs="仿宋" w:hint="eastAsia"/>
            <w:lang w:eastAsia="zh-CN"/>
          </w:rPr>
          <w:t>(二)、运营风险的评估</w:t>
        </w:r>
        <w:r>
          <w:tab/>
        </w:r>
        <w:r>
          <w:fldChar w:fldCharType="begin"/>
        </w:r>
        <w:r>
          <w:instrText xml:space="preserve"> PAGEREF _Toc16199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1" w:history="1">
        <w:r>
          <w:rPr>
            <w:rFonts w:ascii="仿宋" w:eastAsia="仿宋" w:hAnsi="仿宋" w:cs="仿宋" w:hint="eastAsia"/>
            <w:lang w:eastAsia="zh-CN"/>
          </w:rPr>
          <w:t>(三)、运营风险的应对</w:t>
        </w:r>
        <w:r>
          <w:tab/>
        </w:r>
        <w:r>
          <w:fldChar w:fldCharType="begin"/>
        </w:r>
        <w:r>
          <w:instrText xml:space="preserve"> PAGEREF _Toc24081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0" w:history="1">
        <w:r>
          <w:rPr>
            <w:rFonts w:ascii="仿宋" w:eastAsia="仿宋" w:hAnsi="仿宋" w:cs="仿宋" w:hint="eastAsia"/>
            <w:lang w:eastAsia="zh-CN"/>
          </w:rPr>
          <w:t>九、S W O T 分 析</w:t>
        </w:r>
        <w:r>
          <w:tab/>
        </w:r>
        <w:r>
          <w:fldChar w:fldCharType="begin"/>
        </w:r>
        <w:r>
          <w:instrText xml:space="preserve"> PAGEREF _Toc11280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_Toc18429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0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_Toc21070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_Toc17277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" w:history="1">
        <w:r>
          <w:rPr>
            <w:rFonts w:ascii="仿宋" w:eastAsia="仿宋" w:hAnsi="仿宋" w:cs="仿宋" w:hint="eastAsia"/>
            <w:lang w:eastAsia="zh-CN"/>
          </w:rPr>
          <w:t>十、安全文化建设</w:t>
        </w:r>
        <w:r>
          <w:tab/>
        </w:r>
        <w:r>
          <w:fldChar w:fldCharType="begin"/>
        </w:r>
        <w:r>
          <w:instrText xml:space="preserve"> PAGEREF _Toc252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364" w:history="1">
        <w:r>
          <w:rPr>
            <w:rFonts w:ascii="仿宋" w:eastAsia="仿宋" w:hAnsi="仿宋" w:cs="仿宋" w:hint="eastAsia"/>
            <w:lang w:eastAsia="zh-CN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_Toc4364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7" w:history="1">
        <w:r>
          <w:rPr>
            <w:rFonts w:ascii="仿宋" w:eastAsia="仿宋" w:hAnsi="仿宋" w:cs="仿宋" w:hint="eastAsia"/>
            <w:lang w:eastAsia="zh-CN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_Toc21537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" w:history="1">
        <w:r>
          <w:rPr>
            <w:rFonts w:ascii="仿宋" w:eastAsia="仿宋" w:hAnsi="仿宋" w:cs="仿宋" w:hint="eastAsia"/>
            <w:lang w:eastAsia="zh-CN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_Toc2630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1" w:history="1">
        <w:r>
          <w:rPr>
            <w:rFonts w:ascii="仿宋" w:eastAsia="仿宋" w:hAnsi="仿宋" w:cs="仿宋" w:hint="eastAsia"/>
            <w:lang w:eastAsia="zh-CN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_Toc7711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93" w:history="1">
        <w:r>
          <w:rPr>
            <w:rFonts w:ascii="仿宋" w:eastAsia="仿宋" w:hAnsi="仿宋" w:cs="仿宋" w:hint="eastAsia"/>
            <w:lang w:eastAsia="zh-CN"/>
          </w:rPr>
          <w:t>十一、危机管理与应急预案</w:t>
        </w:r>
        <w:r>
          <w:tab/>
        </w:r>
        <w:r>
          <w:fldChar w:fldCharType="begin"/>
        </w:r>
        <w:r>
          <w:instrText xml:space="preserve"> PAGEREF _Toc25193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5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_Toc28155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7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_Toc31267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3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_Toc24703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十二、团队和合作伙伴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3" w:history="1">
        <w:r>
          <w:rPr>
            <w:rFonts w:ascii="仿宋" w:eastAsia="仿宋" w:hAnsi="仿宋" w:cs="仿宋" w:hint="eastAsia"/>
            <w:lang w:eastAsia="zh-CN"/>
          </w:rPr>
          <w:t>(一)、氢化可的松项目团队</w:t>
        </w:r>
        <w:r>
          <w:tab/>
        </w:r>
        <w:r>
          <w:fldChar w:fldCharType="begin"/>
        </w:r>
        <w:r>
          <w:instrText xml:space="preserve"> PAGEREF _Toc20023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" w:history="1">
        <w:r>
          <w:rPr>
            <w:rFonts w:ascii="仿宋" w:eastAsia="仿宋" w:hAnsi="仿宋" w:cs="仿宋" w:hint="eastAsia"/>
            <w:lang w:eastAsia="zh-CN"/>
          </w:rPr>
          <w:t>(二)、合作伙伴和利益相关者</w:t>
        </w:r>
        <w:r>
          <w:tab/>
        </w:r>
        <w:r>
          <w:fldChar w:fldCharType="begin"/>
        </w:r>
        <w:r>
          <w:instrText xml:space="preserve"> PAGEREF _Toc3204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9" w:history="1">
        <w:r>
          <w:rPr>
            <w:rFonts w:ascii="仿宋" w:eastAsia="仿宋" w:hAnsi="仿宋" w:cs="仿宋" w:hint="eastAsia"/>
            <w:lang w:eastAsia="zh-CN"/>
          </w:rPr>
          <w:t>十三、营销和销售分析</w:t>
        </w:r>
        <w:r>
          <w:tab/>
        </w:r>
        <w:r>
          <w:fldChar w:fldCharType="begin"/>
        </w:r>
        <w:r>
          <w:instrText xml:space="preserve"> PAGEREF _Toc3859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3" w:history="1">
        <w:r>
          <w:rPr>
            <w:rFonts w:ascii="仿宋" w:eastAsia="仿宋" w:hAnsi="仿宋" w:cs="仿宋" w:hint="eastAsia"/>
            <w:lang w:eastAsia="zh-CN"/>
          </w:rPr>
          <w:t>(一)、营销策略分析</w:t>
        </w:r>
        <w:r>
          <w:tab/>
        </w:r>
        <w:r>
          <w:fldChar w:fldCharType="begin"/>
        </w:r>
        <w:r>
          <w:instrText xml:space="preserve"> PAGEREF _Toc3313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" w:history="1">
        <w:r>
          <w:rPr>
            <w:rFonts w:ascii="仿宋" w:eastAsia="仿宋" w:hAnsi="仿宋" w:cs="仿宋" w:hint="eastAsia"/>
            <w:lang w:eastAsia="zh-CN"/>
          </w:rPr>
          <w:t>(二)、销售渠道分析</w:t>
        </w:r>
        <w:r>
          <w:tab/>
        </w:r>
        <w:r>
          <w:fldChar w:fldCharType="begin"/>
        </w:r>
        <w:r>
          <w:instrText xml:space="preserve"> PAGEREF _Toc2277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2" w:history="1">
        <w:r>
          <w:rPr>
            <w:rFonts w:ascii="仿宋" w:eastAsia="仿宋" w:hAnsi="仿宋" w:cs="仿宋" w:hint="eastAsia"/>
            <w:lang w:eastAsia="zh-CN"/>
          </w:rPr>
          <w:t>(三)、定价策略分析</w:t>
        </w:r>
        <w:r>
          <w:tab/>
        </w:r>
        <w:r>
          <w:fldChar w:fldCharType="begin"/>
        </w:r>
        <w:r>
          <w:instrText xml:space="preserve"> PAGEREF _Toc25042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3" w:history="1">
        <w:r>
          <w:rPr>
            <w:rFonts w:ascii="仿宋" w:eastAsia="仿宋" w:hAnsi="仿宋" w:cs="仿宋" w:hint="eastAsia"/>
            <w:lang w:eastAsia="zh-CN"/>
          </w:rPr>
          <w:t>(四)、营销活动的效果评估</w:t>
        </w:r>
        <w:r>
          <w:tab/>
        </w:r>
        <w:r>
          <w:fldChar w:fldCharType="begin"/>
        </w:r>
        <w:r>
          <w:instrText xml:space="preserve"> PAGEREF _Toc10333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59" w:history="1">
        <w:r>
          <w:rPr>
            <w:rFonts w:ascii="仿宋" w:eastAsia="仿宋" w:hAnsi="仿宋" w:cs="仿宋" w:hint="eastAsia"/>
            <w:lang w:eastAsia="zh-CN"/>
          </w:rPr>
          <w:t>十四、市场预测</w:t>
        </w:r>
        <w:r>
          <w:tab/>
        </w:r>
        <w:r>
          <w:fldChar w:fldCharType="begin"/>
        </w:r>
        <w:r>
          <w:instrText xml:space="preserve"> PAGEREF _Toc31159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_Toc3046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9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_Toc8979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84" w:history="1">
        <w:r>
          <w:rPr>
            <w:rFonts w:ascii="仿宋" w:eastAsia="仿宋" w:hAnsi="仿宋" w:cs="仿宋" w:hint="eastAsia"/>
            <w:lang w:eastAsia="zh-CN"/>
          </w:rPr>
          <w:t>十五、风险沟通与管理</w:t>
        </w:r>
        <w:r>
          <w:tab/>
        </w:r>
        <w:r>
          <w:fldChar w:fldCharType="begin"/>
        </w:r>
        <w:r>
          <w:instrText xml:space="preserve"> PAGEREF _Toc4884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" w:history="1">
        <w:r>
          <w:rPr>
            <w:rFonts w:ascii="仿宋" w:eastAsia="仿宋" w:hAnsi="仿宋" w:cs="仿宋" w:hint="eastAsia"/>
            <w:lang w:eastAsia="zh-CN"/>
          </w:rPr>
          <w:t>(一)、风险沟通在安全管理中的作用</w:t>
        </w:r>
        <w:r>
          <w:tab/>
        </w:r>
        <w:r>
          <w:fldChar w:fldCharType="begin"/>
        </w:r>
        <w:r>
          <w:instrText xml:space="preserve"> PAGEREF _Toc1639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0" w:history="1">
        <w:r>
          <w:rPr>
            <w:rFonts w:ascii="仿宋" w:eastAsia="仿宋" w:hAnsi="仿宋" w:cs="仿宋" w:hint="eastAsia"/>
            <w:lang w:eastAsia="zh-CN"/>
          </w:rPr>
          <w:t>(二)、风险沟通的基本原则</w:t>
        </w:r>
        <w:r>
          <w:tab/>
        </w:r>
        <w:r>
          <w:fldChar w:fldCharType="begin"/>
        </w:r>
        <w:r>
          <w:instrText xml:space="preserve"> PAGEREF _Toc30360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0" w:history="1">
        <w:r>
          <w:rPr>
            <w:rFonts w:ascii="仿宋" w:eastAsia="仿宋" w:hAnsi="仿宋" w:cs="仿宋" w:hint="eastAsia"/>
            <w:lang w:eastAsia="zh-CN"/>
          </w:rPr>
          <w:t>(三)、风险沟通的组织架构</w:t>
        </w:r>
        <w:r>
          <w:tab/>
        </w:r>
        <w:r>
          <w:fldChar w:fldCharType="begin"/>
        </w:r>
        <w:r>
          <w:instrText xml:space="preserve"> PAGEREF _Toc19190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4" w:history="1">
        <w:r>
          <w:rPr>
            <w:rFonts w:ascii="仿宋" w:eastAsia="仿宋" w:hAnsi="仿宋" w:cs="仿宋" w:hint="eastAsia"/>
            <w:lang w:eastAsia="zh-CN"/>
          </w:rPr>
          <w:t>(四)、风险信息的传递与共享</w:t>
        </w:r>
        <w:r>
          <w:tab/>
        </w:r>
        <w:r>
          <w:fldChar w:fldCharType="begin"/>
        </w:r>
        <w:r>
          <w:instrText xml:space="preserve"> PAGEREF _Toc5304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" w:history="1">
        <w:r>
          <w:rPr>
            <w:rFonts w:ascii="仿宋" w:eastAsia="仿宋" w:hAnsi="仿宋" w:cs="仿宋" w:hint="eastAsia"/>
            <w:lang w:eastAsia="zh-CN"/>
          </w:rPr>
          <w:t>(五)、风险沟通的技巧与方法</w:t>
        </w:r>
        <w:r>
          <w:tab/>
        </w:r>
        <w:r>
          <w:fldChar w:fldCharType="begin"/>
        </w:r>
        <w:r>
          <w:instrText xml:space="preserve"> PAGEREF _Toc465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5" w:history="1">
        <w:r>
          <w:rPr>
            <w:rFonts w:ascii="仿宋" w:eastAsia="仿宋" w:hAnsi="仿宋" w:cs="仿宋" w:hint="eastAsia"/>
            <w:lang w:eastAsia="zh-CN"/>
          </w:rPr>
          <w:t>(六)、风险沟通的应对策略</w:t>
        </w:r>
        <w:r>
          <w:tab/>
        </w:r>
        <w:r>
          <w:fldChar w:fldCharType="begin"/>
        </w:r>
        <w:r>
          <w:instrText xml:space="preserve"> PAGEREF _Toc16025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27" w:history="1">
        <w:r>
          <w:rPr>
            <w:rFonts w:ascii="仿宋" w:eastAsia="仿宋" w:hAnsi="仿宋" w:cs="仿宋" w:hint="eastAsia"/>
            <w:lang w:eastAsia="zh-CN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_Toc4727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7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_Toc29927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7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_Toc32107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3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_Toc13973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2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_Toc11362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48" w:history="1">
        <w:r>
          <w:rPr>
            <w:rFonts w:ascii="仿宋" w:eastAsia="仿宋" w:hAnsi="仿宋" w:cs="仿宋" w:hint="eastAsia"/>
            <w:lang w:eastAsia="zh-CN"/>
          </w:rPr>
          <w:t>十七、员工培训与发展方案</w:t>
        </w:r>
        <w:r>
          <w:tab/>
        </w:r>
        <w:r>
          <w:fldChar w:fldCharType="begin"/>
        </w:r>
        <w:r>
          <w:instrText xml:space="preserve"> PAGEREF _Toc23248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" w:history="1">
        <w:r>
          <w:rPr>
            <w:rFonts w:ascii="仿宋" w:eastAsia="仿宋" w:hAnsi="仿宋" w:cs="仿宋" w:hint="eastAsia"/>
            <w:lang w:eastAsia="zh-CN"/>
          </w:rPr>
          <w:t>(一)、培训需求分析与规划</w:t>
        </w:r>
        <w:r>
          <w:tab/>
        </w:r>
        <w:r>
          <w:fldChar w:fldCharType="begin"/>
        </w:r>
        <w:r>
          <w:instrText xml:space="preserve"> PAGEREF _Toc1271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6" w:history="1">
        <w:r>
          <w:rPr>
            <w:rFonts w:ascii="仿宋" w:eastAsia="仿宋" w:hAnsi="仿宋" w:cs="仿宋" w:hint="eastAsia"/>
            <w:lang w:eastAsia="zh-CN"/>
          </w:rPr>
          <w:t>(二)、内部培训体系搭建</w:t>
        </w:r>
        <w:r>
          <w:tab/>
        </w:r>
        <w:r>
          <w:fldChar w:fldCharType="begin"/>
        </w:r>
        <w:r>
          <w:instrText xml:space="preserve"> PAGEREF _Toc30556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8" w:history="1">
        <w:r>
          <w:rPr>
            <w:rFonts w:ascii="仿宋" w:eastAsia="仿宋" w:hAnsi="仿宋" w:cs="仿宋" w:hint="eastAsia"/>
            <w:lang w:eastAsia="zh-CN"/>
          </w:rPr>
          <w:t>(三)、外部培训资源合作</w:t>
        </w:r>
        <w:r>
          <w:tab/>
        </w:r>
        <w:r>
          <w:fldChar w:fldCharType="begin"/>
        </w:r>
        <w:r>
          <w:instrText xml:space="preserve"> PAGEREF _Toc23058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5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_Toc7915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1" w:history="1">
        <w:r>
          <w:rPr>
            <w:rFonts w:ascii="仿宋" w:eastAsia="仿宋" w:hAnsi="仿宋" w:cs="仿宋" w:hint="eastAsia"/>
            <w:lang w:eastAsia="zh-CN"/>
          </w:rPr>
          <w:t>(五)、学习型组织文化建设</w:t>
        </w:r>
        <w:r>
          <w:tab/>
        </w:r>
        <w:r>
          <w:fldChar w:fldCharType="begin"/>
        </w:r>
        <w:r>
          <w:instrText xml:space="preserve"> PAGEREF _Toc31071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6" w:history="1">
        <w:r>
          <w:rPr>
            <w:rFonts w:ascii="仿宋" w:eastAsia="仿宋" w:hAnsi="仿宋" w:cs="仿宋" w:hint="eastAsia"/>
            <w:lang w:eastAsia="zh-CN"/>
          </w:rPr>
          <w:t>十八、氢化可的松国际化战略</w:t>
        </w:r>
        <w:r>
          <w:tab/>
        </w:r>
        <w:r>
          <w:fldChar w:fldCharType="begin"/>
        </w:r>
        <w:r>
          <w:instrText xml:space="preserve"> PAGEREF _Toc24376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3" w:history="1">
        <w:r>
          <w:rPr>
            <w:rFonts w:ascii="仿宋" w:eastAsia="仿宋" w:hAnsi="仿宋" w:cs="仿宋" w:hint="eastAsia"/>
            <w:lang w:eastAsia="zh-CN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_Toc15743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2" w:history="1">
        <w:r>
          <w:rPr>
            <w:rFonts w:ascii="仿宋" w:eastAsia="仿宋" w:hAnsi="仿宋" w:cs="仿宋" w:hint="eastAsia"/>
            <w:lang w:eastAsia="zh-CN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_Toc25832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6" w:history="1">
        <w:r>
          <w:rPr>
            <w:rFonts w:ascii="仿宋" w:eastAsia="仿宋" w:hAnsi="仿宋" w:cs="仿宋" w:hint="eastAsia"/>
            <w:lang w:eastAsia="zh-CN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_Toc4836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7" w:history="1">
        <w:r>
          <w:rPr>
            <w:rFonts w:ascii="仿宋" w:eastAsia="仿宋" w:hAnsi="仿宋" w:cs="仿宋" w:hint="eastAsia"/>
            <w:lang w:eastAsia="zh-CN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_Toc7037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" w:history="1">
        <w:r>
          <w:rPr>
            <w:rFonts w:ascii="仿宋" w:eastAsia="仿宋" w:hAnsi="仿宋" w:cs="仿宋" w:hint="eastAsia"/>
            <w:lang w:eastAsia="zh-CN"/>
          </w:rPr>
          <w:t>十九、原辅材料供应及成品管理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581" w:history="1">
        <w:r>
          <w:rPr>
            <w:rFonts w:ascii="仿宋" w:eastAsia="仿宋" w:hAnsi="仿宋" w:cs="仿宋" w:hint="eastAsia"/>
            <w:lang w:eastAsia="zh-CN"/>
          </w:rPr>
          <w:t>(一)、氢化可的松项目建设期原辅材料供应情况</w:t>
        </w:r>
        <w:r>
          <w:tab/>
        </w:r>
        <w:r>
          <w:fldChar w:fldCharType="begin"/>
        </w:r>
        <w:r>
          <w:instrText xml:space="preserve"> PAGEREF _Toc4581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7" w:history="1">
        <w:r>
          <w:rPr>
            <w:rFonts w:ascii="仿宋" w:eastAsia="仿宋" w:hAnsi="仿宋" w:cs="仿宋" w:hint="eastAsia"/>
            <w:lang w:eastAsia="zh-CN"/>
          </w:rPr>
          <w:t>(二)、氢化可的松项目运营期原辅材料供应及质量管理</w:t>
        </w:r>
        <w:r>
          <w:tab/>
        </w:r>
        <w:r>
          <w:fldChar w:fldCharType="begin"/>
        </w:r>
        <w:r>
          <w:instrText xml:space="preserve"> PAGEREF _Toc20087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69" w:history="1">
        <w:r>
          <w:rPr>
            <w:rFonts w:ascii="仿宋" w:eastAsia="仿宋" w:hAnsi="仿宋" w:cs="仿宋" w:hint="eastAsia"/>
            <w:lang w:eastAsia="zh-CN"/>
          </w:rPr>
          <w:t>二十、法律法规及合规性</w:t>
        </w:r>
        <w:r>
          <w:tab/>
        </w:r>
        <w:r>
          <w:fldChar w:fldCharType="begin"/>
        </w:r>
        <w:r>
          <w:instrText xml:space="preserve"> PAGEREF _Toc28769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_Toc2348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1" w:history="1">
        <w:r>
          <w:rPr>
            <w:rFonts w:ascii="仿宋" w:eastAsia="仿宋" w:hAnsi="仿宋" w:cs="仿宋" w:hint="eastAsia"/>
            <w:lang w:eastAsia="zh-CN"/>
          </w:rPr>
          <w:t>(二)、氢化可的松项目合规性评估</w:t>
        </w:r>
        <w:r>
          <w:tab/>
        </w:r>
        <w:r>
          <w:fldChar w:fldCharType="begin"/>
        </w:r>
        <w:r>
          <w:instrText xml:space="preserve"> PAGEREF _Toc29411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7" w:history="1">
        <w:r>
          <w:rPr>
            <w:rFonts w:ascii="仿宋" w:eastAsia="仿宋" w:hAnsi="仿宋" w:cs="仿宋" w:hint="eastAsia"/>
            <w:lang w:eastAsia="zh-CN"/>
          </w:rPr>
          <w:t>(三)、风险合规管理措施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70" w:history="1">
        <w:r>
          <w:rPr>
            <w:rFonts w:ascii="仿宋" w:eastAsia="仿宋" w:hAnsi="仿宋" w:cs="仿宋" w:hint="eastAsia"/>
            <w:lang w:eastAsia="zh-CN"/>
          </w:rPr>
          <w:t>二十一、供应链可持续性</w:t>
        </w:r>
        <w:r>
          <w:tab/>
        </w:r>
        <w:r>
          <w:fldChar w:fldCharType="begin"/>
        </w:r>
        <w:r>
          <w:instrText xml:space="preserve"> PAGEREF _Toc13070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3" w:history="1">
        <w:r>
          <w:rPr>
            <w:rFonts w:ascii="仿宋" w:eastAsia="仿宋" w:hAnsi="仿宋" w:cs="仿宋" w:hint="eastAsia"/>
            <w:lang w:eastAsia="zh-CN"/>
          </w:rPr>
          <w:t>(一)、供应链可持续性评估</w:t>
        </w:r>
        <w:r>
          <w:tab/>
        </w:r>
        <w:r>
          <w:fldChar w:fldCharType="begin"/>
        </w:r>
        <w:r>
          <w:instrText xml:space="preserve"> PAGEREF _Toc25583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7" w:history="1">
        <w:r>
          <w:rPr>
            <w:rFonts w:ascii="仿宋" w:eastAsia="仿宋" w:hAnsi="仿宋" w:cs="仿宋" w:hint="eastAsia"/>
            <w:lang w:eastAsia="zh-CN"/>
          </w:rPr>
          <w:t>(二)、供应商合作与责任管理</w:t>
        </w:r>
        <w:r>
          <w:tab/>
        </w:r>
        <w:r>
          <w:fldChar w:fldCharType="begin"/>
        </w:r>
        <w:r>
          <w:instrText xml:space="preserve"> PAGEREF _Toc10107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7" w:history="1">
        <w:r>
          <w:rPr>
            <w:rFonts w:ascii="仿宋" w:eastAsia="仿宋" w:hAnsi="仿宋" w:cs="仿宋" w:hint="eastAsia"/>
            <w:lang w:eastAsia="zh-CN"/>
          </w:rPr>
          <w:t>(三)、库存优化与物流创新</w:t>
        </w:r>
        <w:r>
          <w:tab/>
        </w:r>
        <w:r>
          <w:fldChar w:fldCharType="begin"/>
        </w:r>
        <w:r>
          <w:instrText xml:space="preserve"> PAGEREF _Toc22077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946"/>
      <w:r>
        <w:rPr>
          <w:rFonts w:ascii="仿宋" w:eastAsia="仿宋" w:hAnsi="仿宋" w:cs="仿宋" w:hint="eastAsia"/>
          <w:sz w:val="28"/>
          <w:lang w:eastAsia="zh-CN"/>
        </w:rPr>
        <w:t>一、项目后期运营与拓展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17"/>
      <w:r>
        <w:rPr>
          <w:rFonts w:ascii="仿宋" w:eastAsia="仿宋" w:hAnsi="仿宋" w:cs="仿宋" w:hint="eastAsia"/>
          <w:lang w:eastAsia="zh-CN"/>
        </w:rPr>
        <w:t>(一)、后期运营计划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后期经营策略：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完毕后，为保证项目的稳定运营，并实现持久的成功，我们制定了一份详尽的后期经营策略。该策略包涵多个方面，如设备运行维护、员工培训、市场推广、财务管理等，以确保项目在激烈的商业竞争环境下能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设备维护与运行：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建立一个完备的设备维护系统，定期检查、维修和升级设备。通过采用先进的监测技术，能够实时监控设备状态，及时发现和解决潜在问题，以确保项目正常运转。同时，我们还将与设备供应商建立紧密合作关系，以保证设备能够在需要时得到及时的修理和升级，从而保证项目高效可靠地运作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https://d.book118.com/506040042025010100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氢化可的松项目规划设计方案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氢化可的松项目规划设计方案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氢化可的松项目规划设计方案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氢化可的松项目规划设计方案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氢化可的松项目规划设计方案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3C601E"/>
    <w:rsid w:val="4593521B"/>
    <w:rsid w:val="533C601E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06040042025010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2024-03-09T06:25:00Z</dcterms:created>
  <dcterms:modified xsi:type="dcterms:W3CDTF">2024-03-09T06:25:30Z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B722827655FD4029B54589E298538D01_11</vt:lpwstr>
  </property>
  <property fmtid="{D5CDD505-2E9C-101B-9397-08002B2CF9AE}" pid="3" name="KSOProductBuildVer">
    <vt:lpwstr>2052-12.1.0.16399</vt:lpwstr>
  </property>
</Properties>
</file>