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before="156" w:beforeLines="50" w:after="156" w:afterLines="50"/>
        <w:jc w:val="center"/>
        <w:rPr>
          <w:rFonts w:eastAsia="黑体" w:hint="eastAsia"/>
          <w:sz w:val="30"/>
        </w:rPr>
      </w:pPr>
      <w:r>
        <w:rPr>
          <w:rFonts w:eastAsia="黑体" w:hint="eastAsia"/>
          <w:sz w:val="30"/>
        </w:rPr>
        <w:t>任务书</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440"/>
        <w:gridCol w:w="900"/>
        <w:gridCol w:w="2340"/>
        <w:gridCol w:w="1260"/>
        <w:gridCol w:w="251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12"/>
        </w:trPr>
        <w:tc>
          <w:tcPr>
            <w:tcW w:w="1188" w:type="dxa"/>
            <w:vAlign w:val="center"/>
          </w:tcPr>
          <w:p>
            <w:pPr>
              <w:jc w:val="center"/>
              <w:rPr>
                <w:rFonts w:hint="eastAsia"/>
              </w:rPr>
            </w:pPr>
            <w:r>
              <w:rPr>
                <w:rFonts w:hint="eastAsia"/>
              </w:rPr>
              <w:t>学生姓名</w:t>
            </w:r>
          </w:p>
        </w:tc>
        <w:tc>
          <w:tcPr>
            <w:tcW w:w="1440" w:type="dxa"/>
            <w:vAlign w:val="center"/>
          </w:tcPr>
          <w:p>
            <w:pPr>
              <w:jc w:val="center"/>
            </w:pPr>
          </w:p>
        </w:tc>
        <w:tc>
          <w:tcPr>
            <w:tcW w:w="900" w:type="dxa"/>
            <w:vAlign w:val="center"/>
          </w:tcPr>
          <w:p>
            <w:pPr>
              <w:jc w:val="center"/>
              <w:rPr>
                <w:rFonts w:hint="eastAsia"/>
              </w:rPr>
            </w:pPr>
            <w:r>
              <w:rPr>
                <w:rFonts w:hint="eastAsia"/>
              </w:rPr>
              <w:t>学  号</w:t>
            </w:r>
          </w:p>
        </w:tc>
        <w:tc>
          <w:tcPr>
            <w:tcW w:w="2340" w:type="dxa"/>
            <w:vAlign w:val="center"/>
          </w:tcPr>
          <w:p>
            <w:pPr>
              <w:jc w:val="center"/>
            </w:pPr>
          </w:p>
        </w:tc>
        <w:tc>
          <w:tcPr>
            <w:tcW w:w="1260" w:type="dxa"/>
            <w:vAlign w:val="center"/>
          </w:tcPr>
          <w:p>
            <w:pPr>
              <w:jc w:val="center"/>
              <w:rPr>
                <w:rFonts w:hint="eastAsia"/>
              </w:rPr>
            </w:pPr>
            <w:r>
              <w:rPr>
                <w:rFonts w:hint="eastAsia"/>
              </w:rPr>
              <w:t>专业班级</w:t>
            </w:r>
          </w:p>
        </w:tc>
        <w:tc>
          <w:tcPr>
            <w:tcW w:w="2511" w:type="dxa"/>
            <w:vAlign w:val="center"/>
          </w:tcPr>
          <w:p>
            <w:pPr>
              <w:jc w:val="center"/>
              <w:rPr>
                <w:rFonts w:hint="eastAsia"/>
              </w:rPr>
            </w:pPr>
          </w:p>
        </w:tc>
      </w:tr>
      <w:tr>
        <w:tblPrEx>
          <w:tblW w:w="0" w:type="auto"/>
          <w:tblInd w:w="0" w:type="dxa"/>
          <w:tblLayout w:type="fixed"/>
          <w:tblCellMar>
            <w:top w:w="0" w:type="dxa"/>
            <w:left w:w="108" w:type="dxa"/>
            <w:bottom w:w="0" w:type="dxa"/>
            <w:right w:w="108" w:type="dxa"/>
          </w:tblCellMar>
        </w:tblPrEx>
        <w:trPr>
          <w:trHeight w:val="617"/>
        </w:trPr>
        <w:tc>
          <w:tcPr>
            <w:tcW w:w="1188" w:type="dxa"/>
            <w:vAlign w:val="center"/>
          </w:tcPr>
          <w:p>
            <w:pPr>
              <w:jc w:val="center"/>
              <w:rPr>
                <w:rFonts w:hint="eastAsia"/>
              </w:rPr>
            </w:pPr>
            <w:r>
              <w:rPr>
                <w:rFonts w:hint="eastAsia"/>
              </w:rPr>
              <w:t>指导教师</w:t>
            </w:r>
          </w:p>
        </w:tc>
        <w:tc>
          <w:tcPr>
            <w:tcW w:w="1440" w:type="dxa"/>
            <w:vAlign w:val="center"/>
          </w:tcPr>
          <w:p>
            <w:pPr>
              <w:jc w:val="center"/>
              <w:rPr>
                <w:rFonts w:hint="eastAsia"/>
              </w:rPr>
            </w:pPr>
          </w:p>
        </w:tc>
        <w:tc>
          <w:tcPr>
            <w:tcW w:w="900" w:type="dxa"/>
            <w:vAlign w:val="center"/>
          </w:tcPr>
          <w:p>
            <w:pPr>
              <w:jc w:val="center"/>
              <w:rPr>
                <w:rFonts w:hint="eastAsia"/>
              </w:rPr>
            </w:pPr>
            <w:r>
              <w:rPr>
                <w:rFonts w:hint="eastAsia"/>
              </w:rPr>
              <w:t>职  称</w:t>
            </w:r>
          </w:p>
        </w:tc>
        <w:tc>
          <w:tcPr>
            <w:tcW w:w="2340" w:type="dxa"/>
            <w:vAlign w:val="center"/>
          </w:tcPr>
          <w:p>
            <w:pPr>
              <w:jc w:val="center"/>
            </w:pPr>
          </w:p>
        </w:tc>
        <w:tc>
          <w:tcPr>
            <w:tcW w:w="1260" w:type="dxa"/>
            <w:vAlign w:val="center"/>
          </w:tcPr>
          <w:p>
            <w:pPr>
              <w:jc w:val="center"/>
              <w:rPr>
                <w:rFonts w:hint="eastAsia"/>
              </w:rPr>
            </w:pPr>
            <w:r>
              <w:rPr>
                <w:rFonts w:hint="eastAsia"/>
              </w:rPr>
              <w:t>单  位</w:t>
            </w:r>
          </w:p>
        </w:tc>
        <w:tc>
          <w:tcPr>
            <w:tcW w:w="2511" w:type="dxa"/>
            <w:vAlign w:val="center"/>
          </w:tcPr>
          <w:p>
            <w:pPr>
              <w:jc w:val="center"/>
            </w:pPr>
          </w:p>
        </w:tc>
      </w:tr>
      <w:tr>
        <w:tblPrEx>
          <w:tblW w:w="0" w:type="auto"/>
          <w:tblInd w:w="0" w:type="dxa"/>
          <w:tblLayout w:type="fixed"/>
          <w:tblCellMar>
            <w:top w:w="0" w:type="dxa"/>
            <w:left w:w="108" w:type="dxa"/>
            <w:bottom w:w="0" w:type="dxa"/>
            <w:right w:w="108" w:type="dxa"/>
          </w:tblCellMar>
        </w:tblPrEx>
        <w:trPr>
          <w:trHeight w:val="920"/>
        </w:trPr>
        <w:tc>
          <w:tcPr>
            <w:tcW w:w="1188" w:type="dxa"/>
            <w:vAlign w:val="center"/>
          </w:tcPr>
          <w:p>
            <w:pPr>
              <w:jc w:val="center"/>
              <w:rPr>
                <w:rFonts w:hint="eastAsia"/>
              </w:rPr>
            </w:pPr>
            <w:r>
              <w:rPr>
                <w:rFonts w:hint="eastAsia"/>
              </w:rPr>
              <w:t>毕业论文题目</w:t>
            </w:r>
          </w:p>
        </w:tc>
        <w:tc>
          <w:tcPr>
            <w:tcW w:w="8451" w:type="dxa"/>
            <w:gridSpan w:val="5"/>
            <w:vAlign w:val="center"/>
          </w:tcPr>
          <w:p>
            <w:pPr>
              <w:jc w:val="center"/>
            </w:pPr>
            <w:bookmarkStart w:id="0" w:name="_GoBack"/>
            <w:r>
              <w:rPr>
                <w:rFonts w:hint="eastAsia"/>
                <w:b/>
                <w:bCs/>
              </w:rPr>
              <w:t>连锁超市存货管理内部控制问题研究—以</w:t>
            </w:r>
            <w:r>
              <w:rPr>
                <w:rFonts w:hint="eastAsia"/>
                <w:b/>
                <w:bCs/>
                <w:lang w:val="en-US" w:eastAsia="zh-CN"/>
              </w:rPr>
              <w:t>S超市</w:t>
            </w:r>
            <w:r>
              <w:rPr>
                <w:rFonts w:hint="eastAsia"/>
                <w:b/>
                <w:bCs/>
              </w:rPr>
              <w:t>为例</w:t>
            </w:r>
            <w:bookmarkEnd w:id="0"/>
          </w:p>
        </w:tc>
      </w:tr>
      <w:tr>
        <w:tblPrEx>
          <w:tblW w:w="0" w:type="auto"/>
          <w:tblInd w:w="0" w:type="dxa"/>
          <w:tblLayout w:type="fixed"/>
          <w:tblCellMar>
            <w:top w:w="0" w:type="dxa"/>
            <w:left w:w="108" w:type="dxa"/>
            <w:bottom w:w="0" w:type="dxa"/>
            <w:right w:w="108" w:type="dxa"/>
          </w:tblCellMar>
        </w:tblPrEx>
        <w:tc>
          <w:tcPr>
            <w:tcW w:w="9639" w:type="dxa"/>
            <w:gridSpan w:val="6"/>
          </w:tcPr>
          <w:p>
            <w:pPr>
              <w:spacing w:before="156" w:beforeLines="50" w:line="360" w:lineRule="atLeast"/>
              <w:rPr>
                <w:b/>
                <w:bCs/>
              </w:rPr>
            </w:pPr>
            <w:r>
              <w:rPr>
                <w:rFonts w:hint="eastAsia"/>
                <w:b/>
                <w:bCs/>
              </w:rPr>
              <w:t>毕业论文主要内容和要求：</w:t>
            </w:r>
          </w:p>
          <w:p>
            <w:pPr>
              <w:spacing w:line="360" w:lineRule="atLeast"/>
              <w:ind w:firstLine="412" w:firstLineChars="196"/>
              <w:rPr>
                <w:rFonts w:ascii="ˎ̥" w:hAnsi="ˎ̥" w:hint="eastAsia"/>
                <w:color w:val="000000"/>
                <w:szCs w:val="21"/>
              </w:rPr>
            </w:pPr>
            <w:r>
              <w:rPr>
                <w:rFonts w:hint="eastAsia"/>
                <w:b/>
                <w:szCs w:val="21"/>
              </w:rPr>
              <w:t>主要内容：</w:t>
            </w:r>
            <w:r>
              <w:rPr>
                <w:rFonts w:ascii="ˎ̥" w:hAnsi="ˎ̥" w:hint="eastAsia"/>
                <w:color w:val="FF0000"/>
                <w:szCs w:val="21"/>
              </w:rPr>
              <w:t xml:space="preserve"> </w:t>
            </w:r>
            <w:r>
              <w:rPr>
                <w:rFonts w:ascii="ˎ̥" w:hAnsi="ˎ̥" w:hint="eastAsia"/>
                <w:color w:val="000000"/>
                <w:szCs w:val="21"/>
              </w:rPr>
              <w:t>本文通过阅读大量有关成本管理及存货成本控制的相关理论，采用实地调查法和案例分析法对连锁超市的存货成本控制在财务管理及存货成本发生各环节的控制暴露出的问题进行了深入的探究，发现连锁超市存在存货持有成本偏高、企业内部缺乏信息共享、采购运输储存环节的成本控制不理想等问题，分析出当前企业由存在存货积压、存货周转率过低以及管理者忽视管理等造成存货成本过高的现象，极易影响连锁超市的长期经营，因而针对以上问题，本文提出了进一步改善企业当前存货成本控制水平的有效建议，从财务管理以及降低总成本的角度结合连锁超市的具体问题进行的分析，不仅对连锁超市存货成本控制有实践意义，也对我国连锁超市的存货管理起到了一定的参考作用。</w:t>
            </w:r>
          </w:p>
          <w:p>
            <w:pPr>
              <w:spacing w:line="360" w:lineRule="atLeast"/>
              <w:ind w:firstLine="410" w:firstLineChars="195"/>
              <w:rPr>
                <w:rFonts w:hint="eastAsia"/>
                <w:szCs w:val="21"/>
              </w:rPr>
            </w:pPr>
            <w:r>
              <w:rPr>
                <w:rFonts w:hint="eastAsia"/>
                <w:b/>
                <w:szCs w:val="21"/>
              </w:rPr>
              <w:t>要求：</w:t>
            </w:r>
            <w:r>
              <w:rPr>
                <w:rFonts w:hint="eastAsia"/>
                <w:szCs w:val="21"/>
              </w:rPr>
              <w:t>论文撰写要求思路清晰、内容充实、论点明确，论据充分，论证严密，语言通顺。撰写论文前应首先阅读相关的研究资料，掌握学术前沿动态，对相关理论著作要很好的把握，提高理论水平及思想深度。根据开题报告和老师提出的意见对论文提纲进行修改，确定大纲后认真撰写毕业论文。撰写论文结束后要根据老师的修改意见，认真反复的修改论文，并按照要求参加毕业论文的答辩，严格按照论文进度安排进行论文的写作。</w:t>
            </w:r>
          </w:p>
        </w:tc>
      </w:tr>
      <w:tr>
        <w:tblPrEx>
          <w:tblW w:w="0" w:type="auto"/>
          <w:tblInd w:w="0" w:type="dxa"/>
          <w:tblLayout w:type="fixed"/>
          <w:tblCellMar>
            <w:top w:w="0" w:type="dxa"/>
            <w:left w:w="108" w:type="dxa"/>
            <w:bottom w:w="0" w:type="dxa"/>
            <w:right w:w="108" w:type="dxa"/>
          </w:tblCellMar>
        </w:tblPrEx>
        <w:trPr>
          <w:trHeight w:val="558"/>
        </w:trPr>
        <w:tc>
          <w:tcPr>
            <w:tcW w:w="9639" w:type="dxa"/>
            <w:gridSpan w:val="6"/>
          </w:tcPr>
          <w:p>
            <w:pPr>
              <w:spacing w:before="156" w:beforeLines="50" w:line="360" w:lineRule="atLeast"/>
              <w:rPr>
                <w:b/>
                <w:bCs/>
              </w:rPr>
            </w:pPr>
            <w:r>
              <w:rPr>
                <w:rFonts w:hint="eastAsia"/>
                <w:b/>
                <w:bCs/>
              </w:rPr>
              <w:t>毕业论文主要参考资料：</w:t>
            </w:r>
          </w:p>
          <w:p>
            <w:pPr>
              <w:spacing w:before="156" w:beforeLines="50" w:line="360" w:lineRule="atLeast"/>
              <w:rPr>
                <w:rFonts w:ascii="宋体" w:hAnsi="宋体"/>
                <w:bCs/>
                <w:szCs w:val="21"/>
              </w:rPr>
            </w:pPr>
            <w:r>
              <w:rPr>
                <w:rFonts w:ascii="宋体" w:hAnsi="宋体"/>
                <w:bCs/>
                <w:szCs w:val="21"/>
              </w:rPr>
              <w:t xml:space="preserve">[1]  </w:t>
            </w:r>
            <w:r>
              <w:rPr>
                <w:rFonts w:ascii="宋体" w:hAnsi="宋体" w:hint="eastAsia"/>
                <w:bCs/>
                <w:szCs w:val="21"/>
              </w:rPr>
              <w:t>成康康.加强我国中小连锁超市存货管理探讨</w:t>
            </w:r>
            <w:r>
              <w:rPr>
                <w:rFonts w:ascii="宋体" w:hAnsi="宋体"/>
                <w:bCs/>
                <w:szCs w:val="21"/>
              </w:rPr>
              <w:t>[J].</w:t>
            </w:r>
            <w:r>
              <w:rPr>
                <w:rFonts w:ascii="宋体" w:hAnsi="宋体" w:hint="eastAsia"/>
                <w:bCs/>
                <w:szCs w:val="21"/>
              </w:rPr>
              <w:t>现代商贸工业</w:t>
            </w:r>
            <w:r>
              <w:rPr>
                <w:rFonts w:ascii="宋体" w:hAnsi="宋体"/>
                <w:bCs/>
                <w:szCs w:val="21"/>
              </w:rPr>
              <w:t xml:space="preserve">,2012,(13):41-42.  </w:t>
            </w:r>
          </w:p>
          <w:p>
            <w:pPr>
              <w:spacing w:before="156" w:beforeLines="50" w:line="360" w:lineRule="atLeast"/>
              <w:rPr>
                <w:rFonts w:ascii="宋体" w:hAnsi="宋体" w:hint="eastAsia"/>
                <w:bCs/>
                <w:szCs w:val="21"/>
              </w:rPr>
            </w:pPr>
            <w:r>
              <w:rPr>
                <w:rFonts w:ascii="宋体" w:hAnsi="宋体"/>
                <w:bCs/>
                <w:szCs w:val="21"/>
              </w:rPr>
              <w:t xml:space="preserve">[2]  </w:t>
            </w:r>
            <w:r>
              <w:rPr>
                <w:rFonts w:ascii="宋体" w:hAnsi="宋体" w:hint="eastAsia"/>
                <w:bCs/>
                <w:szCs w:val="21"/>
              </w:rPr>
              <w:t>冉净斐.沃尔玛供应链管理对存货管理的启示</w:t>
            </w:r>
            <w:r>
              <w:rPr>
                <w:rFonts w:ascii="宋体" w:hAnsi="宋体"/>
                <w:bCs/>
                <w:szCs w:val="21"/>
              </w:rPr>
              <w:t>[J].</w:t>
            </w:r>
            <w:r>
              <w:rPr>
                <w:rFonts w:ascii="宋体" w:hAnsi="宋体" w:hint="eastAsia"/>
                <w:bCs/>
                <w:szCs w:val="21"/>
              </w:rPr>
              <w:t>价值程</w:t>
            </w:r>
            <w:r>
              <w:rPr>
                <w:rFonts w:ascii="宋体" w:hAnsi="宋体"/>
                <w:bCs/>
                <w:szCs w:val="21"/>
              </w:rPr>
              <w:t>,2003,(1)</w:t>
            </w:r>
            <w:r>
              <w:rPr>
                <w:rFonts w:ascii="宋体" w:hAnsi="宋体" w:hint="eastAsia"/>
                <w:bCs/>
                <w:szCs w:val="21"/>
              </w:rPr>
              <w:t>：21-28.</w:t>
            </w:r>
          </w:p>
          <w:p>
            <w:pPr>
              <w:spacing w:before="156" w:beforeLines="50" w:line="360" w:lineRule="atLeast"/>
              <w:rPr>
                <w:rFonts w:ascii="宋体" w:hAnsi="宋体"/>
                <w:bCs/>
                <w:szCs w:val="21"/>
              </w:rPr>
            </w:pPr>
            <w:r>
              <w:rPr>
                <w:rFonts w:ascii="宋体" w:hAnsi="宋体"/>
                <w:bCs/>
                <w:szCs w:val="21"/>
              </w:rPr>
              <w:t xml:space="preserve">[3]  </w:t>
            </w:r>
            <w:r>
              <w:rPr>
                <w:rFonts w:ascii="宋体" w:hAnsi="宋体" w:hint="eastAsia"/>
                <w:bCs/>
                <w:szCs w:val="21"/>
              </w:rPr>
              <w:t>郭耘</w:t>
            </w:r>
            <w:r>
              <w:rPr>
                <w:rFonts w:ascii="宋体" w:hAnsi="宋体"/>
                <w:bCs/>
                <w:szCs w:val="21"/>
              </w:rPr>
              <w:t>.</w:t>
            </w:r>
            <w:r>
              <w:rPr>
                <w:rFonts w:ascii="宋体" w:hAnsi="宋体" w:hint="eastAsia"/>
                <w:bCs/>
                <w:szCs w:val="21"/>
              </w:rPr>
              <w:t>关于存货成本控制问题的探讨</w:t>
            </w:r>
            <w:r>
              <w:rPr>
                <w:rFonts w:ascii="宋体" w:hAnsi="宋体"/>
                <w:bCs/>
                <w:szCs w:val="21"/>
              </w:rPr>
              <w:t>[J].</w:t>
            </w:r>
            <w:r>
              <w:rPr>
                <w:rFonts w:ascii="宋体" w:hAnsi="宋体" w:hint="eastAsia"/>
                <w:bCs/>
                <w:szCs w:val="21"/>
              </w:rPr>
              <w:t>中国管理信化</w:t>
            </w:r>
            <w:r>
              <w:rPr>
                <w:rFonts w:ascii="宋体" w:hAnsi="宋体"/>
                <w:bCs/>
                <w:szCs w:val="21"/>
              </w:rPr>
              <w:t xml:space="preserve">,2012,(11):12-13.  </w:t>
            </w:r>
          </w:p>
          <w:p>
            <w:pPr>
              <w:spacing w:before="156" w:beforeLines="50" w:line="360" w:lineRule="atLeast"/>
              <w:rPr>
                <w:rFonts w:ascii="宋体" w:hAnsi="宋体"/>
                <w:bCs/>
                <w:szCs w:val="21"/>
              </w:rPr>
            </w:pPr>
            <w:r>
              <w:rPr>
                <w:rFonts w:ascii="宋体" w:hAnsi="宋体"/>
                <w:bCs/>
                <w:szCs w:val="21"/>
              </w:rPr>
              <w:t xml:space="preserve">[4]  </w:t>
            </w:r>
            <w:r>
              <w:rPr>
                <w:rFonts w:ascii="宋体" w:hAnsi="宋体" w:hint="eastAsia"/>
                <w:bCs/>
                <w:szCs w:val="21"/>
              </w:rPr>
              <w:t>陈双双,童雪智.基于成本分析的连锁超市存货成本管理与控制</w:t>
            </w:r>
            <w:r>
              <w:rPr>
                <w:rFonts w:ascii="宋体" w:hAnsi="宋体"/>
                <w:bCs/>
                <w:szCs w:val="21"/>
              </w:rPr>
              <w:t>[J].</w:t>
            </w:r>
            <w:r>
              <w:rPr>
                <w:rFonts w:ascii="宋体" w:hAnsi="宋体" w:hint="eastAsia"/>
                <w:bCs/>
                <w:szCs w:val="21"/>
              </w:rPr>
              <w:t>会计之友</w:t>
            </w:r>
            <w:r>
              <w:rPr>
                <w:rFonts w:ascii="宋体" w:hAnsi="宋体"/>
                <w:bCs/>
                <w:szCs w:val="21"/>
              </w:rPr>
              <w:t xml:space="preserve">,2012,(11): 65-67.    </w:t>
            </w:r>
          </w:p>
          <w:p>
            <w:pPr>
              <w:spacing w:before="156" w:beforeLines="50" w:line="360" w:lineRule="atLeast"/>
              <w:rPr>
                <w:rFonts w:ascii="宋体" w:hAnsi="宋体"/>
                <w:bCs/>
                <w:szCs w:val="21"/>
              </w:rPr>
            </w:pPr>
            <w:r>
              <w:rPr>
                <w:rFonts w:ascii="宋体" w:hAnsi="宋体"/>
                <w:bCs/>
                <w:szCs w:val="21"/>
              </w:rPr>
              <w:t xml:space="preserve">[5]  </w:t>
            </w:r>
            <w:r>
              <w:rPr>
                <w:rFonts w:ascii="宋体" w:hAnsi="宋体" w:hint="eastAsia"/>
                <w:bCs/>
                <w:szCs w:val="21"/>
              </w:rPr>
              <w:t>魏作朋.对中小型超市企业存货管理的几点思考</w:t>
            </w:r>
            <w:r>
              <w:rPr>
                <w:rFonts w:ascii="宋体" w:hAnsi="宋体"/>
                <w:bCs/>
                <w:szCs w:val="21"/>
              </w:rPr>
              <w:t>[J].</w:t>
            </w:r>
            <w:r>
              <w:rPr>
                <w:rFonts w:ascii="宋体" w:hAnsi="宋体" w:hint="eastAsia"/>
                <w:bCs/>
                <w:szCs w:val="21"/>
              </w:rPr>
              <w:t>时代金融</w:t>
            </w:r>
            <w:r>
              <w:rPr>
                <w:rFonts w:ascii="宋体" w:hAnsi="宋体"/>
                <w:bCs/>
                <w:szCs w:val="21"/>
              </w:rPr>
              <w:t xml:space="preserve">,2013,(2):290-291. </w:t>
            </w:r>
          </w:p>
          <w:p>
            <w:pPr>
              <w:spacing w:before="156" w:beforeLines="50" w:line="360" w:lineRule="atLeast"/>
              <w:rPr>
                <w:rFonts w:ascii="宋体" w:hAnsi="宋体"/>
                <w:szCs w:val="21"/>
              </w:rPr>
            </w:pPr>
            <w:r>
              <w:rPr>
                <w:rFonts w:ascii="宋体" w:hAnsi="宋体"/>
                <w:bCs/>
                <w:szCs w:val="21"/>
              </w:rPr>
              <w:t>[</w:t>
            </w:r>
            <w:r>
              <w:rPr>
                <w:rFonts w:ascii="宋体" w:hAnsi="宋体" w:hint="eastAsia"/>
                <w:bCs/>
                <w:szCs w:val="21"/>
              </w:rPr>
              <w:t>6</w:t>
            </w:r>
            <w:r>
              <w:rPr>
                <w:rFonts w:ascii="宋体" w:hAnsi="宋体"/>
                <w:bCs/>
                <w:szCs w:val="21"/>
              </w:rPr>
              <w:t xml:space="preserve">]  </w:t>
            </w:r>
            <w:r>
              <w:rPr>
                <w:rFonts w:ascii="宋体" w:hAnsi="宋体" w:hint="eastAsia"/>
                <w:bCs/>
                <w:szCs w:val="21"/>
              </w:rPr>
              <w:t>杨翠明</w:t>
            </w:r>
            <w:r>
              <w:rPr>
                <w:rFonts w:ascii="宋体" w:hAnsi="宋体"/>
                <w:bCs/>
                <w:szCs w:val="21"/>
              </w:rPr>
              <w:t>.</w:t>
            </w:r>
            <w:r>
              <w:rPr>
                <w:rFonts w:ascii="宋体" w:hAnsi="宋体" w:hint="eastAsia"/>
                <w:bCs/>
                <w:szCs w:val="21"/>
              </w:rPr>
              <w:t>电商冲击下传统零售业发展展望</w:t>
            </w:r>
            <w:r>
              <w:rPr>
                <w:rFonts w:ascii="宋体" w:hAnsi="宋体"/>
                <w:bCs/>
                <w:szCs w:val="21"/>
              </w:rPr>
              <w:t>[J].</w:t>
            </w:r>
            <w:r>
              <w:rPr>
                <w:rFonts w:ascii="宋体" w:hAnsi="宋体" w:hint="eastAsia"/>
                <w:bCs/>
                <w:szCs w:val="21"/>
              </w:rPr>
              <w:t>经济研究</w:t>
            </w:r>
            <w:r>
              <w:rPr>
                <w:rFonts w:ascii="宋体" w:hAnsi="宋体"/>
                <w:bCs/>
                <w:szCs w:val="21"/>
              </w:rPr>
              <w:t>,2015,(2):29-30.</w:t>
            </w:r>
            <w:r>
              <w:rPr>
                <w:rFonts w:ascii="宋体" w:hAnsi="宋体"/>
                <w:szCs w:val="21"/>
              </w:rPr>
              <w:t xml:space="preserve"> </w:t>
            </w:r>
          </w:p>
          <w:p>
            <w:pPr>
              <w:spacing w:before="156" w:beforeLines="50" w:line="360" w:lineRule="atLeast"/>
              <w:rPr>
                <w:rFonts w:ascii="宋体" w:hAnsi="宋体"/>
                <w:bCs/>
                <w:szCs w:val="21"/>
              </w:rPr>
            </w:pPr>
            <w:r>
              <w:rPr>
                <w:rFonts w:ascii="宋体" w:hAnsi="宋体"/>
                <w:bCs/>
                <w:szCs w:val="21"/>
              </w:rPr>
              <w:t xml:space="preserve">[7]  </w:t>
            </w:r>
            <w:r>
              <w:rPr>
                <w:rFonts w:ascii="宋体" w:hAnsi="宋体" w:hint="eastAsia"/>
                <w:bCs/>
                <w:szCs w:val="21"/>
              </w:rPr>
              <w:t>林春霞</w:t>
            </w:r>
            <w:r>
              <w:rPr>
                <w:rFonts w:ascii="宋体" w:hAnsi="宋体"/>
                <w:bCs/>
                <w:szCs w:val="21"/>
              </w:rPr>
              <w:t>.</w:t>
            </w:r>
            <w:r>
              <w:rPr>
                <w:rFonts w:ascii="宋体" w:hAnsi="宋体" w:hint="eastAsia"/>
                <w:bCs/>
                <w:szCs w:val="21"/>
              </w:rPr>
              <w:t>电商冲击下的传统零售业路在何方</w:t>
            </w:r>
            <w:r>
              <w:rPr>
                <w:rFonts w:ascii="宋体" w:hAnsi="宋体"/>
                <w:bCs/>
                <w:szCs w:val="21"/>
              </w:rPr>
              <w:t>[J].</w:t>
            </w:r>
            <w:r>
              <w:rPr>
                <w:rFonts w:ascii="宋体" w:hAnsi="宋体" w:hint="eastAsia"/>
                <w:bCs/>
                <w:szCs w:val="21"/>
              </w:rPr>
              <w:t>中国外资</w:t>
            </w:r>
            <w:r>
              <w:rPr>
                <w:rFonts w:ascii="宋体" w:hAnsi="宋体"/>
                <w:bCs/>
                <w:szCs w:val="21"/>
              </w:rPr>
              <w:t xml:space="preserve">,2014,(12):28-30. </w:t>
            </w:r>
          </w:p>
          <w:p>
            <w:pPr>
              <w:spacing w:before="156" w:beforeLines="50" w:line="360" w:lineRule="atLeast"/>
              <w:rPr>
                <w:rFonts w:ascii="宋体" w:hAnsi="宋体"/>
                <w:bCs/>
                <w:szCs w:val="21"/>
              </w:rPr>
            </w:pPr>
            <w:r>
              <w:rPr>
                <w:rFonts w:ascii="宋体" w:hAnsi="宋体"/>
                <w:bCs/>
                <w:szCs w:val="21"/>
              </w:rPr>
              <w:t xml:space="preserve">[8]  </w:t>
            </w:r>
            <w:r>
              <w:rPr>
                <w:rFonts w:ascii="宋体" w:hAnsi="宋体" w:hint="eastAsia"/>
                <w:bCs/>
                <w:szCs w:val="21"/>
              </w:rPr>
              <w:t>戎昊月</w:t>
            </w:r>
            <w:r>
              <w:rPr>
                <w:rFonts w:ascii="宋体" w:hAnsi="宋体"/>
                <w:bCs/>
                <w:szCs w:val="21"/>
              </w:rPr>
              <w:t>.</w:t>
            </w:r>
            <w:r>
              <w:rPr>
                <w:rFonts w:ascii="宋体" w:hAnsi="宋体" w:hint="eastAsia"/>
                <w:bCs/>
                <w:szCs w:val="21"/>
              </w:rPr>
              <w:t>连锁超市成本控制问题浅谈</w:t>
            </w:r>
            <w:r>
              <w:rPr>
                <w:rFonts w:ascii="宋体" w:hAnsi="宋体"/>
                <w:bCs/>
                <w:szCs w:val="21"/>
              </w:rPr>
              <w:t>[J].</w:t>
            </w:r>
            <w:r>
              <w:rPr>
                <w:rFonts w:ascii="宋体" w:hAnsi="宋体" w:hint="eastAsia"/>
                <w:bCs/>
                <w:szCs w:val="21"/>
              </w:rPr>
              <w:t>财经界</w:t>
            </w:r>
            <w:r>
              <w:rPr>
                <w:rFonts w:ascii="宋体" w:hAnsi="宋体"/>
                <w:bCs/>
                <w:szCs w:val="21"/>
              </w:rPr>
              <w:t xml:space="preserve">,2014,(19):118. </w:t>
            </w:r>
          </w:p>
          <w:p>
            <w:pPr>
              <w:spacing w:before="156" w:beforeLines="50" w:line="360" w:lineRule="atLeast"/>
              <w:rPr>
                <w:rFonts w:ascii="宋体" w:hAnsi="宋体"/>
                <w:szCs w:val="21"/>
              </w:rPr>
            </w:pPr>
            <w:r>
              <w:rPr>
                <w:rFonts w:ascii="宋体" w:hAnsi="宋体"/>
                <w:bCs/>
                <w:szCs w:val="21"/>
              </w:rPr>
              <w:t xml:space="preserve">[9]  </w:t>
            </w:r>
            <w:r>
              <w:rPr>
                <w:rFonts w:ascii="宋体" w:hAnsi="宋体" w:hint="eastAsia"/>
                <w:bCs/>
                <w:szCs w:val="21"/>
              </w:rPr>
              <w:t>陈丹</w:t>
            </w:r>
            <w:r>
              <w:rPr>
                <w:rFonts w:ascii="宋体" w:hAnsi="宋体"/>
                <w:bCs/>
                <w:szCs w:val="21"/>
              </w:rPr>
              <w:t>.</w:t>
            </w:r>
            <w:r>
              <w:rPr>
                <w:rFonts w:ascii="宋体" w:hAnsi="宋体" w:hint="eastAsia"/>
                <w:bCs/>
                <w:szCs w:val="21"/>
              </w:rPr>
              <w:t>电商时代传统零售业成本控制策略探讨</w:t>
            </w:r>
            <w:r>
              <w:rPr>
                <w:rFonts w:ascii="宋体" w:hAnsi="宋体"/>
                <w:bCs/>
                <w:szCs w:val="21"/>
              </w:rPr>
              <w:t>[J].</w:t>
            </w:r>
            <w:r>
              <w:rPr>
                <w:rFonts w:ascii="宋体" w:hAnsi="宋体" w:hint="eastAsia"/>
                <w:bCs/>
                <w:szCs w:val="21"/>
              </w:rPr>
              <w:t>致富时代</w:t>
            </w:r>
            <w:r>
              <w:rPr>
                <w:rFonts w:ascii="宋体" w:hAnsi="宋体"/>
                <w:bCs/>
                <w:szCs w:val="21"/>
              </w:rPr>
              <w:t>,2015,(1):6-7.</w:t>
            </w:r>
            <w:r>
              <w:rPr>
                <w:rFonts w:ascii="宋体" w:hAnsi="宋体"/>
                <w:szCs w:val="21"/>
              </w:rPr>
              <w:t xml:space="preserve"> </w:t>
            </w:r>
          </w:p>
          <w:p>
            <w:pPr>
              <w:spacing w:before="156" w:beforeLines="50" w:line="360" w:lineRule="atLeast"/>
              <w:rPr>
                <w:rFonts w:ascii="宋体" w:hAnsi="宋体"/>
                <w:bCs/>
                <w:szCs w:val="21"/>
              </w:rPr>
            </w:pPr>
            <w:r>
              <w:rPr>
                <w:rFonts w:ascii="宋体" w:hAnsi="宋体"/>
                <w:bCs/>
                <w:szCs w:val="21"/>
              </w:rPr>
              <w:t xml:space="preserve">[10] </w:t>
            </w:r>
            <w:r>
              <w:rPr>
                <w:rFonts w:ascii="宋体" w:hAnsi="宋体" w:hint="eastAsia"/>
                <w:bCs/>
                <w:szCs w:val="21"/>
              </w:rPr>
              <w:t>王菱</w:t>
            </w:r>
            <w:r>
              <w:rPr>
                <w:rFonts w:ascii="宋体" w:hAnsi="宋体"/>
                <w:bCs/>
                <w:szCs w:val="21"/>
              </w:rPr>
              <w:t>.</w:t>
            </w:r>
            <w:r>
              <w:rPr>
                <w:rFonts w:ascii="宋体" w:hAnsi="宋体" w:hint="eastAsia"/>
                <w:bCs/>
                <w:szCs w:val="21"/>
              </w:rPr>
              <w:t>如何将企业连锁经营管理的优势最大化</w:t>
            </w:r>
            <w:r>
              <w:rPr>
                <w:rFonts w:ascii="宋体" w:hAnsi="宋体"/>
                <w:bCs/>
                <w:szCs w:val="21"/>
              </w:rPr>
              <w:t>[J],</w:t>
            </w:r>
            <w:r>
              <w:rPr>
                <w:rFonts w:ascii="宋体" w:hAnsi="宋体" w:hint="eastAsia"/>
                <w:bCs/>
                <w:szCs w:val="21"/>
              </w:rPr>
              <w:t>现代营销</w:t>
            </w:r>
            <w:r>
              <w:rPr>
                <w:rFonts w:ascii="宋体" w:hAnsi="宋体"/>
                <w:bCs/>
                <w:szCs w:val="21"/>
              </w:rPr>
              <w:t xml:space="preserve">,2012,(12):12-13.  </w:t>
            </w:r>
          </w:p>
        </w:tc>
      </w:tr>
    </w:tbl>
    <w:p>
      <w:pPr>
        <w:sectPr>
          <w:footerReference w:type="default" r:id="rId6"/>
          <w:pgSz w:w="11906" w:h="16838"/>
          <w:pgMar w:top="1418" w:right="1134" w:bottom="1418" w:left="1418" w:header="851" w:footer="851" w:gutter="0"/>
          <w:pgNumType w:start="1"/>
          <w:cols w:num="1" w:space="72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8"/>
        <w:gridCol w:w="4320"/>
        <w:gridCol w:w="2520"/>
        <w:gridCol w:w="215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58"/>
        </w:trPr>
        <w:tc>
          <w:tcPr>
            <w:tcW w:w="9639" w:type="dxa"/>
            <w:gridSpan w:val="4"/>
          </w:tcPr>
          <w:p>
            <w:pPr>
              <w:spacing w:before="156" w:beforeLines="50" w:line="360" w:lineRule="atLeast"/>
              <w:rPr>
                <w:rFonts w:ascii="宋体" w:hAnsi="宋体"/>
                <w:bCs/>
                <w:szCs w:val="21"/>
              </w:rPr>
            </w:pPr>
            <w:r>
              <w:rPr>
                <w:rFonts w:ascii="宋体" w:hAnsi="宋体"/>
                <w:bCs/>
                <w:szCs w:val="21"/>
              </w:rPr>
              <w:t xml:space="preserve">[11] </w:t>
            </w:r>
            <w:r>
              <w:rPr>
                <w:rFonts w:ascii="宋体" w:hAnsi="宋体" w:hint="eastAsia"/>
                <w:bCs/>
                <w:szCs w:val="21"/>
              </w:rPr>
              <w:t>张莹</w:t>
            </w:r>
            <w:r>
              <w:rPr>
                <w:rFonts w:ascii="宋体" w:hAnsi="宋体"/>
                <w:bCs/>
                <w:szCs w:val="21"/>
              </w:rPr>
              <w:t>.</w:t>
            </w:r>
            <w:r>
              <w:rPr>
                <w:rFonts w:ascii="宋体" w:hAnsi="宋体" w:hint="eastAsia"/>
                <w:bCs/>
                <w:szCs w:val="21"/>
              </w:rPr>
              <w:t>万达百货电子商务模式设计研究</w:t>
            </w:r>
            <w:r>
              <w:rPr>
                <w:rFonts w:ascii="宋体" w:hAnsi="宋体"/>
                <w:bCs/>
                <w:szCs w:val="21"/>
              </w:rPr>
              <w:t>[D].</w:t>
            </w:r>
            <w:r>
              <w:rPr>
                <w:rFonts w:ascii="宋体" w:hAnsi="宋体" w:hint="eastAsia"/>
                <w:bCs/>
                <w:szCs w:val="21"/>
              </w:rPr>
              <w:t>天津</w:t>
            </w:r>
            <w:r>
              <w:rPr>
                <w:rFonts w:ascii="宋体" w:hAnsi="宋体"/>
                <w:bCs/>
                <w:szCs w:val="21"/>
              </w:rPr>
              <w:t>:</w:t>
            </w:r>
            <w:r>
              <w:rPr>
                <w:rFonts w:ascii="宋体" w:hAnsi="宋体" w:hint="eastAsia"/>
                <w:bCs/>
                <w:szCs w:val="21"/>
              </w:rPr>
              <w:t>天津工业大学</w:t>
            </w:r>
            <w:r>
              <w:rPr>
                <w:rFonts w:ascii="宋体" w:hAnsi="宋体"/>
                <w:bCs/>
                <w:szCs w:val="21"/>
              </w:rPr>
              <w:t xml:space="preserve">,2012:22-24. </w:t>
            </w:r>
          </w:p>
          <w:p>
            <w:pPr>
              <w:spacing w:before="156" w:beforeLines="50" w:line="360" w:lineRule="atLeast"/>
              <w:rPr>
                <w:rFonts w:ascii="宋体" w:hAnsi="宋体"/>
                <w:bCs/>
                <w:szCs w:val="21"/>
              </w:rPr>
            </w:pPr>
            <w:r>
              <w:rPr>
                <w:rFonts w:ascii="宋体" w:hAnsi="宋体"/>
                <w:bCs/>
                <w:szCs w:val="21"/>
              </w:rPr>
              <w:t xml:space="preserve">[12] </w:t>
            </w:r>
            <w:r>
              <w:rPr>
                <w:rFonts w:ascii="宋体" w:hAnsi="宋体" w:hint="eastAsia"/>
                <w:bCs/>
                <w:szCs w:val="21"/>
              </w:rPr>
              <w:t>张君</w:t>
            </w:r>
            <w:r>
              <w:rPr>
                <w:rFonts w:ascii="宋体" w:hAnsi="宋体"/>
                <w:bCs/>
                <w:szCs w:val="21"/>
              </w:rPr>
              <w:t>.</w:t>
            </w:r>
            <w:r>
              <w:rPr>
                <w:rFonts w:ascii="宋体" w:hAnsi="宋体" w:hint="eastAsia"/>
                <w:bCs/>
                <w:szCs w:val="21"/>
              </w:rPr>
              <w:t>浅谈存货的管理与核算</w:t>
            </w:r>
            <w:r>
              <w:rPr>
                <w:rFonts w:ascii="宋体" w:hAnsi="宋体"/>
                <w:bCs/>
                <w:szCs w:val="21"/>
              </w:rPr>
              <w:t>[J].</w:t>
            </w:r>
            <w:r>
              <w:rPr>
                <w:rFonts w:ascii="宋体" w:hAnsi="宋体" w:hint="eastAsia"/>
                <w:bCs/>
                <w:szCs w:val="21"/>
              </w:rPr>
              <w:t>活力</w:t>
            </w:r>
            <w:r>
              <w:rPr>
                <w:rFonts w:ascii="宋体" w:hAnsi="宋体"/>
                <w:bCs/>
                <w:szCs w:val="21"/>
              </w:rPr>
              <w:t>,2011,(14):76.</w:t>
            </w:r>
          </w:p>
          <w:p>
            <w:pPr>
              <w:spacing w:before="156" w:beforeLines="50" w:line="360" w:lineRule="atLeast"/>
              <w:rPr>
                <w:bCs/>
                <w:szCs w:val="21"/>
              </w:rPr>
            </w:pPr>
            <w:r>
              <w:rPr>
                <w:rFonts w:ascii="宋体" w:hAnsi="宋体"/>
                <w:bCs/>
                <w:szCs w:val="21"/>
              </w:rPr>
              <w:t xml:space="preserve">[13] </w:t>
            </w:r>
            <w:r>
              <w:rPr>
                <w:bCs/>
                <w:szCs w:val="21"/>
              </w:rPr>
              <w:t>Chukwuma Obara.Cost Control and Accountability for Effective Budget Implementation[J]. Research Journal of Finance and Accounting,2014,(5):33-34.</w:t>
            </w:r>
          </w:p>
          <w:p>
            <w:pPr>
              <w:spacing w:before="156" w:beforeLines="50" w:line="360" w:lineRule="atLeast"/>
              <w:rPr>
                <w:rFonts w:ascii="宋体" w:hAnsi="宋体" w:hint="eastAsia"/>
                <w:bCs/>
                <w:sz w:val="18"/>
                <w:szCs w:val="18"/>
              </w:rPr>
            </w:pPr>
            <w:r>
              <w:rPr>
                <w:rFonts w:ascii="宋体" w:hAnsi="宋体"/>
                <w:bCs/>
                <w:szCs w:val="21"/>
              </w:rPr>
              <w:t xml:space="preserve">[14] </w:t>
            </w:r>
            <w:r>
              <w:rPr>
                <w:bCs/>
                <w:szCs w:val="21"/>
              </w:rPr>
              <w:t>Taofeng Ye. Inventory management with simultaneously horizontal and vertical substitution[J].International Journal of Production Economics,2014,(156):31-33.</w:t>
            </w:r>
          </w:p>
        </w:tc>
      </w:tr>
      <w:tr>
        <w:tblPrEx>
          <w:tblW w:w="0" w:type="auto"/>
          <w:tblInd w:w="0" w:type="dxa"/>
          <w:tblLayout w:type="fixed"/>
          <w:tblCellMar>
            <w:top w:w="0" w:type="dxa"/>
            <w:left w:w="108" w:type="dxa"/>
            <w:bottom w:w="0" w:type="dxa"/>
            <w:right w:w="108" w:type="dxa"/>
          </w:tblCellMar>
        </w:tblPrEx>
        <w:trPr>
          <w:trHeight w:val="3393"/>
        </w:trPr>
        <w:tc>
          <w:tcPr>
            <w:tcW w:w="9639" w:type="dxa"/>
            <w:gridSpan w:val="4"/>
          </w:tcPr>
          <w:p>
            <w:pPr>
              <w:spacing w:before="156" w:beforeLines="50" w:line="360" w:lineRule="atLeast"/>
              <w:rPr>
                <w:b/>
                <w:bCs/>
              </w:rPr>
            </w:pPr>
            <w:r>
              <w:rPr>
                <w:rFonts w:hint="eastAsia"/>
                <w:b/>
                <w:bCs/>
              </w:rPr>
              <w:t>毕业论文应完成的主要工作：</w:t>
            </w:r>
          </w:p>
          <w:p>
            <w:pPr>
              <w:numPr>
                <w:ilvl w:val="0"/>
                <w:numId w:val="1"/>
              </w:numPr>
              <w:spacing w:line="360" w:lineRule="atLeast"/>
              <w:ind w:left="357" w:hanging="357"/>
              <w:rPr>
                <w:rFonts w:hint="eastAsia"/>
                <w:bCs/>
              </w:rPr>
            </w:pPr>
            <w:r>
              <w:rPr>
                <w:rFonts w:hint="eastAsia"/>
                <w:bCs/>
              </w:rPr>
              <w:t>利用中国知网、维普、万方等数据库完成与毕业论文相关内容的论文的检索；利用图书馆的图书资源查阅相关的理论内容；充分的利用互联网进行资料的检索收集。</w:t>
            </w:r>
          </w:p>
          <w:p>
            <w:pPr>
              <w:numPr>
                <w:ilvl w:val="0"/>
                <w:numId w:val="1"/>
              </w:numPr>
              <w:spacing w:line="360" w:lineRule="atLeast"/>
              <w:ind w:left="357" w:hanging="357"/>
              <w:rPr>
                <w:rFonts w:hint="eastAsia"/>
                <w:b/>
                <w:bCs/>
                <w:color w:val="FF0000"/>
              </w:rPr>
            </w:pPr>
            <w:r>
              <w:rPr>
                <w:rFonts w:hint="eastAsia"/>
                <w:bCs/>
              </w:rPr>
              <w:t>与实习相关的选题要注意在实习过程中观察收集相关的数据；要做实证方面的论文要多方面搜集相关的地区及国家发布的统计数据。</w:t>
            </w:r>
          </w:p>
          <w:p>
            <w:pPr>
              <w:numPr>
                <w:ilvl w:val="0"/>
                <w:numId w:val="1"/>
              </w:numPr>
              <w:spacing w:line="360" w:lineRule="atLeast"/>
              <w:ind w:left="357" w:hanging="357"/>
              <w:rPr>
                <w:rFonts w:hint="eastAsia"/>
                <w:bCs/>
              </w:rPr>
            </w:pPr>
            <w:r>
              <w:rPr>
                <w:rFonts w:hint="eastAsia"/>
                <w:bCs/>
              </w:rPr>
              <w:t>认真撰写开题报告，并对开题报告中指导教师所提出的意见进行修改。</w:t>
            </w:r>
          </w:p>
          <w:p>
            <w:pPr>
              <w:numPr>
                <w:ilvl w:val="0"/>
                <w:numId w:val="1"/>
              </w:numPr>
              <w:spacing w:line="360" w:lineRule="atLeast"/>
              <w:ind w:left="357" w:hanging="357"/>
              <w:rPr>
                <w:rFonts w:hint="eastAsia"/>
                <w:bCs/>
              </w:rPr>
            </w:pPr>
            <w:r>
              <w:rPr>
                <w:rFonts w:hint="eastAsia"/>
                <w:bCs/>
              </w:rPr>
              <w:t>认真撰写论文，并根据指导教师的意见进行修改。</w:t>
            </w:r>
          </w:p>
          <w:p>
            <w:pPr>
              <w:numPr>
                <w:ilvl w:val="0"/>
                <w:numId w:val="1"/>
              </w:numPr>
              <w:spacing w:line="360" w:lineRule="atLeast"/>
              <w:ind w:left="357" w:hanging="357"/>
              <w:rPr>
                <w:rFonts w:hint="eastAsia"/>
                <w:b/>
                <w:bCs/>
              </w:rPr>
            </w:pPr>
            <w:r>
              <w:rPr>
                <w:rFonts w:hint="eastAsia"/>
                <w:bCs/>
              </w:rPr>
              <w:t>论文定稿之后，按照要求进行毕业论文的答辩。</w:t>
            </w:r>
          </w:p>
        </w:tc>
      </w:tr>
      <w:tr>
        <w:tblPrEx>
          <w:tblW w:w="0" w:type="auto"/>
          <w:tblInd w:w="0" w:type="dxa"/>
          <w:tblLayout w:type="fixed"/>
          <w:tblCellMar>
            <w:top w:w="0" w:type="dxa"/>
            <w:left w:w="108" w:type="dxa"/>
            <w:bottom w:w="0" w:type="dxa"/>
            <w:right w:w="108" w:type="dxa"/>
          </w:tblCellMar>
        </w:tblPrEx>
        <w:trPr>
          <w:trHeight w:val="702"/>
        </w:trPr>
        <w:tc>
          <w:tcPr>
            <w:tcW w:w="9639" w:type="dxa"/>
            <w:gridSpan w:val="4"/>
          </w:tcPr>
          <w:p>
            <w:pPr>
              <w:spacing w:before="156" w:beforeLines="50"/>
              <w:rPr>
                <w:rFonts w:hint="eastAsia"/>
                <w:b/>
                <w:bCs/>
              </w:rPr>
            </w:pPr>
            <w:r>
              <w:rPr>
                <w:rFonts w:hint="eastAsia"/>
                <w:b/>
                <w:bCs/>
              </w:rPr>
              <w:t>毕业论文进度安排：</w:t>
            </w:r>
          </w:p>
        </w:tc>
      </w:tr>
      <w:tr>
        <w:tblPrEx>
          <w:tblW w:w="0" w:type="auto"/>
          <w:tblInd w:w="0" w:type="dxa"/>
          <w:tblLayout w:type="fixed"/>
          <w:tblCellMar>
            <w:top w:w="0" w:type="dxa"/>
            <w:left w:w="108" w:type="dxa"/>
            <w:bottom w:w="0" w:type="dxa"/>
            <w:right w:w="108" w:type="dxa"/>
          </w:tblCellMar>
        </w:tblPrEx>
        <w:trPr>
          <w:trHeight w:val="586"/>
        </w:trPr>
        <w:tc>
          <w:tcPr>
            <w:tcW w:w="648" w:type="dxa"/>
            <w:vAlign w:val="center"/>
          </w:tcPr>
          <w:p>
            <w:pPr>
              <w:spacing w:before="156" w:beforeLines="50" w:line="360" w:lineRule="auto"/>
              <w:jc w:val="center"/>
              <w:rPr>
                <w:rFonts w:hint="eastAsia"/>
                <w:b/>
                <w:bCs/>
              </w:rPr>
            </w:pPr>
            <w:r>
              <w:rPr>
                <w:rFonts w:hint="eastAsia"/>
                <w:b/>
                <w:bCs/>
              </w:rPr>
              <w:t>序号</w:t>
            </w:r>
          </w:p>
        </w:tc>
        <w:tc>
          <w:tcPr>
            <w:tcW w:w="4320" w:type="dxa"/>
            <w:vAlign w:val="center"/>
          </w:tcPr>
          <w:p>
            <w:pPr>
              <w:spacing w:before="156" w:beforeLines="50" w:line="360" w:lineRule="auto"/>
              <w:jc w:val="center"/>
              <w:rPr>
                <w:rFonts w:hint="eastAsia"/>
                <w:b/>
                <w:bCs/>
              </w:rPr>
            </w:pPr>
            <w:r>
              <w:rPr>
                <w:rFonts w:hint="eastAsia"/>
                <w:b/>
                <w:bCs/>
              </w:rPr>
              <w:t>毕业论文各阶段内容</w:t>
            </w:r>
          </w:p>
        </w:tc>
        <w:tc>
          <w:tcPr>
            <w:tcW w:w="2520" w:type="dxa"/>
            <w:vAlign w:val="center"/>
          </w:tcPr>
          <w:p>
            <w:pPr>
              <w:spacing w:before="156" w:beforeLines="50" w:line="360" w:lineRule="auto"/>
              <w:jc w:val="center"/>
              <w:rPr>
                <w:rFonts w:hint="eastAsia"/>
                <w:b/>
                <w:bCs/>
              </w:rPr>
            </w:pPr>
            <w:r>
              <w:rPr>
                <w:rFonts w:hint="eastAsia"/>
                <w:b/>
                <w:bCs/>
              </w:rPr>
              <w:t>时间安排</w:t>
            </w:r>
          </w:p>
        </w:tc>
        <w:tc>
          <w:tcPr>
            <w:tcW w:w="2151" w:type="dxa"/>
            <w:vAlign w:val="center"/>
          </w:tcPr>
          <w:p>
            <w:pPr>
              <w:spacing w:before="156" w:beforeLines="50" w:line="360" w:lineRule="auto"/>
              <w:jc w:val="center"/>
              <w:rPr>
                <w:rFonts w:hint="eastAsia"/>
                <w:b/>
                <w:bCs/>
              </w:rPr>
            </w:pPr>
            <w:r>
              <w:rPr>
                <w:rFonts w:hint="eastAsia"/>
                <w:b/>
                <w:bCs/>
              </w:rPr>
              <w:t>备注</w:t>
            </w:r>
          </w:p>
        </w:tc>
      </w:tr>
      <w:tr>
        <w:tblPrEx>
          <w:tblW w:w="0" w:type="auto"/>
          <w:tblInd w:w="0" w:type="dxa"/>
          <w:tblLayout w:type="fixed"/>
          <w:tblCellMar>
            <w:top w:w="0" w:type="dxa"/>
            <w:left w:w="108" w:type="dxa"/>
            <w:bottom w:w="0" w:type="dxa"/>
            <w:right w:w="108" w:type="dxa"/>
          </w:tblCellMar>
        </w:tblPrEx>
        <w:trPr>
          <w:trHeight w:val="680"/>
        </w:trPr>
        <w:tc>
          <w:tcPr>
            <w:tcW w:w="648" w:type="dxa"/>
            <w:vAlign w:val="center"/>
          </w:tcPr>
          <w:p>
            <w:pPr>
              <w:spacing w:before="156" w:beforeLines="50" w:line="360" w:lineRule="auto"/>
              <w:jc w:val="center"/>
              <w:rPr>
                <w:rFonts w:hint="eastAsia"/>
                <w:bCs/>
              </w:rPr>
            </w:pPr>
            <w:r>
              <w:rPr>
                <w:rFonts w:hint="eastAsia"/>
                <w:bCs/>
              </w:rPr>
              <w:t>1</w:t>
            </w:r>
          </w:p>
        </w:tc>
        <w:tc>
          <w:tcPr>
            <w:tcW w:w="4320" w:type="dxa"/>
          </w:tcPr>
          <w:p>
            <w:pPr>
              <w:spacing w:before="156" w:beforeLines="50" w:line="360" w:lineRule="auto"/>
              <w:rPr>
                <w:rFonts w:hint="eastAsia"/>
                <w:b/>
                <w:bCs/>
              </w:rPr>
            </w:pPr>
            <w:r>
              <w:rPr>
                <w:rFonts w:hint="eastAsia"/>
                <w:bCs/>
              </w:rPr>
              <w:t>确定毕业论文的选题，收集资料，整理资料，完成论文的任务书</w:t>
            </w:r>
          </w:p>
        </w:tc>
        <w:tc>
          <w:tcPr>
            <w:tcW w:w="2520" w:type="dxa"/>
            <w:vAlign w:val="center"/>
          </w:tcPr>
          <w:p>
            <w:pPr>
              <w:spacing w:before="156" w:beforeLines="50" w:line="360" w:lineRule="auto"/>
              <w:rPr>
                <w:rFonts w:hint="eastAsia"/>
                <w:b/>
                <w:bCs/>
              </w:rPr>
            </w:pPr>
            <w:r>
              <w:rPr>
                <w:rFonts w:hint="eastAsia"/>
                <w:bCs/>
              </w:rPr>
              <w:t>2016-10-15至2016-10-31</w:t>
            </w:r>
          </w:p>
        </w:tc>
        <w:tc>
          <w:tcPr>
            <w:tcW w:w="2151" w:type="dxa"/>
          </w:tcPr>
          <w:p>
            <w:pPr>
              <w:spacing w:before="156" w:beforeLines="50" w:line="360" w:lineRule="auto"/>
              <w:rPr>
                <w:rFonts w:hint="eastAsia"/>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line="360" w:lineRule="auto"/>
              <w:jc w:val="center"/>
              <w:rPr>
                <w:rFonts w:hint="eastAsia"/>
                <w:bCs/>
              </w:rPr>
            </w:pPr>
            <w:r>
              <w:rPr>
                <w:rFonts w:hint="eastAsia"/>
                <w:bCs/>
              </w:rPr>
              <w:t>2</w:t>
            </w:r>
          </w:p>
        </w:tc>
        <w:tc>
          <w:tcPr>
            <w:tcW w:w="4320" w:type="dxa"/>
          </w:tcPr>
          <w:p>
            <w:pPr>
              <w:spacing w:before="156" w:beforeLines="50" w:line="360" w:lineRule="auto"/>
              <w:rPr>
                <w:rFonts w:hint="eastAsia"/>
                <w:b/>
                <w:bCs/>
              </w:rPr>
            </w:pPr>
            <w:r>
              <w:rPr>
                <w:rFonts w:hint="eastAsia"/>
                <w:bCs/>
              </w:rPr>
              <w:t>编写论文提纲，撰写开题报告，进行开题。</w:t>
            </w:r>
          </w:p>
        </w:tc>
        <w:tc>
          <w:tcPr>
            <w:tcW w:w="2520" w:type="dxa"/>
            <w:vAlign w:val="center"/>
          </w:tcPr>
          <w:p>
            <w:pPr>
              <w:spacing w:line="360" w:lineRule="auto"/>
              <w:rPr>
                <w:rFonts w:hint="eastAsia"/>
                <w:bCs/>
              </w:rPr>
            </w:pPr>
            <w:r>
              <w:rPr>
                <w:rFonts w:hint="eastAsia"/>
                <w:bCs/>
              </w:rPr>
              <w:t>2016-11-1至2016-11-20</w:t>
            </w:r>
          </w:p>
        </w:tc>
        <w:tc>
          <w:tcPr>
            <w:tcW w:w="2151" w:type="dxa"/>
          </w:tcPr>
          <w:p>
            <w:pPr>
              <w:spacing w:before="156" w:beforeLines="50" w:line="360" w:lineRule="auto"/>
              <w:rPr>
                <w:rFonts w:hint="eastAsia"/>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line="360" w:lineRule="auto"/>
              <w:jc w:val="center"/>
              <w:rPr>
                <w:rFonts w:hint="eastAsia"/>
                <w:bCs/>
              </w:rPr>
            </w:pPr>
            <w:r>
              <w:rPr>
                <w:rFonts w:hint="eastAsia"/>
                <w:bCs/>
              </w:rPr>
              <w:t>3</w:t>
            </w:r>
          </w:p>
        </w:tc>
        <w:tc>
          <w:tcPr>
            <w:tcW w:w="4320" w:type="dxa"/>
          </w:tcPr>
          <w:p>
            <w:pPr>
              <w:spacing w:before="156" w:beforeLines="50" w:line="360" w:lineRule="auto"/>
              <w:rPr>
                <w:rFonts w:hint="eastAsia"/>
                <w:b/>
                <w:bCs/>
              </w:rPr>
            </w:pPr>
            <w:r>
              <w:rPr>
                <w:rFonts w:hint="eastAsia"/>
                <w:bCs/>
              </w:rPr>
              <w:t>实习期间进行一步查找资料，作社会调查。</w:t>
            </w:r>
          </w:p>
        </w:tc>
        <w:tc>
          <w:tcPr>
            <w:tcW w:w="2520" w:type="dxa"/>
            <w:vAlign w:val="center"/>
          </w:tcPr>
          <w:p>
            <w:pPr>
              <w:spacing w:before="156" w:beforeLines="50" w:line="360" w:lineRule="auto"/>
              <w:rPr>
                <w:rFonts w:hint="eastAsia"/>
                <w:b/>
                <w:bCs/>
              </w:rPr>
            </w:pPr>
            <w:r>
              <w:rPr>
                <w:rFonts w:hint="eastAsia"/>
                <w:bCs/>
              </w:rPr>
              <w:t>2016-11-21至2016-11-30</w:t>
            </w:r>
          </w:p>
        </w:tc>
        <w:tc>
          <w:tcPr>
            <w:tcW w:w="2151" w:type="dxa"/>
          </w:tcPr>
          <w:p>
            <w:pPr>
              <w:spacing w:before="156" w:beforeLines="50" w:line="360" w:lineRule="auto"/>
              <w:rPr>
                <w:rFonts w:hint="eastAsia"/>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line="360" w:lineRule="auto"/>
              <w:jc w:val="center"/>
              <w:rPr>
                <w:rFonts w:hint="eastAsia"/>
                <w:bCs/>
              </w:rPr>
            </w:pPr>
            <w:r>
              <w:rPr>
                <w:rFonts w:hint="eastAsia"/>
                <w:bCs/>
              </w:rPr>
              <w:t>4</w:t>
            </w:r>
          </w:p>
        </w:tc>
        <w:tc>
          <w:tcPr>
            <w:tcW w:w="4320" w:type="dxa"/>
          </w:tcPr>
          <w:p>
            <w:pPr>
              <w:spacing w:before="156" w:beforeLines="50" w:line="360" w:lineRule="auto"/>
              <w:rPr>
                <w:rFonts w:hint="eastAsia"/>
                <w:b/>
                <w:bCs/>
              </w:rPr>
            </w:pPr>
            <w:r>
              <w:rPr>
                <w:rFonts w:hint="eastAsia"/>
                <w:bCs/>
              </w:rPr>
              <w:t>撰写论文，完成第一稿，并交指导教师</w:t>
            </w:r>
          </w:p>
        </w:tc>
        <w:tc>
          <w:tcPr>
            <w:tcW w:w="2520" w:type="dxa"/>
            <w:vAlign w:val="center"/>
          </w:tcPr>
          <w:p>
            <w:pPr>
              <w:spacing w:before="156" w:beforeLines="50" w:line="360" w:lineRule="auto"/>
              <w:rPr>
                <w:rFonts w:hint="eastAsia"/>
                <w:b/>
                <w:bCs/>
              </w:rPr>
            </w:pPr>
            <w:r>
              <w:rPr>
                <w:rFonts w:hint="eastAsia"/>
                <w:bCs/>
              </w:rPr>
              <w:t>2016-12-1至2017-1-15</w:t>
            </w:r>
          </w:p>
        </w:tc>
        <w:tc>
          <w:tcPr>
            <w:tcW w:w="2151" w:type="dxa"/>
          </w:tcPr>
          <w:p>
            <w:pPr>
              <w:spacing w:before="156" w:beforeLines="50" w:line="360" w:lineRule="auto"/>
              <w:rPr>
                <w:rFonts w:hint="eastAsia"/>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line="360" w:lineRule="auto"/>
              <w:jc w:val="center"/>
              <w:rPr>
                <w:rFonts w:hint="eastAsia"/>
                <w:bCs/>
              </w:rPr>
            </w:pPr>
            <w:r>
              <w:rPr>
                <w:rFonts w:hint="eastAsia"/>
                <w:bCs/>
              </w:rPr>
              <w:t>5</w:t>
            </w:r>
          </w:p>
        </w:tc>
        <w:tc>
          <w:tcPr>
            <w:tcW w:w="4320" w:type="dxa"/>
          </w:tcPr>
          <w:p>
            <w:pPr>
              <w:spacing w:before="156" w:beforeLines="50" w:line="360" w:lineRule="auto"/>
              <w:rPr>
                <w:rFonts w:hint="eastAsia"/>
                <w:b/>
                <w:bCs/>
              </w:rPr>
            </w:pPr>
            <w:r>
              <w:rPr>
                <w:rFonts w:hint="eastAsia"/>
                <w:bCs/>
              </w:rPr>
              <w:t>指导教师阅改论文。</w:t>
            </w:r>
          </w:p>
        </w:tc>
        <w:tc>
          <w:tcPr>
            <w:tcW w:w="2520" w:type="dxa"/>
            <w:vAlign w:val="center"/>
          </w:tcPr>
          <w:p>
            <w:pPr>
              <w:spacing w:before="156" w:beforeLines="50" w:line="360" w:lineRule="auto"/>
              <w:rPr>
                <w:rFonts w:hint="eastAsia"/>
                <w:b/>
                <w:bCs/>
              </w:rPr>
            </w:pPr>
            <w:r>
              <w:rPr>
                <w:rFonts w:hint="eastAsia"/>
                <w:bCs/>
              </w:rPr>
              <w:t>2017-1-16至2017-1-31</w:t>
            </w:r>
          </w:p>
        </w:tc>
        <w:tc>
          <w:tcPr>
            <w:tcW w:w="2151" w:type="dxa"/>
          </w:tcPr>
          <w:p>
            <w:pPr>
              <w:spacing w:before="156" w:beforeLines="50" w:line="360" w:lineRule="auto"/>
              <w:rPr>
                <w:rFonts w:hint="eastAsia"/>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line="360" w:lineRule="auto"/>
              <w:jc w:val="center"/>
              <w:rPr>
                <w:rFonts w:hint="eastAsia"/>
                <w:bCs/>
              </w:rPr>
            </w:pPr>
            <w:r>
              <w:rPr>
                <w:rFonts w:hint="eastAsia"/>
                <w:bCs/>
              </w:rPr>
              <w:t>6</w:t>
            </w:r>
          </w:p>
        </w:tc>
        <w:tc>
          <w:tcPr>
            <w:tcW w:w="4320" w:type="dxa"/>
          </w:tcPr>
          <w:p>
            <w:pPr>
              <w:spacing w:before="156" w:beforeLines="50" w:line="360" w:lineRule="auto"/>
              <w:rPr>
                <w:rFonts w:hint="eastAsia"/>
                <w:b/>
                <w:bCs/>
              </w:rPr>
            </w:pPr>
            <w:r>
              <w:rPr>
                <w:rFonts w:hint="eastAsia"/>
                <w:bCs/>
              </w:rPr>
              <w:t>修改论文，完成第2稿，并交指导教师。</w:t>
            </w:r>
          </w:p>
        </w:tc>
        <w:tc>
          <w:tcPr>
            <w:tcW w:w="2520" w:type="dxa"/>
            <w:vAlign w:val="center"/>
          </w:tcPr>
          <w:p>
            <w:pPr>
              <w:spacing w:before="156" w:beforeLines="50" w:line="360" w:lineRule="auto"/>
              <w:rPr>
                <w:rFonts w:hint="eastAsia"/>
                <w:b/>
                <w:bCs/>
              </w:rPr>
            </w:pPr>
            <w:r>
              <w:rPr>
                <w:rFonts w:hint="eastAsia"/>
                <w:bCs/>
              </w:rPr>
              <w:t>2017-2-1至2017-2-29</w:t>
            </w:r>
          </w:p>
        </w:tc>
        <w:tc>
          <w:tcPr>
            <w:tcW w:w="2151" w:type="dxa"/>
          </w:tcPr>
          <w:p>
            <w:pPr>
              <w:spacing w:before="156" w:beforeLines="50" w:line="360" w:lineRule="auto"/>
              <w:rPr>
                <w:rFonts w:hint="eastAsia"/>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line="360" w:lineRule="auto"/>
              <w:jc w:val="center"/>
              <w:rPr>
                <w:rFonts w:hint="eastAsia"/>
                <w:bCs/>
              </w:rPr>
            </w:pPr>
            <w:r>
              <w:rPr>
                <w:rFonts w:hint="eastAsia"/>
                <w:bCs/>
              </w:rPr>
              <w:t>7</w:t>
            </w:r>
          </w:p>
        </w:tc>
        <w:tc>
          <w:tcPr>
            <w:tcW w:w="4320" w:type="dxa"/>
          </w:tcPr>
          <w:p>
            <w:pPr>
              <w:spacing w:before="156" w:beforeLines="50" w:line="360" w:lineRule="auto"/>
              <w:rPr>
                <w:rFonts w:hint="eastAsia"/>
                <w:b/>
                <w:bCs/>
              </w:rPr>
            </w:pPr>
            <w:r>
              <w:rPr>
                <w:rFonts w:hint="eastAsia"/>
                <w:bCs/>
              </w:rPr>
              <w:t>指导教师阅改论文，完成中期检查表。</w:t>
            </w:r>
          </w:p>
        </w:tc>
        <w:tc>
          <w:tcPr>
            <w:tcW w:w="2520" w:type="dxa"/>
            <w:vAlign w:val="center"/>
          </w:tcPr>
          <w:p>
            <w:pPr>
              <w:spacing w:before="156" w:beforeLines="50" w:line="360" w:lineRule="auto"/>
              <w:rPr>
                <w:rFonts w:hint="eastAsia"/>
                <w:b/>
                <w:bCs/>
              </w:rPr>
            </w:pPr>
            <w:r>
              <w:rPr>
                <w:rFonts w:hint="eastAsia"/>
                <w:bCs/>
              </w:rPr>
              <w:t>2017-3-1至2017-3-15</w:t>
            </w:r>
          </w:p>
        </w:tc>
        <w:tc>
          <w:tcPr>
            <w:tcW w:w="2151" w:type="dxa"/>
          </w:tcPr>
          <w:p>
            <w:pPr>
              <w:spacing w:before="156" w:beforeLines="50" w:line="360" w:lineRule="auto"/>
              <w:rPr>
                <w:rFonts w:hint="eastAsia"/>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line="360" w:lineRule="auto"/>
              <w:jc w:val="center"/>
              <w:rPr>
                <w:rFonts w:hint="eastAsia"/>
                <w:bCs/>
              </w:rPr>
            </w:pPr>
            <w:r>
              <w:rPr>
                <w:rFonts w:hint="eastAsia"/>
                <w:bCs/>
              </w:rPr>
              <w:t>8</w:t>
            </w:r>
          </w:p>
        </w:tc>
        <w:tc>
          <w:tcPr>
            <w:tcW w:w="4320" w:type="dxa"/>
          </w:tcPr>
          <w:p>
            <w:pPr>
              <w:spacing w:before="156" w:beforeLines="50" w:line="360" w:lineRule="auto"/>
              <w:rPr>
                <w:rFonts w:hint="eastAsia"/>
                <w:b/>
                <w:bCs/>
              </w:rPr>
            </w:pPr>
            <w:r>
              <w:rPr>
                <w:rFonts w:hint="eastAsia"/>
                <w:bCs/>
              </w:rPr>
              <w:t>修改论文，完成第3稿，并交指导教师。</w:t>
            </w:r>
          </w:p>
        </w:tc>
        <w:tc>
          <w:tcPr>
            <w:tcW w:w="2520" w:type="dxa"/>
            <w:vAlign w:val="center"/>
          </w:tcPr>
          <w:p>
            <w:pPr>
              <w:spacing w:before="156" w:beforeLines="50" w:line="360" w:lineRule="auto"/>
              <w:rPr>
                <w:rFonts w:hint="eastAsia"/>
                <w:b/>
                <w:bCs/>
              </w:rPr>
            </w:pPr>
            <w:r>
              <w:rPr>
                <w:rFonts w:hint="eastAsia"/>
                <w:bCs/>
              </w:rPr>
              <w:t>2017-3-16至2017-4-10</w:t>
            </w:r>
          </w:p>
        </w:tc>
        <w:tc>
          <w:tcPr>
            <w:tcW w:w="2151" w:type="dxa"/>
          </w:tcPr>
          <w:p>
            <w:pPr>
              <w:spacing w:before="156" w:beforeLines="50" w:line="360" w:lineRule="auto"/>
              <w:rPr>
                <w:rFonts w:hint="eastAsia"/>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line="360" w:lineRule="auto"/>
              <w:jc w:val="center"/>
              <w:rPr>
                <w:rFonts w:hint="eastAsia"/>
                <w:bCs/>
              </w:rPr>
            </w:pPr>
            <w:r>
              <w:rPr>
                <w:rFonts w:hint="eastAsia"/>
                <w:bCs/>
              </w:rPr>
              <w:t>9</w:t>
            </w:r>
          </w:p>
        </w:tc>
        <w:tc>
          <w:tcPr>
            <w:tcW w:w="4320" w:type="dxa"/>
          </w:tcPr>
          <w:p>
            <w:pPr>
              <w:spacing w:before="156" w:beforeLines="50" w:after="0" w:line="360" w:lineRule="auto"/>
              <w:rPr>
                <w:rFonts w:hint="eastAsia"/>
                <w:b/>
                <w:bCs/>
              </w:rPr>
            </w:pPr>
          </w:p>
        </w:tc>
        <w:tc>
          <w:tcPr>
            <w:tcW w:w="2520" w:type="dxa"/>
            <w:vAlign w:val="center"/>
          </w:tcPr>
          <w:p>
            <w:pPr>
              <w:spacing w:before="156" w:beforeLines="50" w:line="360" w:lineRule="auto"/>
              <w:rPr>
                <w:rFonts w:hint="eastAsia"/>
                <w:b/>
                <w:bCs/>
              </w:rPr>
            </w:pPr>
            <w:r>
              <w:rPr>
                <w:rFonts w:hint="eastAsia"/>
                <w:bCs/>
              </w:rPr>
              <w:t>2017-4-11至2017-4-30</w:t>
            </w:r>
          </w:p>
        </w:tc>
        <w:tc>
          <w:tcPr>
            <w:tcW w:w="2151" w:type="dxa"/>
          </w:tcPr>
          <w:p>
            <w:pPr>
              <w:spacing w:before="156" w:beforeLines="50" w:line="360" w:lineRule="auto"/>
              <w:rPr>
                <w:rFonts w:hint="eastAsia"/>
                <w:b/>
                <w:bCs/>
              </w:rPr>
            </w:pPr>
          </w:p>
        </w:tc>
      </w:tr>
    </w:tbl>
    <w:p>
      <w:pPr>
        <w:sectPr>
          <w:footerReference w:type="default" r:id="rId7"/>
          <w:type w:val="nextPage"/>
          <w:pgSz w:w="11906" w:h="16838"/>
          <w:pgMar w:top="1418" w:right="1134" w:bottom="1418" w:left="1418" w:header="851" w:footer="851" w:gutter="0"/>
          <w:pgNumType w:start="2"/>
          <w:cols w:num="1" w:space="720"/>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8"/>
        <w:gridCol w:w="4320"/>
        <w:gridCol w:w="2520"/>
        <w:gridCol w:w="215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35"/>
        </w:trPr>
        <w:tc>
          <w:tcPr>
            <w:tcW w:w="648" w:type="dxa"/>
            <w:vAlign w:val="center"/>
          </w:tcPr>
          <w:p/>
        </w:tc>
        <w:tc>
          <w:tcPr>
            <w:tcW w:w="4320" w:type="dxa"/>
          </w:tcPr>
          <w:p>
            <w:pPr>
              <w:spacing w:before="0" w:line="360" w:lineRule="auto"/>
              <w:rPr>
                <w:rFonts w:hint="eastAsia"/>
                <w:b/>
                <w:bCs/>
              </w:rPr>
            </w:pPr>
            <w:r>
              <w:rPr>
                <w:rFonts w:hint="eastAsia"/>
                <w:bCs/>
              </w:rPr>
              <w:t>指导教师阅改论文，并返还学生，修改后立即交指导教师。</w:t>
            </w:r>
          </w:p>
        </w:tc>
        <w:tc>
          <w:tcPr>
            <w:tcW w:w="2520" w:type="dxa"/>
            <w:vAlign w:val="center"/>
          </w:tcPr>
          <w:p/>
        </w:tc>
        <w:tc>
          <w:tcPr>
            <w:tcW w:w="2151" w:type="dxa"/>
          </w:tc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line="360" w:lineRule="auto"/>
              <w:jc w:val="center"/>
              <w:rPr>
                <w:rFonts w:hint="eastAsia"/>
                <w:bCs/>
              </w:rPr>
            </w:pPr>
            <w:r>
              <w:rPr>
                <w:rFonts w:hint="eastAsia"/>
                <w:bCs/>
              </w:rPr>
              <w:t>10</w:t>
            </w:r>
          </w:p>
        </w:tc>
        <w:tc>
          <w:tcPr>
            <w:tcW w:w="4320" w:type="dxa"/>
          </w:tcPr>
          <w:p>
            <w:pPr>
              <w:spacing w:before="156" w:beforeLines="50" w:line="360" w:lineRule="auto"/>
              <w:rPr>
                <w:rFonts w:hint="eastAsia"/>
                <w:b/>
                <w:bCs/>
              </w:rPr>
            </w:pPr>
            <w:r>
              <w:rPr>
                <w:rFonts w:hint="eastAsia"/>
                <w:bCs/>
              </w:rPr>
              <w:t>专家评阅。</w:t>
            </w:r>
          </w:p>
        </w:tc>
        <w:tc>
          <w:tcPr>
            <w:tcW w:w="2520" w:type="dxa"/>
            <w:vAlign w:val="center"/>
          </w:tcPr>
          <w:p>
            <w:pPr>
              <w:spacing w:before="156" w:beforeLines="50" w:line="360" w:lineRule="auto"/>
              <w:rPr>
                <w:rFonts w:hint="eastAsia"/>
                <w:b/>
                <w:bCs/>
              </w:rPr>
            </w:pPr>
            <w:r>
              <w:rPr>
                <w:rFonts w:hint="eastAsia"/>
                <w:bCs/>
              </w:rPr>
              <w:t>2017-5-1至2017-5-10</w:t>
            </w:r>
          </w:p>
        </w:tc>
        <w:tc>
          <w:tcPr>
            <w:tcW w:w="2151" w:type="dxa"/>
          </w:tcPr>
          <w:p>
            <w:pPr>
              <w:spacing w:before="156" w:beforeLines="50" w:line="360" w:lineRule="auto"/>
              <w:rPr>
                <w:rFonts w:hint="eastAsia"/>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line="360" w:lineRule="auto"/>
              <w:jc w:val="center"/>
              <w:rPr>
                <w:rFonts w:hint="eastAsia"/>
                <w:bCs/>
              </w:rPr>
            </w:pPr>
            <w:r>
              <w:rPr>
                <w:rFonts w:hint="eastAsia"/>
                <w:bCs/>
              </w:rPr>
              <w:t>11</w:t>
            </w:r>
          </w:p>
        </w:tc>
        <w:tc>
          <w:tcPr>
            <w:tcW w:w="4320" w:type="dxa"/>
          </w:tcPr>
          <w:p>
            <w:pPr>
              <w:spacing w:before="156" w:beforeLines="50" w:line="360" w:lineRule="auto"/>
              <w:rPr>
                <w:rFonts w:hint="eastAsia"/>
                <w:b/>
                <w:bCs/>
              </w:rPr>
            </w:pPr>
            <w:r>
              <w:rPr>
                <w:rFonts w:hint="eastAsia"/>
                <w:bCs/>
              </w:rPr>
              <w:t>毕业论文答辩。</w:t>
            </w:r>
          </w:p>
        </w:tc>
        <w:tc>
          <w:tcPr>
            <w:tcW w:w="2520" w:type="dxa"/>
            <w:vAlign w:val="center"/>
          </w:tcPr>
          <w:p>
            <w:pPr>
              <w:spacing w:before="156" w:beforeLines="50" w:line="360" w:lineRule="auto"/>
              <w:rPr>
                <w:rFonts w:hint="eastAsia"/>
                <w:b/>
                <w:bCs/>
              </w:rPr>
            </w:pPr>
            <w:r>
              <w:rPr>
                <w:rFonts w:hint="eastAsia"/>
                <w:bCs/>
              </w:rPr>
              <w:t>2017-5-11</w:t>
            </w:r>
            <w:r>
              <w:rPr>
                <w:bCs/>
              </w:rPr>
              <w:t>至</w:t>
            </w:r>
            <w:r>
              <w:rPr>
                <w:rFonts w:hint="eastAsia"/>
                <w:bCs/>
              </w:rPr>
              <w:t>2017-5-24</w:t>
            </w:r>
          </w:p>
        </w:tc>
        <w:tc>
          <w:tcPr>
            <w:tcW w:w="2151" w:type="dxa"/>
          </w:tcPr>
          <w:p>
            <w:pPr>
              <w:spacing w:before="156" w:beforeLines="50" w:line="360" w:lineRule="auto"/>
              <w:rPr>
                <w:rFonts w:hint="eastAsia"/>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line="360" w:lineRule="auto"/>
              <w:jc w:val="center"/>
              <w:rPr>
                <w:rFonts w:hint="eastAsia"/>
                <w:bCs/>
              </w:rPr>
            </w:pPr>
            <w:r>
              <w:rPr>
                <w:rFonts w:hint="eastAsia"/>
                <w:bCs/>
              </w:rPr>
              <w:t>12</w:t>
            </w:r>
          </w:p>
        </w:tc>
        <w:tc>
          <w:tcPr>
            <w:tcW w:w="4320" w:type="dxa"/>
          </w:tcPr>
          <w:p>
            <w:pPr>
              <w:spacing w:before="156" w:beforeLines="50" w:line="360" w:lineRule="auto"/>
              <w:rPr>
                <w:rFonts w:hint="eastAsia"/>
                <w:b/>
                <w:bCs/>
              </w:rPr>
            </w:pPr>
            <w:r>
              <w:rPr>
                <w:rFonts w:hint="eastAsia"/>
                <w:bCs/>
              </w:rPr>
              <w:t>评定学生最终论文成绩，评出院内优秀论文。</w:t>
            </w:r>
          </w:p>
        </w:tc>
        <w:tc>
          <w:tcPr>
            <w:tcW w:w="2520" w:type="dxa"/>
            <w:vAlign w:val="center"/>
          </w:tcPr>
          <w:p>
            <w:pPr>
              <w:spacing w:line="360" w:lineRule="auto"/>
              <w:rPr>
                <w:bCs/>
                <w:color w:val="FF0000"/>
              </w:rPr>
            </w:pPr>
            <w:r>
              <w:rPr>
                <w:rFonts w:hint="eastAsia"/>
                <w:bCs/>
              </w:rPr>
              <w:t>2017</w:t>
            </w:r>
            <w:r>
              <w:rPr>
                <w:bCs/>
              </w:rPr>
              <w:t>-5-</w:t>
            </w:r>
            <w:r>
              <w:rPr>
                <w:rFonts w:hint="eastAsia"/>
                <w:bCs/>
              </w:rPr>
              <w:t>25</w:t>
            </w:r>
            <w:r>
              <w:rPr>
                <w:bCs/>
              </w:rPr>
              <w:t>至</w:t>
            </w:r>
            <w:r>
              <w:rPr>
                <w:rFonts w:hint="eastAsia"/>
                <w:bCs/>
              </w:rPr>
              <w:t>2017</w:t>
            </w:r>
            <w:r>
              <w:rPr>
                <w:bCs/>
              </w:rPr>
              <w:t>-5-31</w:t>
            </w:r>
          </w:p>
        </w:tc>
        <w:tc>
          <w:tcPr>
            <w:tcW w:w="2151" w:type="dxa"/>
          </w:tcPr>
          <w:p>
            <w:pPr>
              <w:spacing w:before="156" w:beforeLines="50" w:line="360" w:lineRule="auto"/>
              <w:rPr>
                <w:rFonts w:hint="eastAsia"/>
                <w:b/>
                <w:bCs/>
              </w:rPr>
            </w:pPr>
          </w:p>
        </w:tc>
      </w:tr>
      <w:tr>
        <w:tblPrEx>
          <w:tblW w:w="0" w:type="auto"/>
          <w:tblInd w:w="0" w:type="dxa"/>
          <w:tblLayout w:type="fixed"/>
          <w:tblCellMar>
            <w:top w:w="0" w:type="dxa"/>
            <w:left w:w="108" w:type="dxa"/>
            <w:bottom w:w="0" w:type="dxa"/>
            <w:right w:w="108" w:type="dxa"/>
          </w:tblCellMar>
        </w:tblPrEx>
        <w:trPr>
          <w:trHeight w:val="10565"/>
        </w:trPr>
        <w:tc>
          <w:tcPr>
            <w:tcW w:w="9639" w:type="dxa"/>
            <w:gridSpan w:val="4"/>
            <w:vAlign w:val="center"/>
          </w:tcPr>
          <w:p>
            <w:pPr>
              <w:spacing w:before="156" w:beforeLines="50" w:line="360" w:lineRule="auto"/>
              <w:rPr>
                <w:rFonts w:hint="eastAsia"/>
                <w:b/>
                <w:bCs/>
              </w:rPr>
            </w:pPr>
          </w:p>
        </w:tc>
      </w:tr>
    </w:tbl>
    <w:p>
      <w:pPr>
        <w:sectPr>
          <w:footerReference w:type="default" r:id="rId8"/>
          <w:type w:val="nextPage"/>
          <w:pgSz w:w="11906" w:h="16838"/>
          <w:pgMar w:top="1418" w:right="1134" w:bottom="1418" w:left="1418" w:header="851" w:footer="851" w:gutter="0"/>
          <w:pgNumType w:start="3"/>
          <w:cols w:num="1" w:space="720"/>
          <w:titlePg w:val="0"/>
          <w:docGrid w:type="lines" w:linePitch="312" w:charSpace="0"/>
        </w:sectPr>
      </w:pP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39"/>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639" w:type="dxa"/>
          </w:tcPr>
          <w:p>
            <w:pPr>
              <w:spacing w:before="156" w:beforeLines="50" w:after="156" w:afterLines="50"/>
              <w:rPr>
                <w:rFonts w:ascii="宋体" w:hAnsi="宋体" w:hint="eastAsia"/>
                <w:b/>
                <w:szCs w:val="28"/>
              </w:rPr>
            </w:pPr>
            <w:r>
              <w:rPr>
                <w:rFonts w:ascii="宋体" w:hAnsi="宋体" w:hint="eastAsia"/>
                <w:b/>
                <w:szCs w:val="28"/>
              </w:rPr>
              <w:t>课题信息：</w:t>
            </w:r>
          </w:p>
          <w:p>
            <w:pPr>
              <w:spacing w:before="156" w:beforeLines="50" w:after="156" w:afterLines="50"/>
              <w:ind w:firstLine="420" w:firstLineChars="200"/>
              <w:rPr>
                <w:rFonts w:ascii="宋体" w:hAnsi="宋体" w:hint="eastAsia"/>
                <w:szCs w:val="28"/>
              </w:rPr>
            </w:pPr>
            <w:r>
              <w:rPr>
                <w:rFonts w:ascii="宋体" w:hAnsi="宋体" w:hint="eastAsia"/>
                <w:szCs w:val="28"/>
              </w:rPr>
              <w:t>课题性质： 设计</w:t>
            </w:r>
            <w:r>
              <w:rPr>
                <w:rFonts w:ascii="宋体" w:hAnsi="宋体" w:hint="eastAsia"/>
              </w:rPr>
              <w:t>□</w:t>
            </w:r>
            <w:r>
              <w:t xml:space="preserve"> </w:t>
            </w:r>
            <w:r>
              <w:rPr>
                <w:rFonts w:ascii="宋体" w:hAnsi="宋体" w:hint="eastAsia"/>
                <w:szCs w:val="28"/>
              </w:rPr>
              <w:t xml:space="preserve">    论文√</w:t>
            </w:r>
            <w:r>
              <w:rPr>
                <w:color w:val="FF0000"/>
              </w:rPr>
              <w:t xml:space="preserve"> </w:t>
            </w:r>
            <w:r>
              <w:rPr>
                <w:rFonts w:ascii="宋体" w:hAnsi="宋体"/>
                <w:szCs w:val="28"/>
              </w:rPr>
              <w:t></w:t>
            </w:r>
          </w:p>
          <w:p>
            <w:pPr>
              <w:spacing w:before="50" w:after="156" w:afterLines="50"/>
              <w:ind w:firstLine="420" w:firstLineChars="200"/>
              <w:rPr>
                <w:rFonts w:ascii="宋体" w:hAnsi="宋体" w:hint="eastAsia"/>
                <w:szCs w:val="28"/>
              </w:rPr>
            </w:pPr>
            <w:r>
              <w:rPr>
                <w:rFonts w:ascii="宋体" w:hAnsi="宋体" w:hint="eastAsia"/>
                <w:szCs w:val="28"/>
              </w:rPr>
              <w:t>课题来源： 教学</w:t>
            </w:r>
            <w:r>
              <w:rPr>
                <w:rFonts w:ascii="宋体" w:hAnsi="宋体" w:hint="eastAsia"/>
              </w:rPr>
              <w:t>√</w:t>
            </w:r>
            <w:r>
              <w:rPr>
                <w:color w:val="FF0000"/>
              </w:rPr>
              <w:t xml:space="preserve"> </w:t>
            </w:r>
            <w:r>
              <w:rPr>
                <w:rFonts w:ascii="宋体" w:hAnsi="宋体" w:hint="eastAsia"/>
                <w:szCs w:val="28"/>
              </w:rPr>
              <w:t xml:space="preserve">   科研</w:t>
            </w:r>
            <w:r>
              <w:rPr>
                <w:rFonts w:ascii="宋体" w:hAnsi="宋体" w:hint="eastAsia"/>
              </w:rPr>
              <w:t>□</w:t>
            </w:r>
            <w:r>
              <w:t xml:space="preserve"> </w:t>
            </w:r>
            <w:r>
              <w:rPr>
                <w:rFonts w:ascii="宋体" w:hAnsi="宋体" w:hint="eastAsia"/>
                <w:szCs w:val="28"/>
              </w:rPr>
              <w:t xml:space="preserve">   生产</w:t>
            </w:r>
            <w:r>
              <w:rPr>
                <w:rFonts w:ascii="宋体" w:hAnsi="宋体" w:hint="eastAsia"/>
              </w:rPr>
              <w:t>□</w:t>
            </w:r>
            <w:r>
              <w:t xml:space="preserve"> </w:t>
            </w:r>
            <w:r>
              <w:rPr>
                <w:rFonts w:ascii="宋体" w:hAnsi="宋体" w:hint="eastAsia"/>
                <w:szCs w:val="28"/>
              </w:rPr>
              <w:t xml:space="preserve">   其它</w:t>
            </w:r>
            <w:r>
              <w:rPr>
                <w:rFonts w:ascii="宋体" w:hAnsi="宋体" w:hint="eastAsia"/>
              </w:rPr>
              <w:t>□</w:t>
            </w:r>
          </w:p>
          <w:p>
            <w:pPr>
              <w:spacing w:before="50" w:after="156" w:afterLines="50"/>
              <w:ind w:firstLine="420" w:firstLineChars="200"/>
              <w:rPr>
                <w:u w:val="single"/>
              </w:rPr>
            </w:pPr>
            <w:r>
              <w:rPr>
                <w:rFonts w:hint="eastAsia"/>
              </w:rPr>
              <w:t>发出任务书日期：</w:t>
            </w:r>
            <w:r>
              <w:rPr>
                <w:rFonts w:hint="eastAsia"/>
                <w:u w:val="single"/>
              </w:rPr>
              <w:t xml:space="preserve">    </w:t>
            </w:r>
            <w:r>
              <w:rPr>
                <w:u w:val="single"/>
              </w:rPr>
              <w:t xml:space="preserve">   </w:t>
            </w:r>
            <w:r>
              <w:rPr>
                <w:rFonts w:hint="eastAsia"/>
                <w:u w:val="single"/>
              </w:rPr>
              <w:t xml:space="preserve">        </w:t>
            </w:r>
          </w:p>
          <w:p>
            <w:pPr>
              <w:spacing w:before="50" w:after="156" w:afterLines="50"/>
              <w:ind w:firstLine="420" w:firstLineChars="200"/>
              <w:rPr>
                <w:rFonts w:hint="eastAsia"/>
                <w:u w:val="single"/>
              </w:rPr>
            </w:pPr>
          </w:p>
          <w:p>
            <w:pPr>
              <w:spacing w:before="50" w:after="156" w:afterLines="50"/>
              <w:ind w:firstLine="420" w:firstLineChars="200"/>
              <w:rPr>
                <w:rFonts w:hint="eastAsia"/>
                <w:u w:val="single"/>
              </w:rPr>
            </w:pPr>
          </w:p>
          <w:p>
            <w:pPr>
              <w:spacing w:before="50" w:after="156" w:afterLines="50"/>
              <w:ind w:firstLine="420" w:firstLineChars="200"/>
              <w:rPr>
                <w:rFonts w:hint="eastAsia"/>
                <w:u w:val="single"/>
              </w:rPr>
            </w:pPr>
          </w:p>
          <w:p>
            <w:pPr>
              <w:spacing w:before="50" w:after="156" w:afterLines="50"/>
              <w:ind w:firstLine="420" w:firstLineChars="200"/>
              <w:rPr>
                <w:rFonts w:hint="eastAsia"/>
                <w:u w:val="single"/>
              </w:rPr>
            </w:pPr>
          </w:p>
          <w:p>
            <w:pPr>
              <w:spacing w:before="50" w:after="156" w:afterLines="50"/>
              <w:ind w:firstLine="420" w:firstLineChars="200"/>
              <w:rPr>
                <w:rFonts w:hint="eastAsia"/>
                <w:u w:val="single"/>
              </w:rPr>
            </w:pPr>
          </w:p>
          <w:p>
            <w:pPr>
              <w:spacing w:before="50" w:after="156" w:afterLines="50"/>
              <w:ind w:firstLine="420" w:firstLineChars="200"/>
              <w:rPr>
                <w:rFonts w:ascii="宋体" w:hAnsi="宋体"/>
                <w:bCs/>
                <w:szCs w:val="28"/>
              </w:rPr>
            </w:pPr>
            <w:r>
              <w:t xml:space="preserve">                                             </w:t>
            </w:r>
            <w:r>
              <w:rPr>
                <w:rFonts w:ascii="宋体" w:hAnsi="宋体" w:hint="eastAsia"/>
                <w:szCs w:val="28"/>
              </w:rPr>
              <w:t>指导教师签名：</w:t>
            </w:r>
          </w:p>
          <w:p>
            <w:pPr>
              <w:spacing w:before="156" w:beforeLines="50"/>
              <w:rPr>
                <w:rFonts w:hint="eastAsia"/>
                <w:bCs/>
                <w:color w:val="000000"/>
              </w:rPr>
            </w:pPr>
            <w:r>
              <w:rPr>
                <w:rFonts w:ascii="宋体" w:hAnsi="宋体" w:hint="eastAsia"/>
                <w:szCs w:val="28"/>
              </w:rPr>
              <w:t xml:space="preserve">                                          </w:t>
            </w:r>
            <w:r>
              <w:rPr>
                <w:rFonts w:ascii="宋体" w:hAnsi="宋体"/>
                <w:szCs w:val="28"/>
              </w:rPr>
              <w:t xml:space="preserve"> </w:t>
            </w:r>
            <w:r>
              <w:rPr>
                <w:rFonts w:ascii="宋体" w:hAnsi="宋体"/>
                <w:b/>
                <w:color w:val="FF0000"/>
                <w:szCs w:val="28"/>
              </w:rPr>
              <w:t xml:space="preserve"> </w:t>
            </w:r>
            <w:r>
              <w:rPr>
                <w:rFonts w:ascii="宋体" w:hAnsi="宋体" w:hint="eastAsia"/>
                <w:b/>
                <w:color w:val="FF0000"/>
                <w:szCs w:val="28"/>
              </w:rPr>
              <w:t xml:space="preserve">     </w:t>
            </w:r>
            <w:r>
              <w:rPr>
                <w:color w:val="000000"/>
                <w:szCs w:val="28"/>
              </w:rPr>
              <w:t xml:space="preserve"> </w:t>
            </w:r>
            <w:r>
              <w:rPr>
                <w:rFonts w:ascii="宋体" w:hAnsi="宋体" w:hint="eastAsia"/>
                <w:color w:val="000000"/>
                <w:szCs w:val="28"/>
              </w:rPr>
              <w:t xml:space="preserve">年 </w:t>
            </w:r>
            <w:r>
              <w:rPr>
                <w:rFonts w:hint="eastAsia"/>
                <w:color w:val="000000"/>
                <w:szCs w:val="28"/>
              </w:rPr>
              <w:t xml:space="preserve">  </w:t>
            </w:r>
            <w:r>
              <w:rPr>
                <w:rFonts w:ascii="宋体" w:hAnsi="宋体" w:hint="eastAsia"/>
                <w:color w:val="000000"/>
                <w:szCs w:val="28"/>
              </w:rPr>
              <w:t>月</w:t>
            </w:r>
            <w:r>
              <w:rPr>
                <w:rFonts w:hint="eastAsia"/>
                <w:color w:val="000000"/>
                <w:szCs w:val="28"/>
              </w:rPr>
              <w:t xml:space="preserve">  </w:t>
            </w:r>
            <w:r>
              <w:rPr>
                <w:rFonts w:ascii="宋体" w:hAnsi="宋体" w:hint="eastAsia"/>
                <w:color w:val="000000"/>
                <w:szCs w:val="28"/>
              </w:rPr>
              <w:t>日</w:t>
            </w:r>
          </w:p>
        </w:tc>
      </w:tr>
      <w:tr>
        <w:tblPrEx>
          <w:tblW w:w="9639" w:type="dxa"/>
          <w:tblInd w:w="0" w:type="dxa"/>
          <w:tblLayout w:type="fixed"/>
          <w:tblCellMar>
            <w:top w:w="0" w:type="dxa"/>
            <w:left w:w="108" w:type="dxa"/>
            <w:bottom w:w="0" w:type="dxa"/>
            <w:right w:w="108" w:type="dxa"/>
          </w:tblCellMar>
        </w:tblPrEx>
        <w:trPr>
          <w:trHeight w:val="3763"/>
        </w:trPr>
        <w:tc>
          <w:tcPr>
            <w:tcW w:w="9639" w:type="dxa"/>
          </w:tcPr>
          <w:p>
            <w:pPr>
              <w:spacing w:before="156" w:beforeLines="50" w:after="156" w:afterLines="50"/>
              <w:rPr>
                <w:rFonts w:ascii="宋体" w:hAnsi="宋体"/>
                <w:b/>
                <w:szCs w:val="28"/>
              </w:rPr>
            </w:pPr>
            <w:r>
              <w:rPr>
                <w:rFonts w:ascii="宋体" w:hAnsi="宋体" w:hint="eastAsia"/>
                <w:b/>
                <w:szCs w:val="28"/>
              </w:rPr>
              <w:t>教研室意见：</w:t>
            </w:r>
          </w:p>
          <w:p>
            <w:pPr>
              <w:spacing w:before="156" w:beforeLines="50" w:after="156" w:afterLines="50"/>
              <w:rPr>
                <w:rFonts w:ascii="宋体" w:hAnsi="宋体"/>
                <w:b/>
                <w:szCs w:val="28"/>
              </w:rPr>
            </w:pPr>
          </w:p>
          <w:p>
            <w:pPr>
              <w:spacing w:before="156" w:beforeLines="50" w:after="156" w:afterLines="50"/>
              <w:rPr>
                <w:rFonts w:ascii="宋体" w:hAnsi="宋体" w:hint="eastAsia"/>
                <w:b/>
                <w:szCs w:val="28"/>
              </w:rPr>
            </w:pPr>
          </w:p>
          <w:p>
            <w:pPr>
              <w:spacing w:before="156" w:beforeLines="50" w:after="156" w:afterLines="50"/>
              <w:rPr>
                <w:rFonts w:ascii="宋体" w:hAnsi="宋体" w:hint="eastAsia"/>
                <w:b/>
                <w:szCs w:val="28"/>
              </w:rPr>
            </w:pPr>
          </w:p>
          <w:p>
            <w:pPr>
              <w:spacing w:before="156" w:beforeLines="50" w:after="156" w:afterLines="50"/>
              <w:rPr>
                <w:rFonts w:ascii="宋体" w:hAnsi="宋体" w:hint="eastAsia"/>
                <w:b/>
                <w:szCs w:val="28"/>
              </w:rPr>
            </w:pPr>
          </w:p>
          <w:p>
            <w:pPr>
              <w:spacing w:before="156" w:beforeLines="50" w:after="156" w:afterLines="50"/>
              <w:rPr>
                <w:rFonts w:ascii="宋体" w:hAnsi="宋体" w:hint="eastAsia"/>
                <w:b/>
                <w:szCs w:val="28"/>
              </w:rPr>
            </w:pPr>
          </w:p>
          <w:p>
            <w:pPr>
              <w:spacing w:before="156" w:beforeLines="50" w:after="156" w:afterLines="50"/>
              <w:ind w:left="5775" w:hanging="945" w:leftChars="2300" w:hangingChars="450"/>
            </w:pPr>
            <w:r>
              <w:rPr>
                <w:rFonts w:hint="eastAsia"/>
              </w:rPr>
              <w:t>教研室主任签名：</w:t>
            </w:r>
          </w:p>
          <w:p>
            <w:pPr>
              <w:spacing w:before="156" w:beforeLines="50"/>
              <w:ind w:firstLine="5355" w:firstLineChars="2550"/>
              <w:rPr>
                <w:rFonts w:hint="eastAsia"/>
                <w:b/>
                <w:bCs/>
              </w:rPr>
            </w:pPr>
            <w:r>
              <w:rPr>
                <w:rFonts w:ascii="宋体" w:hAnsi="宋体" w:hint="eastAsia"/>
                <w:szCs w:val="28"/>
              </w:rPr>
              <w:t>年    月     日</w:t>
            </w:r>
            <w:r>
              <w:rPr>
                <w:rFonts w:ascii="宋体" w:hAnsi="宋体"/>
                <w:szCs w:val="28"/>
              </w:rPr>
              <w:t xml:space="preserve">   </w:t>
            </w:r>
          </w:p>
        </w:tc>
      </w:tr>
      <w:tr>
        <w:tblPrEx>
          <w:tblW w:w="9639" w:type="dxa"/>
          <w:tblInd w:w="0" w:type="dxa"/>
          <w:tblLayout w:type="fixed"/>
          <w:tblCellMar>
            <w:top w:w="0" w:type="dxa"/>
            <w:left w:w="108" w:type="dxa"/>
            <w:bottom w:w="0" w:type="dxa"/>
            <w:right w:w="108" w:type="dxa"/>
          </w:tblCellMar>
        </w:tblPrEx>
        <w:trPr>
          <w:trHeight w:val="2825"/>
        </w:trPr>
        <w:tc>
          <w:tcPr>
            <w:tcW w:w="9639" w:type="dxa"/>
          </w:tcPr>
          <w:p>
            <w:pPr>
              <w:spacing w:before="156" w:beforeLines="50" w:after="156" w:afterLines="50"/>
              <w:jc w:val="center"/>
              <w:rPr>
                <w:rFonts w:hint="eastAsia"/>
              </w:rPr>
            </w:pPr>
          </w:p>
          <w:p>
            <w:pPr>
              <w:spacing w:before="156" w:beforeLines="50" w:after="156" w:afterLines="50"/>
              <w:jc w:val="center"/>
              <w:rPr>
                <w:rFonts w:hint="eastAsia"/>
              </w:rPr>
            </w:pPr>
          </w:p>
          <w:p>
            <w:pPr>
              <w:spacing w:before="156" w:beforeLines="50" w:after="156" w:afterLines="50"/>
              <w:jc w:val="center"/>
              <w:rPr>
                <w:rFonts w:hint="eastAsia"/>
              </w:rPr>
            </w:pPr>
          </w:p>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jc w:val="center"/>
              <w:rPr>
                <w:rFonts w:hint="eastAsia"/>
              </w:rPr>
            </w:pPr>
          </w:p>
          <w:p>
            <w:pPr>
              <w:spacing w:before="156" w:beforeLines="50" w:after="156" w:afterLines="50"/>
              <w:rPr>
                <w:rFonts w:hint="eastAsia"/>
              </w:rPr>
            </w:pPr>
          </w:p>
          <w:p>
            <w:pPr>
              <w:spacing w:before="156" w:beforeLines="50"/>
              <w:ind w:firstLine="5565" w:firstLineChars="2650"/>
              <w:rPr>
                <w:rFonts w:hint="eastAsia"/>
                <w:b/>
                <w:bCs/>
              </w:rPr>
            </w:pPr>
            <w:r>
              <w:rPr>
                <w:rFonts w:hint="eastAsia"/>
              </w:rPr>
              <w:t>学生签名：</w:t>
            </w:r>
            <w:r>
              <w:rPr>
                <w:rFonts w:hint="eastAsia"/>
                <w:b/>
                <w:bCs/>
              </w:rPr>
              <w:t xml:space="preserve"> </w:t>
            </w:r>
          </w:p>
        </w:tc>
      </w:tr>
    </w:tbl>
    <w:p>
      <w:pPr>
        <w:sectPr>
          <w:footerReference w:type="default" r:id="rId9"/>
          <w:type w:val="nextPage"/>
          <w:pgSz w:w="11906" w:h="16838"/>
          <w:pgMar w:top="1418" w:right="1134" w:bottom="1418" w:left="1418" w:header="851" w:footer="851" w:gutter="0"/>
          <w:pgNumType w:start="4"/>
          <w:cols w:num="1" w:space="720"/>
          <w:titlePg w:val="0"/>
          <w:docGrid w:type="lines" w:linePitch="312" w:charSpace="0"/>
        </w:sectPr>
      </w:pPr>
    </w:p>
    <w:p>
      <w:pPr>
        <w:spacing w:before="156" w:beforeLines="50" w:after="156" w:afterLines="50"/>
        <w:ind w:firstLine="1650" w:firstLineChars="550"/>
        <w:rPr>
          <w:rFonts w:eastAsia="黑体"/>
          <w:sz w:val="15"/>
          <w:szCs w:val="15"/>
        </w:rPr>
      </w:pPr>
      <w:r>
        <w:rPr>
          <w:rFonts w:eastAsia="黑体" w:hint="eastAsia"/>
          <w:sz w:val="30"/>
        </w:rPr>
        <w:t>开题报告</w:t>
      </w:r>
      <w:r>
        <w:rPr>
          <w:rFonts w:eastAsia="黑体" w:hint="eastAsia"/>
          <w:sz w:val="15"/>
          <w:szCs w:val="15"/>
        </w:rPr>
        <w:t xml:space="preserve">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48"/>
        <w:gridCol w:w="1546"/>
        <w:gridCol w:w="974"/>
        <w:gridCol w:w="1620"/>
        <w:gridCol w:w="1080"/>
        <w:gridCol w:w="251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71"/>
        </w:trPr>
        <w:tc>
          <w:tcPr>
            <w:tcW w:w="1548" w:type="dxa"/>
            <w:vAlign w:val="center"/>
          </w:tcPr>
          <w:p>
            <w:pPr>
              <w:jc w:val="center"/>
            </w:pPr>
            <w:r>
              <w:rPr>
                <w:rFonts w:hint="eastAsia"/>
              </w:rPr>
              <w:t>学生姓名</w:t>
            </w:r>
          </w:p>
        </w:tc>
        <w:tc>
          <w:tcPr>
            <w:tcW w:w="1546" w:type="dxa"/>
            <w:vAlign w:val="center"/>
          </w:tcPr>
          <w:p>
            <w:pPr>
              <w:jc w:val="center"/>
            </w:pPr>
          </w:p>
        </w:tc>
        <w:tc>
          <w:tcPr>
            <w:tcW w:w="974" w:type="dxa"/>
            <w:vAlign w:val="center"/>
          </w:tcPr>
          <w:p>
            <w:pPr>
              <w:jc w:val="center"/>
            </w:pPr>
            <w:r>
              <w:rPr>
                <w:rFonts w:hint="eastAsia"/>
              </w:rPr>
              <w:t>学 号</w:t>
            </w:r>
          </w:p>
        </w:tc>
        <w:tc>
          <w:tcPr>
            <w:tcW w:w="1620" w:type="dxa"/>
            <w:vAlign w:val="center"/>
          </w:tcPr>
          <w:p>
            <w:pPr>
              <w:jc w:val="center"/>
            </w:pPr>
          </w:p>
        </w:tc>
        <w:tc>
          <w:tcPr>
            <w:tcW w:w="1080" w:type="dxa"/>
            <w:vAlign w:val="center"/>
          </w:tcPr>
          <w:p>
            <w:pPr>
              <w:jc w:val="center"/>
            </w:pPr>
            <w:r>
              <w:rPr>
                <w:rFonts w:hint="eastAsia"/>
              </w:rPr>
              <w:t>专业班级</w:t>
            </w:r>
          </w:p>
        </w:tc>
        <w:tc>
          <w:tcPr>
            <w:tcW w:w="2518" w:type="dxa"/>
            <w:vAlign w:val="center"/>
          </w:tcPr>
          <w:p>
            <w:pPr>
              <w:jc w:val="center"/>
              <w:rPr>
                <w:rFonts w:hint="eastAsia"/>
                <w:color w:val="000000"/>
              </w:rPr>
            </w:pPr>
          </w:p>
        </w:tc>
      </w:tr>
      <w:tr>
        <w:tblPrEx>
          <w:tblW w:w="0" w:type="auto"/>
          <w:tblInd w:w="0" w:type="dxa"/>
          <w:tblLayout w:type="fixed"/>
          <w:tblCellMar>
            <w:top w:w="0" w:type="dxa"/>
            <w:left w:w="108" w:type="dxa"/>
            <w:bottom w:w="0" w:type="dxa"/>
            <w:right w:w="108" w:type="dxa"/>
          </w:tblCellMar>
        </w:tblPrEx>
        <w:trPr>
          <w:trHeight w:val="441"/>
        </w:trPr>
        <w:tc>
          <w:tcPr>
            <w:tcW w:w="1548" w:type="dxa"/>
            <w:vAlign w:val="center"/>
          </w:tcPr>
          <w:p>
            <w:pPr>
              <w:jc w:val="center"/>
            </w:pPr>
            <w:r>
              <w:rPr>
                <w:rFonts w:hint="eastAsia"/>
              </w:rPr>
              <w:t>指导教师</w:t>
            </w:r>
          </w:p>
        </w:tc>
        <w:tc>
          <w:tcPr>
            <w:tcW w:w="1546" w:type="dxa"/>
            <w:vAlign w:val="center"/>
          </w:tcPr>
          <w:p>
            <w:pPr>
              <w:jc w:val="center"/>
              <w:rPr>
                <w:color w:val="000000"/>
                <w:szCs w:val="21"/>
              </w:rPr>
            </w:pPr>
          </w:p>
        </w:tc>
        <w:tc>
          <w:tcPr>
            <w:tcW w:w="974" w:type="dxa"/>
            <w:vAlign w:val="center"/>
          </w:tcPr>
          <w:p>
            <w:pPr>
              <w:jc w:val="center"/>
            </w:pPr>
            <w:r>
              <w:rPr>
                <w:rFonts w:hint="eastAsia"/>
              </w:rPr>
              <w:t>职 称</w:t>
            </w:r>
          </w:p>
        </w:tc>
        <w:tc>
          <w:tcPr>
            <w:tcW w:w="1620" w:type="dxa"/>
            <w:vAlign w:val="center"/>
          </w:tcPr>
          <w:p>
            <w:pPr>
              <w:jc w:val="center"/>
            </w:pPr>
          </w:p>
        </w:tc>
        <w:tc>
          <w:tcPr>
            <w:tcW w:w="1080" w:type="dxa"/>
            <w:vAlign w:val="center"/>
          </w:tcPr>
          <w:p>
            <w:pPr>
              <w:jc w:val="center"/>
            </w:pPr>
            <w:r>
              <w:rPr>
                <w:rFonts w:hint="eastAsia"/>
              </w:rPr>
              <w:t>单    位</w:t>
            </w:r>
          </w:p>
        </w:tc>
        <w:tc>
          <w:tcPr>
            <w:tcW w:w="2518" w:type="dxa"/>
            <w:vAlign w:val="center"/>
          </w:tcPr>
          <w:p>
            <w:pPr>
              <w:jc w:val="center"/>
            </w:pPr>
          </w:p>
        </w:tc>
      </w:tr>
      <w:tr>
        <w:tblPrEx>
          <w:tblW w:w="0" w:type="auto"/>
          <w:tblInd w:w="0" w:type="dxa"/>
          <w:tblLayout w:type="fixed"/>
          <w:tblCellMar>
            <w:top w:w="0" w:type="dxa"/>
            <w:left w:w="108" w:type="dxa"/>
            <w:bottom w:w="0" w:type="dxa"/>
            <w:right w:w="108" w:type="dxa"/>
          </w:tblCellMar>
        </w:tblPrEx>
        <w:trPr>
          <w:trHeight w:val="482"/>
        </w:trPr>
        <w:tc>
          <w:tcPr>
            <w:tcW w:w="1548" w:type="dxa"/>
            <w:vAlign w:val="center"/>
          </w:tcPr>
          <w:p>
            <w:pPr>
              <w:jc w:val="center"/>
            </w:pPr>
            <w:r>
              <w:rPr>
                <w:rFonts w:hint="eastAsia"/>
              </w:rPr>
              <w:t>课题性质</w:t>
            </w:r>
          </w:p>
        </w:tc>
        <w:tc>
          <w:tcPr>
            <w:tcW w:w="2520" w:type="dxa"/>
            <w:gridSpan w:val="2"/>
            <w:vAlign w:val="center"/>
          </w:tcPr>
          <w:p>
            <w:pPr>
              <w:jc w:val="center"/>
            </w:pPr>
            <w:r>
              <w:rPr>
                <w:rFonts w:hint="eastAsia"/>
              </w:rPr>
              <w:t>设计</w:t>
            </w:r>
            <w:r>
              <w:rPr>
                <w:rFonts w:ascii="宋体" w:hAnsi="宋体" w:hint="eastAsia"/>
              </w:rPr>
              <w:t>□</w:t>
            </w:r>
            <w:r>
              <w:t xml:space="preserve">   </w:t>
            </w:r>
            <w:r>
              <w:rPr>
                <w:rFonts w:hint="eastAsia"/>
              </w:rPr>
              <w:t>论文√</w:t>
            </w:r>
          </w:p>
        </w:tc>
        <w:tc>
          <w:tcPr>
            <w:tcW w:w="1620" w:type="dxa"/>
            <w:vAlign w:val="center"/>
          </w:tcPr>
          <w:p>
            <w:pPr>
              <w:jc w:val="center"/>
            </w:pPr>
            <w:r>
              <w:rPr>
                <w:rFonts w:hint="eastAsia"/>
              </w:rPr>
              <w:t>课题来源</w:t>
            </w:r>
          </w:p>
        </w:tc>
        <w:tc>
          <w:tcPr>
            <w:tcW w:w="3598" w:type="dxa"/>
            <w:gridSpan w:val="2"/>
            <w:vAlign w:val="center"/>
          </w:tcPr>
          <w:p>
            <w:pPr>
              <w:jc w:val="center"/>
            </w:pPr>
            <w:r>
              <w:rPr>
                <w:rFonts w:hint="eastAsia"/>
              </w:rPr>
              <w:t>科研</w:t>
            </w:r>
            <w:r>
              <w:rPr>
                <w:rFonts w:ascii="宋体" w:hAnsi="宋体" w:hint="eastAsia"/>
              </w:rPr>
              <w:t>□</w:t>
            </w:r>
            <w:r>
              <w:t xml:space="preserve">   </w:t>
            </w:r>
            <w:r>
              <w:rPr>
                <w:rFonts w:hint="eastAsia"/>
              </w:rPr>
              <w:t>教学</w:t>
            </w:r>
            <w:r>
              <w:rPr>
                <w:rFonts w:ascii="宋体" w:hAnsi="宋体" w:hint="eastAsia"/>
              </w:rPr>
              <w:t>√</w:t>
            </w:r>
            <w:r>
              <w:t xml:space="preserve">  </w:t>
            </w:r>
            <w:r>
              <w:rPr>
                <w:rFonts w:hint="eastAsia"/>
              </w:rPr>
              <w:t>生产</w:t>
            </w:r>
            <w:r>
              <w:rPr>
                <w:rFonts w:ascii="宋体" w:hAnsi="宋体" w:hint="eastAsia"/>
              </w:rPr>
              <w:t>□</w:t>
            </w:r>
            <w:r>
              <w:t xml:space="preserve">  </w:t>
            </w:r>
            <w:r>
              <w:rPr>
                <w:rFonts w:hint="eastAsia"/>
              </w:rPr>
              <w:t>其它</w:t>
            </w:r>
            <w:r>
              <w:rPr>
                <w:rFonts w:ascii="宋体" w:hAnsi="宋体" w:hint="eastAsia"/>
              </w:rPr>
              <w:t>□</w:t>
            </w:r>
          </w:p>
        </w:tc>
      </w:tr>
      <w:tr>
        <w:tblPrEx>
          <w:tblW w:w="0" w:type="auto"/>
          <w:tblInd w:w="0" w:type="dxa"/>
          <w:tblLayout w:type="fixed"/>
          <w:tblCellMar>
            <w:top w:w="0" w:type="dxa"/>
            <w:left w:w="108" w:type="dxa"/>
            <w:bottom w:w="0" w:type="dxa"/>
            <w:right w:w="108" w:type="dxa"/>
          </w:tblCellMar>
        </w:tblPrEx>
        <w:trPr>
          <w:trHeight w:val="561"/>
        </w:trPr>
        <w:tc>
          <w:tcPr>
            <w:tcW w:w="1548" w:type="dxa"/>
            <w:vAlign w:val="center"/>
          </w:tcPr>
          <w:p>
            <w:pPr>
              <w:jc w:val="center"/>
            </w:pPr>
            <w:r>
              <w:rPr>
                <w:rFonts w:hint="eastAsia"/>
              </w:rPr>
              <w:t>毕业论文题目</w:t>
            </w:r>
          </w:p>
        </w:tc>
        <w:tc>
          <w:tcPr>
            <w:tcW w:w="7738" w:type="dxa"/>
            <w:gridSpan w:val="5"/>
            <w:vAlign w:val="center"/>
          </w:tcPr>
          <w:p>
            <w:pPr>
              <w:jc w:val="center"/>
            </w:pPr>
            <w:r>
              <w:rPr>
                <w:rFonts w:hint="eastAsia"/>
                <w:b/>
                <w:bCs/>
              </w:rPr>
              <w:t>连锁超市存货管理内部控制问题研究—以</w:t>
            </w:r>
            <w:r>
              <w:rPr>
                <w:rFonts w:hint="eastAsia"/>
                <w:b/>
                <w:bCs/>
                <w:lang w:val="en-US" w:eastAsia="zh-CN"/>
              </w:rPr>
              <w:t>S超市</w:t>
            </w:r>
            <w:r>
              <w:rPr>
                <w:rFonts w:hint="eastAsia"/>
                <w:b/>
                <w:bCs/>
              </w:rPr>
              <w:t>为例</w:t>
            </w:r>
          </w:p>
        </w:tc>
      </w:tr>
      <w:tr>
        <w:tblPrEx>
          <w:tblW w:w="0" w:type="auto"/>
          <w:tblInd w:w="0" w:type="dxa"/>
          <w:tblLayout w:type="fixed"/>
          <w:tblCellMar>
            <w:top w:w="0" w:type="dxa"/>
            <w:left w:w="108" w:type="dxa"/>
            <w:bottom w:w="0" w:type="dxa"/>
            <w:right w:w="108" w:type="dxa"/>
          </w:tblCellMar>
        </w:tblPrEx>
        <w:tc>
          <w:tcPr>
            <w:tcW w:w="9286" w:type="dxa"/>
            <w:gridSpan w:val="6"/>
          </w:tcPr>
          <w:p>
            <w:pPr>
              <w:spacing w:line="360" w:lineRule="exact"/>
              <w:rPr>
                <w:b/>
                <w:bCs/>
                <w:color w:val="FF0000"/>
                <w:sz w:val="18"/>
                <w:szCs w:val="18"/>
              </w:rPr>
            </w:pPr>
            <w:r>
              <w:rPr>
                <w:rFonts w:hint="eastAsia"/>
                <w:b/>
                <w:bCs/>
              </w:rPr>
              <w:t>开题报告（阐述课题的目的、意义、研究现状、研究内容、研究方案、进度安排、预期结果、参考文献等）</w:t>
            </w:r>
          </w:p>
          <w:p>
            <w:pPr>
              <w:spacing w:line="480" w:lineRule="auto"/>
              <w:rPr>
                <w:rFonts w:hint="eastAsia"/>
                <w:b/>
                <w:bCs/>
              </w:rPr>
            </w:pPr>
            <w:r>
              <w:rPr>
                <w:rFonts w:hint="eastAsia"/>
                <w:b/>
                <w:bCs/>
              </w:rPr>
              <w:t>一、论文研究的目的、意义</w:t>
            </w:r>
          </w:p>
          <w:p>
            <w:pPr>
              <w:spacing w:line="360" w:lineRule="exact"/>
              <w:rPr>
                <w:rFonts w:hint="eastAsia"/>
                <w:bCs/>
              </w:rPr>
            </w:pPr>
            <w:r>
              <w:rPr>
                <w:rFonts w:hint="eastAsia"/>
                <w:b/>
                <w:bCs/>
              </w:rPr>
              <w:t xml:space="preserve">  </w:t>
            </w:r>
            <w:r>
              <w:rPr>
                <w:bCs/>
              </w:rPr>
              <w:t xml:space="preserve"> </w:t>
            </w:r>
            <w:r>
              <w:rPr>
                <w:rFonts w:hint="eastAsia"/>
                <w:bCs/>
              </w:rPr>
              <w:t xml:space="preserve">  </w:t>
            </w:r>
            <w:r>
              <w:rPr>
                <w:bCs/>
              </w:rPr>
              <w:t>1、</w:t>
            </w:r>
            <w:r>
              <w:rPr>
                <w:rFonts w:hint="eastAsia"/>
                <w:bCs/>
              </w:rPr>
              <w:t>研究目的：本文以广缘超市的存货成本内部控制现状为切入点，就其在存货核算、存货成本信息管理及各环节内部控制现状等方面进行了较为详细的分析，针对企业存在的一些存货成本核算不力，成本控制意识缺乏等现象对连锁超市完善存货成本控制提出相关的改进建议，目的是改善其存货成本管理和物流配送水平，防范库存积压导致的资金风险，提高企业盈利能力。</w:t>
            </w:r>
          </w:p>
          <w:p>
            <w:pPr>
              <w:spacing w:line="360" w:lineRule="exact"/>
              <w:rPr>
                <w:rFonts w:hint="eastAsia"/>
                <w:bCs/>
              </w:rPr>
            </w:pPr>
            <w:r>
              <w:rPr>
                <w:rFonts w:hint="eastAsia"/>
                <w:bCs/>
              </w:rPr>
              <w:t xml:space="preserve">  </w:t>
            </w:r>
            <w:r>
              <w:rPr>
                <w:bCs/>
              </w:rPr>
              <w:t xml:space="preserve"> </w:t>
            </w:r>
            <w:r>
              <w:rPr>
                <w:rFonts w:hint="eastAsia"/>
                <w:bCs/>
              </w:rPr>
              <w:t xml:space="preserve">  </w:t>
            </w:r>
            <w:r>
              <w:rPr>
                <w:bCs/>
              </w:rPr>
              <w:t>2、</w:t>
            </w:r>
            <w:r>
              <w:rPr>
                <w:rFonts w:hint="eastAsia"/>
                <w:bCs/>
              </w:rPr>
              <w:t>研究意义：</w:t>
            </w:r>
          </w:p>
          <w:p>
            <w:pPr>
              <w:spacing w:line="360" w:lineRule="exact"/>
              <w:ind w:firstLine="420" w:firstLineChars="200"/>
              <w:rPr>
                <w:rFonts w:hint="eastAsia"/>
                <w:bCs/>
              </w:rPr>
            </w:pPr>
            <w:r>
              <w:rPr>
                <w:bCs/>
              </w:rPr>
              <w:t>（1）</w:t>
            </w:r>
            <w:r>
              <w:rPr>
                <w:rFonts w:hint="eastAsia"/>
                <w:bCs/>
              </w:rPr>
              <w:t xml:space="preserve">理论意义：本文的研究结论可以对今后连锁超市存货内部控制方面的研究起到借鉴作用，一个超市的存货量的多少，反应了其资产运作效率，关系到企业的生存和发展，加强存货管理与控制具有重大的意义。 </w:t>
            </w:r>
          </w:p>
          <w:p>
            <w:pPr>
              <w:spacing w:line="360" w:lineRule="exact"/>
              <w:rPr>
                <w:rFonts w:hint="eastAsia"/>
                <w:bCs/>
              </w:rPr>
            </w:pPr>
            <w:r>
              <w:rPr>
                <w:rFonts w:hint="eastAsia"/>
                <w:bCs/>
              </w:rPr>
              <w:t xml:space="preserve"> </w:t>
            </w:r>
            <w:r>
              <w:rPr>
                <w:bCs/>
              </w:rPr>
              <w:t xml:space="preserve"> </w:t>
            </w:r>
            <w:r>
              <w:rPr>
                <w:rFonts w:hint="eastAsia"/>
                <w:bCs/>
              </w:rPr>
              <w:t xml:space="preserve">  </w:t>
            </w:r>
            <w:r>
              <w:rPr>
                <w:bCs/>
              </w:rPr>
              <w:t>（2）</w:t>
            </w:r>
            <w:r>
              <w:rPr>
                <w:rFonts w:hint="eastAsia"/>
                <w:bCs/>
              </w:rPr>
              <w:t>现实意义：从实践上来看，本文以XX连锁超市为例，从多角度分析企业当前发展的基本情况和出现的问题，着重对其存货管理内部控制现状进行分析，并找到有效的解决对策，有针对性的降低企业的存货成本。本文旨在分析的基础上提出XX公司存货成本降低的实现途径，这对其在未来存货成本内部控制的实现中，体现出更加重要的作用和意义。</w:t>
            </w:r>
          </w:p>
          <w:p>
            <w:pPr>
              <w:spacing w:line="480" w:lineRule="auto"/>
              <w:rPr>
                <w:rFonts w:hint="eastAsia"/>
                <w:b/>
                <w:bCs/>
              </w:rPr>
            </w:pPr>
            <w:r>
              <w:rPr>
                <w:rFonts w:hint="eastAsia"/>
                <w:b/>
                <w:bCs/>
              </w:rPr>
              <w:t>二、研究现状</w:t>
            </w:r>
          </w:p>
          <w:p>
            <w:pPr>
              <w:spacing w:line="360" w:lineRule="exact"/>
              <w:rPr>
                <w:rFonts w:hint="eastAsia"/>
                <w:bCs/>
              </w:rPr>
            </w:pPr>
            <w:r>
              <w:rPr>
                <w:rFonts w:hint="eastAsia"/>
                <w:bCs/>
              </w:rPr>
              <w:t xml:space="preserve"> </w:t>
            </w:r>
            <w:r>
              <w:rPr>
                <w:bCs/>
              </w:rPr>
              <w:t xml:space="preserve">  </w:t>
            </w:r>
            <w:r>
              <w:rPr>
                <w:rFonts w:hint="eastAsia"/>
                <w:bCs/>
              </w:rPr>
              <w:t xml:space="preserve">  </w:t>
            </w:r>
            <w:r>
              <w:rPr>
                <w:bCs/>
              </w:rPr>
              <w:t>1、</w:t>
            </w:r>
            <w:r>
              <w:rPr>
                <w:rFonts w:hint="eastAsia"/>
                <w:bCs/>
              </w:rPr>
              <w:t>国外研究现状：国外的存货成本控制理论可以追溯到</w:t>
            </w:r>
            <w:r>
              <w:rPr>
                <w:bCs/>
              </w:rPr>
              <w:t>20</w:t>
            </w:r>
            <w:r>
              <w:rPr>
                <w:rFonts w:hint="eastAsia"/>
                <w:bCs/>
              </w:rPr>
              <w:t>世纪初，受第二次工业革命的影响，为适应西方资本主义的发展模式，早期的国外学者主要集中于存货管理方法的研究上，主要包括早期</w:t>
            </w:r>
            <w:r>
              <w:rPr>
                <w:bCs/>
              </w:rPr>
              <w:t>EOQ</w:t>
            </w:r>
            <w:r>
              <w:rPr>
                <w:rFonts w:hint="eastAsia"/>
                <w:bCs/>
              </w:rPr>
              <w:t>经济模型以及</w:t>
            </w:r>
            <w:r>
              <w:rPr>
                <w:bCs/>
              </w:rPr>
              <w:t>20</w:t>
            </w:r>
            <w:r>
              <w:rPr>
                <w:rFonts w:hint="eastAsia"/>
                <w:bCs/>
              </w:rPr>
              <w:t>世纪</w:t>
            </w:r>
            <w:r>
              <w:rPr>
                <w:bCs/>
              </w:rPr>
              <w:t>60</w:t>
            </w:r>
            <w:r>
              <w:rPr>
                <w:rFonts w:hint="eastAsia"/>
                <w:bCs/>
              </w:rPr>
              <w:t>年代日本丰田公司提出的</w:t>
            </w:r>
            <w:r>
              <w:rPr>
                <w:bCs/>
              </w:rPr>
              <w:t>JIT</w:t>
            </w:r>
            <w:r>
              <w:rPr>
                <w:rFonts w:hint="eastAsia"/>
                <w:bCs/>
              </w:rPr>
              <w:t>准时生产的零库存生产，为存货成本控制理论的研究提供了指导作用；到了现阶段，国外学者的研究主要集中于成本控制和不同行业存货成本控制理论的应用方向，更关注企业存货管理的水平，在收益与成本中找到最佳的平衡点。例如：</w:t>
            </w:r>
            <w:r>
              <w:rPr>
                <w:bCs/>
              </w:rPr>
              <w:t>Chukwuma Obara</w:t>
            </w:r>
            <w:r>
              <w:rPr>
                <w:rFonts w:hint="eastAsia"/>
                <w:bCs/>
              </w:rPr>
              <w:t>（</w:t>
            </w:r>
            <w:r>
              <w:rPr>
                <w:bCs/>
              </w:rPr>
              <w:t>2014</w:t>
            </w:r>
            <w:r>
              <w:rPr>
                <w:rFonts w:hint="eastAsia"/>
                <w:bCs/>
              </w:rPr>
              <w:t>）在成本控制上，在强调了以泰罗为代表的科学管理方法基础上，提出标准成本管理，主要是注重事前防范，根据事前对产品成本数据的汇总分析，计算出产品成本，在生产之前将成本予以一定标准，来达到控制成本的目的。</w:t>
            </w:r>
            <w:r>
              <w:rPr>
                <w:bCs/>
              </w:rPr>
              <w:t>Taofeng</w:t>
            </w:r>
            <w:r>
              <w:rPr>
                <w:rFonts w:hint="eastAsia"/>
                <w:bCs/>
              </w:rPr>
              <w:t xml:space="preserve"> </w:t>
            </w:r>
            <w:r>
              <w:rPr>
                <w:bCs/>
              </w:rPr>
              <w:t>Ye</w:t>
            </w:r>
            <w:r>
              <w:rPr>
                <w:rFonts w:hint="eastAsia"/>
                <w:bCs/>
              </w:rPr>
              <w:t>（</w:t>
            </w:r>
            <w:r>
              <w:rPr>
                <w:bCs/>
              </w:rPr>
              <w:t>2014</w:t>
            </w:r>
            <w:r>
              <w:rPr>
                <w:rFonts w:hint="eastAsia"/>
                <w:bCs/>
              </w:rPr>
              <w:t>）认为企业在关注存货成本控制问题时需要水平和垂直相互替代，即内外部的平衡。通过集中式存货管理、所有品牌只有一个决策者和分散存货管理、每个品牌都有一个独立决策者这两个不同条件下的比较发现其订单数量均处于最好的水平。</w:t>
            </w:r>
          </w:p>
          <w:p>
            <w:pPr>
              <w:spacing w:after="0" w:line="360" w:lineRule="exact"/>
              <w:rPr>
                <w:bCs/>
              </w:rPr>
            </w:pPr>
            <w:r>
              <w:rPr>
                <w:bCs/>
              </w:rPr>
              <w:t xml:space="preserve">   </w:t>
            </w:r>
            <w:r>
              <w:rPr>
                <w:rFonts w:hint="eastAsia"/>
                <w:bCs/>
              </w:rPr>
              <w:t xml:space="preserve">  </w:t>
            </w:r>
            <w:r>
              <w:rPr>
                <w:bCs/>
              </w:rPr>
              <w:t>2、</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https://d.book118.com/506103204205010031</w:t>
        </w:r>
      </w:hyperlink>
    </w:p>
    <w:p/>
    <w:sectPr>
      <w:footerReference w:type="default" r:id="rId11"/>
      <w:type w:val="nextPage"/>
      <w:pgSz w:w="11906" w:h="16838"/>
      <w:pgMar w:top="1418" w:right="1134" w:bottom="1418" w:left="1418" w:header="851" w:footer="851" w:gutter="0"/>
      <w:pgNumType w:start="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modern"/>
    <w:pitch w:val="default"/>
    <w:sig w:usb0="00000001" w:usb1="080E0000" w:usb2="00000000" w:usb3="00000000" w:csb0="00040000" w:csb1="00000000"/>
  </w:font>
  <w:font w:name="方正仿宋简体">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Lucida Grande">
    <w:altName w:val="Courier New"/>
    <w:panose1 w:val="00000000000000000000"/>
    <w:charset w:val="00"/>
    <w:family w:val="auto"/>
    <w:pitch w:val="default"/>
    <w:sig w:usb0="00000000" w:usb1="00000000" w:usb2="00000000" w:usb3="00000000" w:csb0="00040001" w:csb1="00000000"/>
  </w:font>
  <w:font w:name="PMingLiU">
    <w:panose1 w:val="02020500000000000000"/>
    <w:charset w:val="88"/>
    <w:family w:val="auto"/>
    <w:pitch w:val="default"/>
    <w:sig w:usb0="A00002FF" w:usb1="28CFFCFA" w:usb2="00000016" w:usb3="00000000" w:csb0="00100001"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left" w:pos="735"/>
        <w:tab w:val="clear" w:pos="4153"/>
        <w:tab w:val="clear" w:pos="8306"/>
      </w:tabs>
    </w:pPr>
    <w:sdt>
      <w:sdtPr>
        <w:id w:val="9859214"/>
        <w:docPartObj>
          <w:docPartGallery w:val="AutoText"/>
        </w:docPartObj>
      </w:sdtPr>
      <w:sdtContent/>
    </w:sdt>
    <w:r>
      <w:tab/>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left" w:pos="735"/>
        <w:tab w:val="clear" w:pos="4153"/>
        <w:tab w:val="clear" w:pos="8306"/>
      </w:tabs>
    </w:pPr>
    <w:sdt>
      <w:sdtPr>
        <w:id w:val="609343730"/>
        <w:docPartObj>
          <w:docPartGallery w:val="AutoText"/>
        </w:docPartObj>
      </w:sdtPr>
      <w:sdtContent/>
    </w:sdt>
    <w:r>
      <w:tab/>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left" w:pos="735"/>
        <w:tab w:val="clear" w:pos="4153"/>
        <w:tab w:val="clear" w:pos="8306"/>
      </w:tabs>
    </w:pPr>
    <w:sdt>
      <w:sdtPr>
        <w:id w:val="154209974"/>
        <w:docPartObj>
          <w:docPartGallery w:val="AutoText"/>
        </w:docPartObj>
      </w:sdtPr>
      <w:sdtContent/>
    </w:sdt>
    <w:r>
      <w:tab/>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left" w:pos="735"/>
        <w:tab w:val="clear" w:pos="4153"/>
        <w:tab w:val="clear" w:pos="8306"/>
      </w:tabs>
    </w:pPr>
    <w:sdt>
      <w:sdtPr>
        <w:id w:val="1092309654"/>
        <w:docPartObj>
          <w:docPartGallery w:val="AutoText"/>
        </w:docPartObj>
      </w:sdtPr>
      <w:sdtContent/>
    </w:sdt>
    <w:r>
      <w:tab/>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left" w:pos="735"/>
        <w:tab w:val="clear" w:pos="4153"/>
        <w:tab w:val="clear" w:pos="8306"/>
      </w:tabs>
    </w:pPr>
    <w:sdt>
      <w:sdtPr>
        <w:id w:val="710243315"/>
        <w:docPartObj>
          <w:docPartGallery w:val="AutoText"/>
        </w:docPartObj>
      </w:sdtPr>
      <w:sdtContent/>
    </w:sdt>
    <w:r>
      <w:tab/>
    </w:r>
  </w:p>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97D0E88"/>
    <w:multiLevelType w:val="multilevel"/>
    <w:tmpl w:val="797D0E88"/>
    <w:lvl w:ilvl="0">
      <w:start w:val="1"/>
      <w:numFmt w:val="decimal"/>
      <w:lvlText w:val="%1．"/>
      <w:lvlJc w:val="left"/>
      <w:pPr>
        <w:tabs>
          <w:tab w:val="left" w:pos="360"/>
        </w:tabs>
        <w:ind w:left="360" w:hanging="360"/>
      </w:pPr>
      <w:rPr>
        <w:rFonts w:hint="default"/>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047B"/>
    <w:rsid w:val="000227DB"/>
    <w:rsid w:val="0002773A"/>
    <w:rsid w:val="00027AA5"/>
    <w:rsid w:val="0003242B"/>
    <w:rsid w:val="00032D35"/>
    <w:rsid w:val="00043AFD"/>
    <w:rsid w:val="0004407A"/>
    <w:rsid w:val="000512C2"/>
    <w:rsid w:val="00056D47"/>
    <w:rsid w:val="000604D1"/>
    <w:rsid w:val="000706AB"/>
    <w:rsid w:val="000720F5"/>
    <w:rsid w:val="00083195"/>
    <w:rsid w:val="000837A2"/>
    <w:rsid w:val="00086F6B"/>
    <w:rsid w:val="00087208"/>
    <w:rsid w:val="0009449C"/>
    <w:rsid w:val="00097228"/>
    <w:rsid w:val="000A2ABE"/>
    <w:rsid w:val="000C0557"/>
    <w:rsid w:val="000D1234"/>
    <w:rsid w:val="000D182D"/>
    <w:rsid w:val="000D1D64"/>
    <w:rsid w:val="000D4223"/>
    <w:rsid w:val="000D4ABB"/>
    <w:rsid w:val="000F07C8"/>
    <w:rsid w:val="00105E4A"/>
    <w:rsid w:val="00113686"/>
    <w:rsid w:val="0011390B"/>
    <w:rsid w:val="00114241"/>
    <w:rsid w:val="00117DB0"/>
    <w:rsid w:val="0012559E"/>
    <w:rsid w:val="00126DC1"/>
    <w:rsid w:val="00134E56"/>
    <w:rsid w:val="001556D3"/>
    <w:rsid w:val="001663E6"/>
    <w:rsid w:val="001669F1"/>
    <w:rsid w:val="00197D67"/>
    <w:rsid w:val="001A2376"/>
    <w:rsid w:val="001B2591"/>
    <w:rsid w:val="001C4FD7"/>
    <w:rsid w:val="001E0491"/>
    <w:rsid w:val="001F3AAF"/>
    <w:rsid w:val="00201184"/>
    <w:rsid w:val="0020286C"/>
    <w:rsid w:val="00203DC4"/>
    <w:rsid w:val="00210327"/>
    <w:rsid w:val="002115BF"/>
    <w:rsid w:val="00215FD9"/>
    <w:rsid w:val="00217515"/>
    <w:rsid w:val="00217934"/>
    <w:rsid w:val="00226814"/>
    <w:rsid w:val="002314B1"/>
    <w:rsid w:val="00234350"/>
    <w:rsid w:val="002459ED"/>
    <w:rsid w:val="00247352"/>
    <w:rsid w:val="00251E09"/>
    <w:rsid w:val="00261ED1"/>
    <w:rsid w:val="0026520D"/>
    <w:rsid w:val="00271930"/>
    <w:rsid w:val="0027528A"/>
    <w:rsid w:val="00276CA5"/>
    <w:rsid w:val="0028722D"/>
    <w:rsid w:val="00297C06"/>
    <w:rsid w:val="002B6BF7"/>
    <w:rsid w:val="002C14E7"/>
    <w:rsid w:val="002D0AA5"/>
    <w:rsid w:val="002E195E"/>
    <w:rsid w:val="002E67DE"/>
    <w:rsid w:val="002F1CA3"/>
    <w:rsid w:val="002F2436"/>
    <w:rsid w:val="003032A8"/>
    <w:rsid w:val="003066DE"/>
    <w:rsid w:val="00307EB3"/>
    <w:rsid w:val="003102AB"/>
    <w:rsid w:val="003400DF"/>
    <w:rsid w:val="003467AD"/>
    <w:rsid w:val="00353109"/>
    <w:rsid w:val="00374004"/>
    <w:rsid w:val="003756AB"/>
    <w:rsid w:val="00385EC9"/>
    <w:rsid w:val="003C148D"/>
    <w:rsid w:val="003C2004"/>
    <w:rsid w:val="003D342A"/>
    <w:rsid w:val="003E08FA"/>
    <w:rsid w:val="003F0CF0"/>
    <w:rsid w:val="003F3980"/>
    <w:rsid w:val="00401F6F"/>
    <w:rsid w:val="00410668"/>
    <w:rsid w:val="00411257"/>
    <w:rsid w:val="0041455F"/>
    <w:rsid w:val="00421205"/>
    <w:rsid w:val="004229B5"/>
    <w:rsid w:val="004302C2"/>
    <w:rsid w:val="0043349F"/>
    <w:rsid w:val="00434967"/>
    <w:rsid w:val="00436DC3"/>
    <w:rsid w:val="004540C8"/>
    <w:rsid w:val="004610F3"/>
    <w:rsid w:val="00463145"/>
    <w:rsid w:val="00464ABE"/>
    <w:rsid w:val="004760C6"/>
    <w:rsid w:val="004A6301"/>
    <w:rsid w:val="004B1F95"/>
    <w:rsid w:val="004B2054"/>
    <w:rsid w:val="004B2D43"/>
    <w:rsid w:val="004B38A9"/>
    <w:rsid w:val="004B707D"/>
    <w:rsid w:val="004C70DE"/>
    <w:rsid w:val="004D615A"/>
    <w:rsid w:val="004E31BD"/>
    <w:rsid w:val="005032DE"/>
    <w:rsid w:val="00503402"/>
    <w:rsid w:val="00510D40"/>
    <w:rsid w:val="005141A2"/>
    <w:rsid w:val="00522501"/>
    <w:rsid w:val="00551328"/>
    <w:rsid w:val="0055588D"/>
    <w:rsid w:val="00571195"/>
    <w:rsid w:val="00573969"/>
    <w:rsid w:val="005968DB"/>
    <w:rsid w:val="005A0AE5"/>
    <w:rsid w:val="005A1202"/>
    <w:rsid w:val="005A3F3E"/>
    <w:rsid w:val="005A62FD"/>
    <w:rsid w:val="005B09DB"/>
    <w:rsid w:val="005B5671"/>
    <w:rsid w:val="005C1066"/>
    <w:rsid w:val="005C6851"/>
    <w:rsid w:val="005C7C16"/>
    <w:rsid w:val="005E0CDF"/>
    <w:rsid w:val="005E71C5"/>
    <w:rsid w:val="00601805"/>
    <w:rsid w:val="006176FE"/>
    <w:rsid w:val="00643D50"/>
    <w:rsid w:val="00645834"/>
    <w:rsid w:val="00651F2F"/>
    <w:rsid w:val="006536C7"/>
    <w:rsid w:val="00657FDF"/>
    <w:rsid w:val="0068206A"/>
    <w:rsid w:val="006A1BE4"/>
    <w:rsid w:val="006A790A"/>
    <w:rsid w:val="006B1341"/>
    <w:rsid w:val="006C28A6"/>
    <w:rsid w:val="006D7541"/>
    <w:rsid w:val="00704626"/>
    <w:rsid w:val="0071398D"/>
    <w:rsid w:val="00716734"/>
    <w:rsid w:val="007435C7"/>
    <w:rsid w:val="007671A6"/>
    <w:rsid w:val="00777BFA"/>
    <w:rsid w:val="00797446"/>
    <w:rsid w:val="007A4320"/>
    <w:rsid w:val="007A4354"/>
    <w:rsid w:val="007A52C8"/>
    <w:rsid w:val="007A7EAD"/>
    <w:rsid w:val="007A7FAB"/>
    <w:rsid w:val="007B1C11"/>
    <w:rsid w:val="007B322A"/>
    <w:rsid w:val="007D6EE6"/>
    <w:rsid w:val="007E0A67"/>
    <w:rsid w:val="007F5950"/>
    <w:rsid w:val="0080360F"/>
    <w:rsid w:val="0081007D"/>
    <w:rsid w:val="00830054"/>
    <w:rsid w:val="00833F88"/>
    <w:rsid w:val="00843340"/>
    <w:rsid w:val="008728BC"/>
    <w:rsid w:val="00876AC9"/>
    <w:rsid w:val="00890831"/>
    <w:rsid w:val="008A43F0"/>
    <w:rsid w:val="008C025C"/>
    <w:rsid w:val="008D599A"/>
    <w:rsid w:val="008F6816"/>
    <w:rsid w:val="00900EDA"/>
    <w:rsid w:val="009023F4"/>
    <w:rsid w:val="00905E9A"/>
    <w:rsid w:val="0090692E"/>
    <w:rsid w:val="00917A9A"/>
    <w:rsid w:val="00924121"/>
    <w:rsid w:val="009405EA"/>
    <w:rsid w:val="00944D19"/>
    <w:rsid w:val="00947148"/>
    <w:rsid w:val="00956831"/>
    <w:rsid w:val="00963D4D"/>
    <w:rsid w:val="00977DBC"/>
    <w:rsid w:val="00982E96"/>
    <w:rsid w:val="009A5264"/>
    <w:rsid w:val="009C716C"/>
    <w:rsid w:val="009C73B1"/>
    <w:rsid w:val="009C7804"/>
    <w:rsid w:val="009E446C"/>
    <w:rsid w:val="009F078C"/>
    <w:rsid w:val="00A108EC"/>
    <w:rsid w:val="00A12B95"/>
    <w:rsid w:val="00A1538D"/>
    <w:rsid w:val="00A237C3"/>
    <w:rsid w:val="00A4054D"/>
    <w:rsid w:val="00A463F1"/>
    <w:rsid w:val="00A52E56"/>
    <w:rsid w:val="00A53363"/>
    <w:rsid w:val="00A579BB"/>
    <w:rsid w:val="00A613E3"/>
    <w:rsid w:val="00A70C7A"/>
    <w:rsid w:val="00A90EB6"/>
    <w:rsid w:val="00AA0E9A"/>
    <w:rsid w:val="00AB3703"/>
    <w:rsid w:val="00AB56D4"/>
    <w:rsid w:val="00AD032F"/>
    <w:rsid w:val="00AD21BA"/>
    <w:rsid w:val="00AE4A21"/>
    <w:rsid w:val="00AE6F1E"/>
    <w:rsid w:val="00AF1DDE"/>
    <w:rsid w:val="00AF6A83"/>
    <w:rsid w:val="00B04EE4"/>
    <w:rsid w:val="00B121F5"/>
    <w:rsid w:val="00B12585"/>
    <w:rsid w:val="00B1411E"/>
    <w:rsid w:val="00B160D6"/>
    <w:rsid w:val="00B21287"/>
    <w:rsid w:val="00B24797"/>
    <w:rsid w:val="00B24A69"/>
    <w:rsid w:val="00B41D72"/>
    <w:rsid w:val="00B44049"/>
    <w:rsid w:val="00B526FE"/>
    <w:rsid w:val="00B52D14"/>
    <w:rsid w:val="00B65B24"/>
    <w:rsid w:val="00B70AEC"/>
    <w:rsid w:val="00B803C4"/>
    <w:rsid w:val="00B82C60"/>
    <w:rsid w:val="00B876E1"/>
    <w:rsid w:val="00B87C6C"/>
    <w:rsid w:val="00B9361F"/>
    <w:rsid w:val="00BB16FA"/>
    <w:rsid w:val="00BB202F"/>
    <w:rsid w:val="00BB428C"/>
    <w:rsid w:val="00BC7132"/>
    <w:rsid w:val="00BC75A9"/>
    <w:rsid w:val="00BD7A42"/>
    <w:rsid w:val="00BE1EFF"/>
    <w:rsid w:val="00BF4487"/>
    <w:rsid w:val="00C121F7"/>
    <w:rsid w:val="00C1260A"/>
    <w:rsid w:val="00C14F2F"/>
    <w:rsid w:val="00C212F3"/>
    <w:rsid w:val="00C21496"/>
    <w:rsid w:val="00C24C9F"/>
    <w:rsid w:val="00C3242D"/>
    <w:rsid w:val="00C608A8"/>
    <w:rsid w:val="00C75B13"/>
    <w:rsid w:val="00C7634F"/>
    <w:rsid w:val="00C7637E"/>
    <w:rsid w:val="00CA0792"/>
    <w:rsid w:val="00CA7E4E"/>
    <w:rsid w:val="00CB5DD7"/>
    <w:rsid w:val="00CC072B"/>
    <w:rsid w:val="00CC3FD8"/>
    <w:rsid w:val="00CC6666"/>
    <w:rsid w:val="00CC67B5"/>
    <w:rsid w:val="00D0132C"/>
    <w:rsid w:val="00D04A68"/>
    <w:rsid w:val="00D154FE"/>
    <w:rsid w:val="00D23465"/>
    <w:rsid w:val="00D35668"/>
    <w:rsid w:val="00D54007"/>
    <w:rsid w:val="00D707CB"/>
    <w:rsid w:val="00D7082F"/>
    <w:rsid w:val="00D80A2D"/>
    <w:rsid w:val="00D81046"/>
    <w:rsid w:val="00D87C41"/>
    <w:rsid w:val="00D90F7E"/>
    <w:rsid w:val="00D932A0"/>
    <w:rsid w:val="00D971BE"/>
    <w:rsid w:val="00DA1F83"/>
    <w:rsid w:val="00DA6B7E"/>
    <w:rsid w:val="00DA7344"/>
    <w:rsid w:val="00DC2AC7"/>
    <w:rsid w:val="00DC38FA"/>
    <w:rsid w:val="00DC60FE"/>
    <w:rsid w:val="00DD6394"/>
    <w:rsid w:val="00DE1636"/>
    <w:rsid w:val="00E02A8C"/>
    <w:rsid w:val="00E02E67"/>
    <w:rsid w:val="00E12BA2"/>
    <w:rsid w:val="00E13193"/>
    <w:rsid w:val="00E131AC"/>
    <w:rsid w:val="00E14A5B"/>
    <w:rsid w:val="00E153CF"/>
    <w:rsid w:val="00E16784"/>
    <w:rsid w:val="00E24A97"/>
    <w:rsid w:val="00E339B5"/>
    <w:rsid w:val="00E52098"/>
    <w:rsid w:val="00E56C30"/>
    <w:rsid w:val="00E6574A"/>
    <w:rsid w:val="00E66149"/>
    <w:rsid w:val="00E66870"/>
    <w:rsid w:val="00E82952"/>
    <w:rsid w:val="00E90204"/>
    <w:rsid w:val="00E961C6"/>
    <w:rsid w:val="00EA1547"/>
    <w:rsid w:val="00EA5425"/>
    <w:rsid w:val="00EB72F8"/>
    <w:rsid w:val="00EB7BB3"/>
    <w:rsid w:val="00EC0991"/>
    <w:rsid w:val="00EC5851"/>
    <w:rsid w:val="00EC5BFB"/>
    <w:rsid w:val="00EC71A1"/>
    <w:rsid w:val="00EC7FA2"/>
    <w:rsid w:val="00EF2805"/>
    <w:rsid w:val="00EF3872"/>
    <w:rsid w:val="00F16B08"/>
    <w:rsid w:val="00F25429"/>
    <w:rsid w:val="00F2557F"/>
    <w:rsid w:val="00F268B4"/>
    <w:rsid w:val="00F325C6"/>
    <w:rsid w:val="00F33CC7"/>
    <w:rsid w:val="00F41B82"/>
    <w:rsid w:val="00F47093"/>
    <w:rsid w:val="00F538B5"/>
    <w:rsid w:val="00F57834"/>
    <w:rsid w:val="00F62299"/>
    <w:rsid w:val="00F66061"/>
    <w:rsid w:val="00F734F3"/>
    <w:rsid w:val="00F80C3D"/>
    <w:rsid w:val="00F92ED8"/>
    <w:rsid w:val="00F93990"/>
    <w:rsid w:val="00F96E1B"/>
    <w:rsid w:val="00F97319"/>
    <w:rsid w:val="00FA468F"/>
    <w:rsid w:val="00FA676B"/>
    <w:rsid w:val="00FC1D43"/>
    <w:rsid w:val="00FD0949"/>
    <w:rsid w:val="00FD15D1"/>
    <w:rsid w:val="00FD5E4A"/>
    <w:rsid w:val="0E5620B7"/>
    <w:rsid w:val="3E651893"/>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lang w:val="en-US" w:eastAsia="zh-CN" w:bidi="ar-SA"/>
    </w:rPr>
  </w:style>
  <w:style w:type="character" w:default="1" w:styleId="DefaultParagraphFont">
    <w:name w:val="Default Paragraph Font"/>
    <w:qFormat/>
  </w:style>
  <w:style w:type="table" w:default="1" w:styleId="TableNormal">
    <w:name w:val="Normal Table"/>
    <w:autoRedefine/>
    <w:semiHidden/>
    <w:tblPr>
      <w:tblCellMar>
        <w:top w:w="0" w:type="dxa"/>
        <w:left w:w="108" w:type="dxa"/>
        <w:bottom w:w="0" w:type="dxa"/>
        <w:right w:w="108" w:type="dxa"/>
      </w:tblCellMar>
    </w:tblPr>
  </w:style>
  <w:style w:type="paragraph" w:styleId="TOC3">
    <w:name w:val="toc 3"/>
    <w:basedOn w:val="Normal"/>
    <w:next w:val="Normal"/>
    <w:pPr>
      <w:ind w:left="840" w:leftChars="400"/>
    </w:pPr>
  </w:style>
  <w:style w:type="paragraph" w:styleId="PlainText">
    <w:name w:val="Plain Text"/>
    <w:basedOn w:val="Normal"/>
    <w:rPr>
      <w:rFonts w:ascii="宋体" w:hAnsi="Courier New"/>
    </w:rPr>
  </w:style>
  <w:style w:type="paragraph" w:styleId="Date">
    <w:name w:val="Date"/>
    <w:basedOn w:val="Normal"/>
    <w:next w:val="Normal"/>
    <w:pPr>
      <w:ind w:left="100" w:leftChars="2500"/>
    </w:pPr>
  </w:style>
  <w:style w:type="paragraph" w:styleId="BalloonText">
    <w:name w:val="Balloon Text"/>
    <w:basedOn w:val="Normal"/>
    <w:link w:val="Char1"/>
    <w:rPr>
      <w:sz w:val="18"/>
      <w:szCs w:val="18"/>
    </w:rPr>
  </w:style>
  <w:style w:type="paragraph" w:styleId="Footer">
    <w:name w:val="footer"/>
    <w:basedOn w:val="Normal"/>
    <w:link w:val="Char0"/>
    <w:uiPriority w:val="99"/>
    <w:pPr>
      <w:tabs>
        <w:tab w:val="center" w:pos="4153"/>
        <w:tab w:val="right" w:pos="8306"/>
      </w:tabs>
      <w:snapToGrid w:val="0"/>
      <w:jc w:val="left"/>
    </w:pPr>
    <w:rPr>
      <w:sz w:val="18"/>
    </w:rPr>
  </w:style>
  <w:style w:type="paragraph" w:styleId="Header">
    <w:name w:val="header"/>
    <w:basedOn w:val="Normal"/>
    <w:link w:val="Char"/>
    <w:uiPriority w:val="99"/>
    <w:pPr>
      <w:pBdr>
        <w:bottom w:val="single" w:sz="6" w:space="1" w:color="auto"/>
      </w:pBdr>
      <w:tabs>
        <w:tab w:val="center" w:pos="4153"/>
        <w:tab w:val="right" w:pos="8306"/>
      </w:tabs>
      <w:snapToGrid w:val="0"/>
      <w:jc w:val="center"/>
    </w:pPr>
    <w:rPr>
      <w:sz w:val="18"/>
    </w:rPr>
  </w:style>
  <w:style w:type="paragraph" w:styleId="TOC1">
    <w:name w:val="toc 1"/>
    <w:basedOn w:val="Normal"/>
    <w:next w:val="Normal"/>
  </w:style>
  <w:style w:type="paragraph" w:styleId="FootnoteText">
    <w:name w:val="footnote text"/>
    <w:basedOn w:val="Normal"/>
    <w:pPr>
      <w:snapToGrid w:val="0"/>
      <w:jc w:val="left"/>
    </w:pPr>
    <w:rPr>
      <w:sz w:val="18"/>
    </w:rPr>
  </w:style>
  <w:style w:type="paragraph" w:styleId="TOC2">
    <w:name w:val="toc 2"/>
    <w:basedOn w:val="Normal"/>
    <w:next w:val="Normal"/>
    <w:pPr>
      <w:ind w:left="420" w:leftChars="200"/>
    </w:pPr>
  </w:style>
  <w:style w:type="paragraph" w:styleId="HTMLPreformatted">
    <w:name w:val="HTML Preformatted"/>
    <w:basedOn w:val="Normal"/>
    <w:link w:val="HTMLChar"/>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style>
  <w:style w:type="character" w:styleId="Emphasis">
    <w:name w:val="Emphasis"/>
    <w:uiPriority w:val="20"/>
    <w:qFormat/>
    <w:rPr>
      <w:i/>
      <w:iCs/>
    </w:rPr>
  </w:style>
  <w:style w:type="character" w:styleId="Hyperlink">
    <w:name w:val="Hyperlink"/>
    <w:autoRedefine/>
    <w:qFormat/>
    <w:rPr>
      <w:color w:val="0000FF"/>
      <w:u w:val="single"/>
    </w:rPr>
  </w:style>
  <w:style w:type="character" w:styleId="FootnoteReference">
    <w:name w:val="footnote reference"/>
    <w:rPr>
      <w:vertAlign w:val="superscript"/>
    </w:rPr>
  </w:style>
  <w:style w:type="paragraph" w:customStyle="1" w:styleId="1">
    <w:name w:val="样式1"/>
    <w:basedOn w:val="Header"/>
    <w:link w:val="1Char"/>
    <w:qFormat/>
    <w:pPr>
      <w:pBdr>
        <w:bottom w:val="none" w:sz="0" w:space="0" w:color="auto"/>
      </w:pBdr>
    </w:pPr>
  </w:style>
  <w:style w:type="character" w:customStyle="1" w:styleId="HTMLChar">
    <w:name w:val="HTML 预设格式 Char"/>
    <w:link w:val="HTMLPreformatted"/>
    <w:autoRedefine/>
    <w:uiPriority w:val="99"/>
    <w:qFormat/>
    <w:rPr>
      <w:rFonts w:ascii="宋体" w:hAnsi="宋体" w:cs="宋体"/>
      <w:sz w:val="24"/>
      <w:szCs w:val="24"/>
    </w:rPr>
  </w:style>
  <w:style w:type="character" w:customStyle="1" w:styleId="Char">
    <w:name w:val="页眉 Char"/>
    <w:link w:val="Header"/>
    <w:autoRedefine/>
    <w:uiPriority w:val="99"/>
    <w:rPr>
      <w:kern w:val="2"/>
      <w:sz w:val="18"/>
    </w:rPr>
  </w:style>
  <w:style w:type="character" w:customStyle="1" w:styleId="typeblue61">
    <w:name w:val="type_blue_61"/>
    <w:autoRedefine/>
    <w:rPr>
      <w:rFonts w:ascii="ˎ̥" w:hAnsi="ˎ̥" w:hint="default"/>
      <w:color w:val="002565"/>
      <w:sz w:val="21"/>
      <w:u w:val="none"/>
    </w:rPr>
  </w:style>
  <w:style w:type="character" w:customStyle="1" w:styleId="apple-converted-space">
    <w:name w:val="apple-converted-space"/>
    <w:autoRedefine/>
    <w:qFormat/>
  </w:style>
  <w:style w:type="character" w:customStyle="1" w:styleId="style21">
    <w:name w:val="style21"/>
    <w:rPr>
      <w:color w:val="0000A0"/>
      <w:sz w:val="33"/>
    </w:rPr>
  </w:style>
  <w:style w:type="character" w:customStyle="1" w:styleId="acool1">
    <w:name w:val="acool1"/>
    <w:rPr>
      <w:b/>
      <w:color w:val="CD3A10"/>
      <w:sz w:val="30"/>
    </w:rPr>
  </w:style>
  <w:style w:type="character" w:customStyle="1" w:styleId="Char0">
    <w:name w:val="页脚 Char"/>
    <w:link w:val="Footer"/>
    <w:uiPriority w:val="99"/>
    <w:rPr>
      <w:kern w:val="2"/>
      <w:sz w:val="18"/>
    </w:rPr>
  </w:style>
  <w:style w:type="character" w:customStyle="1" w:styleId="a3">
    <w:name w:val="a3"/>
    <w:basedOn w:val="DefaultParagraphFont"/>
  </w:style>
  <w:style w:type="character" w:customStyle="1" w:styleId="Char1">
    <w:name w:val="批注框文本 Char"/>
    <w:link w:val="BalloonText"/>
    <w:rPr>
      <w:kern w:val="2"/>
      <w:sz w:val="18"/>
      <w:szCs w:val="18"/>
    </w:rPr>
  </w:style>
  <w:style w:type="paragraph" w:styleId="NoSpacing">
    <w:name w:val="No Spacing"/>
    <w:link w:val="Char2"/>
    <w:uiPriority w:val="1"/>
    <w:qFormat/>
    <w:rPr>
      <w:rFonts w:ascii="Calibri" w:eastAsia="宋体" w:hAnsi="Calibri" w:cs="Times New Roman"/>
      <w:sz w:val="22"/>
      <w:szCs w:val="22"/>
      <w:lang w:val="en-US" w:eastAsia="zh-CN" w:bidi="ar-SA"/>
    </w:rPr>
  </w:style>
  <w:style w:type="character" w:customStyle="1" w:styleId="Char2">
    <w:name w:val="无间隔 Char"/>
    <w:link w:val="NoSpacing"/>
    <w:autoRedefine/>
    <w:uiPriority w:val="1"/>
    <w:qFormat/>
    <w:rPr>
      <w:rFonts w:ascii="Calibri" w:hAnsi="Calibri"/>
      <w:sz w:val="22"/>
      <w:szCs w:val="22"/>
      <w:lang w:bidi="ar-SA"/>
    </w:rPr>
  </w:style>
  <w:style w:type="character" w:customStyle="1" w:styleId="1Char">
    <w:name w:val="样式1 Char"/>
    <w:basedOn w:val="Char"/>
    <w:link w:val="1"/>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506103204205010031" TargetMode="External" /><Relationship Id="rId11" Type="http://schemas.openxmlformats.org/officeDocument/2006/relationships/footer" Target="footer5.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7E1B59C1-F56E-445F-A78C-FDA852993670}">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23111</Words>
  <Characters>20535</Characters>
  <Application>Microsoft Office Word</Application>
  <DocSecurity>0</DocSecurity>
  <Lines>171</Lines>
  <Paragraphs>87</Paragraphs>
  <ScaleCrop>false</ScaleCrop>
  <Company/>
  <LinksUpToDate>false</LinksUpToDate>
  <CharactersWithSpaces>43559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ABEEL</cp:lastModifiedBy>
  <cp:revision>3</cp:revision>
  <cp:lastPrinted>2009-04-28T08:01:00Z</cp:lastPrinted>
  <dcterms:created xsi:type="dcterms:W3CDTF">2017-05-26T06:59:00Z</dcterms:created>
  <dcterms:modified xsi:type="dcterms:W3CDTF">2024-01-05T01:57:06Z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705D5B3A2EAA4129B7BEABDCB06777FE_13</vt:lpwstr>
  </property>
  <property fmtid="{D5CDD505-2E9C-101B-9397-08002B2CF9AE}" pid="3" name="KSOProductBuildVer">
    <vt:lpwstr>2052-12.1.0.16120</vt:lpwstr>
  </property>
</Properties>
</file>