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22" w:line="198" w:lineRule="auto"/>
        <w:ind w:left="1377"/>
        <w:rPr>
          <w:sz w:val="18"/>
          <w:szCs w:val="18"/>
        </w:rPr>
      </w:pPr>
      <w:r>
        <w:pict>
          <v:shape id="_x0000_s1025" style="width:481.9pt;height:0.75pt;margin-top:212.28pt;margin-left:70.9pt;mso-position-horizontal-relative:page;mso-position-vertical-relative:page;position:absolute;z-index:-251658240" coordorigin="0,0" coordsize="9637,15" o:allowincell="f" path="m,7l9637,7e" filled="f" strokecolor="black" strokeweight="0.75pt">
            <v:stroke joinstyle="miter"/>
          </v:shape>
        </w:pict>
      </w:r>
      <w:r>
        <w:pict>
          <v:shape id="_x0000_s1026" style="width:481.9pt;height:0.75pt;margin-top:728.22pt;margin-left:70.85pt;mso-position-horizontal-relative:page;mso-position-vertical-relative:page;position:absolute;z-index:251660288" coordorigin="0,0" coordsize="9637,15" o:allowincell="f" path="m,7l9637,7e" filled="f" strokecolor="black" strokeweight="0.75pt">
            <v:stroke joinstyle="miter"/>
          </v:shape>
        </w:pict>
      </w:r>
      <w:r>
        <w:rPr>
          <w:rFonts w:ascii="Times New Roman" w:eastAsia="Times New Roman" w:hAnsi="Times New Roman" w:cs="Times New Roman"/>
          <w:spacing w:val="-2"/>
          <w:position w:val="3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14"/>
          <w:position w:val="3"/>
          <w:sz w:val="21"/>
          <w:szCs w:val="21"/>
        </w:rPr>
        <w:t xml:space="preserve">   </w:t>
      </w:r>
      <w:r>
        <w:rPr>
          <w:spacing w:val="-2"/>
          <w:position w:val="-1"/>
          <w:sz w:val="21"/>
          <w:szCs w:val="21"/>
        </w:rPr>
        <w:t>2</w:t>
      </w:r>
      <w:r>
        <w:rPr>
          <w:spacing w:val="-2"/>
          <w:position w:val="-1"/>
          <w:sz w:val="18"/>
          <w:szCs w:val="18"/>
        </w:rPr>
        <w:t>9.160.40</w:t>
      </w:r>
    </w:p>
    <w:p>
      <w:pPr>
        <w:pStyle w:val="BodyText"/>
        <w:spacing w:before="62" w:line="179" w:lineRule="auto"/>
        <w:ind w:left="1379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2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spacing w:val="9"/>
          <w:position w:val="2"/>
          <w:sz w:val="21"/>
          <w:szCs w:val="21"/>
        </w:rPr>
        <w:t xml:space="preserve">  </w:t>
      </w:r>
      <w:r>
        <w:rPr>
          <w:spacing w:val="-3"/>
          <w:position w:val="-2"/>
          <w:sz w:val="21"/>
          <w:szCs w:val="21"/>
        </w:rPr>
        <w:t>F11</w:t>
      </w:r>
    </w:p>
    <w:p>
      <w:pPr>
        <w:spacing w:before="1" w:line="186" w:lineRule="auto"/>
        <w:ind w:left="7601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sz w:val="96"/>
          <w:szCs w:val="96"/>
        </w:rPr>
        <w:drawing>
          <wp:inline distT="0" distB="0" distL="0" distR="0">
            <wp:extent cx="796718" cy="3977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6718" cy="39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89"/>
          <w:w w:val="119"/>
          <w:sz w:val="96"/>
          <w:szCs w:val="96"/>
        </w:rPr>
        <w:t>41</w:t>
      </w:r>
    </w:p>
    <w:p>
      <w:pPr>
        <w:pStyle w:val="BodyText"/>
        <w:spacing w:before="324" w:line="221" w:lineRule="auto"/>
        <w:ind w:left="1323"/>
        <w:rPr>
          <w:sz w:val="48"/>
          <w:szCs w:val="48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width:777.95pt;height:56.25pt;margin-top:275.54pt;margin-left:-106.15pt;position:absolute;rotation:315;z-index:-251657216" filled="t" fillcolor="black" stroked="f">
            <v:fill opacity="3341f"/>
            <v:textpath style="font-family:SimSun;font-size:60pt;mso-text-shadow:auto;v-text-kern:t" string="河南省地方标准公共服务平台"/>
          </v:shape>
        </w:pict>
      </w:r>
      <w:r>
        <w:rPr>
          <w:spacing w:val="-3"/>
          <w:sz w:val="48"/>
          <w:szCs w:val="48"/>
        </w:rPr>
        <w:t>河南省地方标准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1" w:line="236" w:lineRule="auto"/>
        <w:ind w:left="8332"/>
      </w:pPr>
      <w:r>
        <w:rPr>
          <w:spacing w:val="-1"/>
        </w:rPr>
        <w:t>DB</w:t>
      </w:r>
      <w:r>
        <w:rPr>
          <w:spacing w:val="-62"/>
        </w:rPr>
        <w:t xml:space="preserve"> </w:t>
      </w:r>
      <w:r>
        <w:rPr>
          <w:spacing w:val="-1"/>
        </w:rPr>
        <w:t>41/T</w:t>
      </w:r>
      <w:r>
        <w:rPr>
          <w:spacing w:val="-1"/>
        </w:rPr>
        <w:t xml:space="preserve"> </w:t>
      </w:r>
      <w:r>
        <w:rPr>
          <w:spacing w:val="-1"/>
        </w:rPr>
        <w:t>XXXX—XXXX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70" w:line="235" w:lineRule="auto"/>
        <w:ind w:left="4695" w:right="635" w:hanging="2841"/>
        <w:outlineLvl w:val="0"/>
        <w:rPr>
          <w:sz w:val="52"/>
          <w:szCs w:val="52"/>
        </w:rPr>
      </w:pPr>
      <w:r>
        <w:rPr>
          <w:spacing w:val="-3"/>
          <w:sz w:val="52"/>
          <w:szCs w:val="52"/>
        </w:rPr>
        <w:t>装配式钢-混组合风电塔筒健康状态在线</w:t>
      </w:r>
      <w:r>
        <w:rPr>
          <w:spacing w:val="16"/>
          <w:sz w:val="52"/>
          <w:szCs w:val="52"/>
        </w:rPr>
        <w:t xml:space="preserve"> </w:t>
      </w:r>
      <w:r>
        <w:rPr>
          <w:spacing w:val="-3"/>
          <w:sz w:val="52"/>
          <w:szCs w:val="52"/>
        </w:rPr>
        <w:t>监测技术规范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headerReference w:type="default" r:id="rId5"/>
          <w:pgSz w:w="11906" w:h="16839"/>
          <w:pgMar w:top="400" w:right="351" w:bottom="0" w:left="0" w:header="0" w:footer="0" w:gutter="0"/>
          <w:cols w:num="1" w:space="708" w:equalWidth="0">
            <w:col w:w="11555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headerReference w:type="default" r:id="rId6"/>
          <w:type w:val="nextPage"/>
          <w:pgSz w:w="11906" w:h="16839"/>
          <w:pgMar w:top="400" w:right="351" w:bottom="0" w:left="0" w:header="0" w:footer="0" w:gutter="0"/>
          <w:pgNumType w:start="2"/>
          <w:cols w:num="1" w:space="708" w:equalWidth="0">
            <w:col w:w="11555" w:space="0"/>
          </w:cols>
          <w:titlePg w:val="0"/>
        </w:sectPr>
      </w:pPr>
    </w:p>
    <w:p>
      <w:pPr>
        <w:pStyle w:val="BodyText"/>
        <w:spacing w:before="57" w:line="187" w:lineRule="auto"/>
        <w:ind w:left="1423"/>
      </w:pPr>
      <w:r>
        <w:rPr>
          <w:spacing w:val="-3"/>
        </w:rPr>
        <w:t>XXXX</w:t>
      </w:r>
      <w:r>
        <w:rPr>
          <w:spacing w:val="-61"/>
        </w:rPr>
        <w:t xml:space="preserve"> </w:t>
      </w:r>
      <w:r>
        <w:rPr>
          <w:spacing w:val="-3"/>
        </w:rPr>
        <w:t>-</w:t>
      </w:r>
      <w:r>
        <w:rPr>
          <w:spacing w:val="-66"/>
        </w:rPr>
        <w:t xml:space="preserve"> </w:t>
      </w:r>
      <w:r>
        <w:rPr>
          <w:spacing w:val="-3"/>
        </w:rPr>
        <w:t>XX</w:t>
      </w:r>
      <w:r>
        <w:rPr>
          <w:spacing w:val="-64"/>
        </w:rPr>
        <w:t xml:space="preserve"> </w:t>
      </w:r>
      <w:r>
        <w:rPr>
          <w:spacing w:val="-3"/>
        </w:rPr>
        <w:t>-</w:t>
      </w:r>
      <w:r>
        <w:rPr>
          <w:spacing w:val="-66"/>
        </w:rPr>
        <w:t xml:space="preserve"> </w:t>
      </w:r>
      <w:r>
        <w:rPr>
          <w:spacing w:val="-3"/>
        </w:rPr>
        <w:t>XX</w:t>
      </w:r>
      <w:r>
        <w:rPr>
          <w:spacing w:val="-56"/>
        </w:rPr>
        <w:t xml:space="preserve"> </w:t>
      </w:r>
      <w:r>
        <w:rPr>
          <w:spacing w:val="-3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187" w:lineRule="auto"/>
      </w:pPr>
      <w:r>
        <w:rPr>
          <w:spacing w:val="-3"/>
        </w:rPr>
        <w:t>XXXX</w:t>
      </w:r>
      <w:r>
        <w:rPr>
          <w:spacing w:val="-64"/>
        </w:rPr>
        <w:t xml:space="preserve"> </w:t>
      </w:r>
      <w:r>
        <w:rPr>
          <w:spacing w:val="-3"/>
        </w:rPr>
        <w:t>-</w:t>
      </w:r>
      <w:r>
        <w:rPr>
          <w:spacing w:val="-65"/>
        </w:rPr>
        <w:t xml:space="preserve"> </w:t>
      </w:r>
      <w:r>
        <w:rPr>
          <w:spacing w:val="-3"/>
        </w:rPr>
        <w:t>XX</w:t>
      </w:r>
      <w:r>
        <w:rPr>
          <w:spacing w:val="-65"/>
        </w:rPr>
        <w:t xml:space="preserve"> </w:t>
      </w:r>
      <w:r>
        <w:rPr>
          <w:spacing w:val="-3"/>
        </w:rPr>
        <w:t>-</w:t>
      </w:r>
      <w:r>
        <w:rPr>
          <w:spacing w:val="-65"/>
        </w:rPr>
        <w:t xml:space="preserve"> </w:t>
      </w:r>
      <w:r>
        <w:rPr>
          <w:spacing w:val="-3"/>
        </w:rPr>
        <w:t>XX</w:t>
      </w:r>
      <w:r>
        <w:rPr>
          <w:spacing w:val="-52"/>
        </w:rPr>
        <w:t xml:space="preserve"> </w:t>
      </w:r>
      <w:r>
        <w:rPr>
          <w:spacing w:val="-3"/>
        </w:rPr>
        <w:t>实施</w:t>
      </w:r>
    </w:p>
    <w:p>
      <w:pPr>
        <w:spacing w:line="187" w:lineRule="auto"/>
        <w:sectPr>
          <w:headerReference w:type="default" r:id="rId7"/>
          <w:type w:val="continuous"/>
          <w:pgSz w:w="11906" w:h="16839"/>
          <w:pgMar w:top="400" w:right="351" w:bottom="0" w:left="0" w:header="0" w:footer="0" w:gutter="0"/>
          <w:pgNumType w:start="3"/>
          <w:cols w:num="2" w:space="708" w:equalWidth="0">
            <w:col w:w="8681" w:space="100"/>
            <w:col w:w="2774" w:space="0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91" w:line="187" w:lineRule="auto"/>
        <w:ind w:left="4060"/>
      </w:pPr>
      <w:r>
        <w:rPr>
          <w:spacing w:val="-1"/>
        </w:rPr>
        <w:t>河南省市场监督管理局</w:t>
      </w:r>
      <w:r>
        <w:rPr>
          <w:spacing w:val="-1"/>
        </w:rPr>
        <w:t xml:space="preserve">    </w:t>
      </w:r>
      <w:r>
        <w:rPr>
          <w:spacing w:val="-1"/>
        </w:rPr>
        <w:t>发</w:t>
      </w:r>
      <w:r>
        <w:rPr>
          <w:spacing w:val="42"/>
        </w:rPr>
        <w:t xml:space="preserve"> </w:t>
      </w:r>
      <w:r>
        <w:rPr>
          <w:spacing w:val="-1"/>
        </w:rPr>
        <w:t>布</w:t>
      </w:r>
    </w:p>
    <w:p>
      <w:pPr>
        <w:spacing w:line="187" w:lineRule="auto"/>
        <w:sectPr>
          <w:headerReference w:type="default" r:id="rId8"/>
          <w:type w:val="continuous"/>
          <w:pgSz w:w="11906" w:h="16839"/>
          <w:pgMar w:top="400" w:right="351" w:bottom="0" w:left="0" w:header="0" w:footer="0" w:gutter="0"/>
          <w:pgNumType w:start="4"/>
          <w:cols w:num="1" w:space="708" w:equalWidth="0">
            <w:col w:w="11555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9"/>
          <w:pgSz w:w="11906" w:h="16839"/>
          <w:pgMar w:top="400" w:right="351" w:bottom="0" w:left="0" w:header="0" w:footer="0" w:gutter="0"/>
          <w:pgNumType w:start="5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236" w:lineRule="auto"/>
        <w:ind w:left="8891"/>
        <w:rPr>
          <w:sz w:val="21"/>
          <w:szCs w:val="21"/>
        </w:rPr>
      </w:pPr>
      <w:r>
        <w:rPr>
          <w:spacing w:val="-1"/>
          <w:sz w:val="21"/>
          <w:szCs w:val="21"/>
        </w:rPr>
        <w:t>DB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41/T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XXXX</w:t>
      </w:r>
      <w:r>
        <w:rPr>
          <w:rFonts w:ascii="SimSun" w:eastAsia="SimSun" w:hAnsi="SimSun" w:cs="SimSun"/>
          <w:spacing w:val="-1"/>
          <w:sz w:val="21"/>
          <w:szCs w:val="21"/>
        </w:rPr>
        <w:t>—</w:t>
      </w:r>
      <w:r>
        <w:rPr>
          <w:spacing w:val="-1"/>
          <w:sz w:val="21"/>
          <w:szCs w:val="21"/>
        </w:rPr>
        <w:t>XXXX</w:t>
      </w: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5507"/>
        <w:rPr>
          <w:sz w:val="32"/>
          <w:szCs w:val="32"/>
        </w:rPr>
      </w:pPr>
      <w:r>
        <w:rPr>
          <w:spacing w:val="-27"/>
          <w:sz w:val="32"/>
          <w:szCs w:val="32"/>
        </w:rPr>
        <w:t>目</w:t>
      </w:r>
      <w:r>
        <w:rPr>
          <w:spacing w:val="3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次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80064281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10761"/>
            </w:tabs>
            <w:spacing w:before="68" w:line="222" w:lineRule="auto"/>
            <w:ind w:left="1429"/>
            <w:rPr>
              <w:rFonts w:ascii="SimSun" w:eastAsia="SimSun" w:hAnsi="SimSun" w:cs="SimSun"/>
              <w:sz w:val="21"/>
              <w:szCs w:val="21"/>
            </w:rPr>
          </w:pPr>
          <w:hyperlink w:anchor="bookmark1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前言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II</w:t>
            </w:r>
          </w:hyperlink>
        </w:p>
        <w:p>
          <w:pPr>
            <w:tabs>
              <w:tab w:val="right" w:leader="dot" w:pos="10761"/>
            </w:tabs>
            <w:spacing w:before="147" w:line="221" w:lineRule="auto"/>
            <w:ind w:left="1441"/>
            <w:rPr>
              <w:rFonts w:ascii="SimSun" w:eastAsia="SimSun" w:hAnsi="SimSun" w:cs="SimSun"/>
              <w:sz w:val="21"/>
              <w:szCs w:val="21"/>
            </w:rPr>
          </w:pPr>
          <w:hyperlink w:anchor="bookmark2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范围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10761"/>
            </w:tabs>
            <w:spacing w:before="149" w:line="220" w:lineRule="auto"/>
            <w:ind w:left="1428"/>
            <w:rPr>
              <w:rFonts w:ascii="SimSun" w:eastAsia="SimSun" w:hAnsi="SimSun" w:cs="SimSun"/>
              <w:sz w:val="21"/>
              <w:szCs w:val="21"/>
            </w:rPr>
          </w:pPr>
          <w:hyperlink w:anchor="bookmark3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  规范性引用文件</w:t>
            </w:r>
            <w:r>
              <w:rPr>
                <w:rFonts w:ascii="SimSun" w:eastAsia="SimSun" w:hAnsi="SimSun" w:cs="SimSun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10761"/>
            </w:tabs>
            <w:spacing w:before="149" w:line="220" w:lineRule="auto"/>
            <w:ind w:left="1430"/>
            <w:rPr>
              <w:rFonts w:ascii="SimSun" w:eastAsia="SimSun" w:hAnsi="SimSun" w:cs="SimSun"/>
              <w:sz w:val="21"/>
              <w:szCs w:val="21"/>
            </w:rPr>
          </w:pPr>
          <w:hyperlink w:anchor="bookmark4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术语和定义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10761"/>
            </w:tabs>
            <w:spacing w:before="150" w:line="220" w:lineRule="auto"/>
            <w:ind w:left="1425"/>
            <w:rPr>
              <w:rFonts w:ascii="SimSun" w:eastAsia="SimSun" w:hAnsi="SimSun" w:cs="SimSun"/>
              <w:sz w:val="21"/>
              <w:szCs w:val="21"/>
            </w:rPr>
          </w:pPr>
          <w:hyperlink w:anchor="bookmark5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监测模型</w:t>
            </w:r>
            <w:r>
              <w:rPr>
                <w:rFonts w:ascii="SimSun" w:eastAsia="SimSun" w:hAnsi="SimSun" w:cs="SimSun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10761"/>
            </w:tabs>
            <w:spacing w:before="150" w:line="219" w:lineRule="auto"/>
            <w:ind w:left="1430"/>
            <w:rPr>
              <w:rFonts w:ascii="SimSun" w:eastAsia="SimSun" w:hAnsi="SimSun" w:cs="SimSun"/>
              <w:sz w:val="21"/>
              <w:szCs w:val="21"/>
            </w:rPr>
          </w:pPr>
          <w:hyperlink w:anchor="bookmark6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5  数据采集技术要求</w:t>
            </w:r>
            <w:r>
              <w:rPr>
                <w:rFonts w:ascii="SimSun" w:eastAsia="SimSun" w:hAnsi="SimSun" w:cs="SimSun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10761"/>
            </w:tabs>
            <w:spacing w:before="151" w:line="219" w:lineRule="auto"/>
            <w:ind w:left="1427"/>
            <w:rPr>
              <w:rFonts w:ascii="SimSun" w:eastAsia="SimSun" w:hAnsi="SimSun" w:cs="SimSun"/>
              <w:sz w:val="21"/>
              <w:szCs w:val="21"/>
            </w:rPr>
          </w:pPr>
          <w:hyperlink w:anchor="bookmark7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6  数据传输技术要求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10761"/>
            </w:tabs>
            <w:spacing w:before="151" w:line="220" w:lineRule="auto"/>
            <w:ind w:left="1431"/>
            <w:rPr>
              <w:rFonts w:ascii="SimSun" w:eastAsia="SimSun" w:hAnsi="SimSun" w:cs="SimSun"/>
              <w:sz w:val="21"/>
              <w:szCs w:val="21"/>
            </w:rPr>
          </w:pPr>
          <w:hyperlink w:anchor="bookmark8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7  数据处理中心技术要求</w:t>
            </w:r>
            <w:r>
              <w:rPr>
                <w:rFonts w:ascii="SimSun" w:eastAsia="SimSun" w:hAnsi="SimSun" w:cs="SimSun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760"/>
            </w:tabs>
            <w:spacing w:before="149" w:line="219" w:lineRule="auto"/>
            <w:ind w:left="1427"/>
            <w:rPr>
              <w:rFonts w:ascii="SimSun" w:eastAsia="SimSun" w:hAnsi="SimSun" w:cs="SimSun"/>
              <w:sz w:val="21"/>
              <w:szCs w:val="21"/>
            </w:rPr>
          </w:pPr>
          <w:hyperlink w:anchor="bookmark9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8  安全评价与预警技术要求</w:t>
            </w:r>
            <w:r>
              <w:rPr>
                <w:rFonts w:ascii="SimSun" w:eastAsia="SimSun" w:hAnsi="SimSun" w:cs="SimSun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761"/>
            </w:tabs>
            <w:spacing w:before="151" w:line="220" w:lineRule="auto"/>
            <w:ind w:left="1427"/>
            <w:rPr>
              <w:rFonts w:ascii="SimSun" w:eastAsia="SimSun" w:hAnsi="SimSun" w:cs="SimSun"/>
              <w:sz w:val="21"/>
              <w:szCs w:val="21"/>
            </w:rPr>
          </w:pPr>
          <w:hyperlink w:anchor="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9  数据应用技术要求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761"/>
            </w:tabs>
            <w:spacing w:before="150" w:line="219" w:lineRule="auto"/>
            <w:ind w:left="1442"/>
            <w:rPr>
              <w:rFonts w:ascii="SimSun" w:eastAsia="SimSun" w:hAnsi="SimSun" w:cs="SimSun"/>
              <w:sz w:val="21"/>
              <w:szCs w:val="21"/>
            </w:rPr>
          </w:pPr>
          <w:hyperlink w:anchor="bookmark11" w:history="1"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附录</w:t>
            </w:r>
            <w:r>
              <w:rPr>
                <w:rFonts w:ascii="SimSun" w:eastAsia="SimSun" w:hAnsi="SimSun" w:cs="SimSun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A（资料性）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数据监测图示</w:t>
            </w:r>
            <w:r>
              <w:rPr>
                <w:rFonts w:ascii="SimSun" w:eastAsia="SimSun" w:hAnsi="SimSun" w:cs="SimSun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7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0"/>
          <w:footerReference w:type="default" r:id="rId11"/>
          <w:pgSz w:w="11906" w:h="16839"/>
          <w:pgMar w:top="400" w:right="351" w:bottom="1282" w:left="0" w:header="0" w:footer="1107" w:gutter="0"/>
          <w:pgNumType w:start="6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236" w:lineRule="auto"/>
        <w:ind w:left="1143"/>
        <w:rPr>
          <w:sz w:val="21"/>
          <w:szCs w:val="21"/>
        </w:rPr>
      </w:pPr>
      <w:r>
        <w:rPr>
          <w:spacing w:val="-1"/>
          <w:sz w:val="21"/>
          <w:szCs w:val="21"/>
        </w:rPr>
        <w:t>DB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41/T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XXXX</w:t>
      </w:r>
      <w:r>
        <w:rPr>
          <w:rFonts w:ascii="SimSun" w:eastAsia="SimSun" w:hAnsi="SimSun" w:cs="SimSun"/>
          <w:spacing w:val="-1"/>
          <w:sz w:val="21"/>
          <w:szCs w:val="21"/>
        </w:rPr>
        <w:t>—</w:t>
      </w:r>
      <w:r>
        <w:rPr>
          <w:spacing w:val="-1"/>
          <w:sz w:val="21"/>
          <w:szCs w:val="21"/>
        </w:rPr>
        <w:t>XXXX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5395"/>
        <w:rPr>
          <w:sz w:val="32"/>
          <w:szCs w:val="32"/>
        </w:rPr>
      </w:pPr>
      <w:r>
        <w:rPr>
          <w:spacing w:val="-7"/>
          <w:sz w:val="32"/>
          <w:szCs w:val="32"/>
        </w:rPr>
        <w:t>前</w:t>
      </w:r>
      <w:r>
        <w:rPr>
          <w:spacing w:val="6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言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8" w:line="219" w:lineRule="auto"/>
        <w:ind w:left="15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本文件按照GB/T</w:t>
      </w:r>
      <w:r>
        <w:rPr>
          <w:rFonts w:ascii="SimSun" w:eastAsia="SimSun" w:hAnsi="SimSun" w:cs="SimSun"/>
          <w:spacing w:val="2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1.1—2020《标准化</w:t>
      </w:r>
      <w:r>
        <w:rPr>
          <w:rFonts w:ascii="SimSun" w:eastAsia="SimSun" w:hAnsi="SimSun" w:cs="SimSun"/>
          <w:spacing w:val="-1"/>
          <w:sz w:val="21"/>
          <w:szCs w:val="21"/>
        </w:rPr>
        <w:t>工作导则  第1部分：标准化文件的结构和起草规则》的规定</w:t>
      </w:r>
    </w:p>
    <w:p>
      <w:pPr>
        <w:spacing w:before="62" w:line="220" w:lineRule="auto"/>
        <w:ind w:left="11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起草。</w:t>
      </w:r>
    </w:p>
    <w:p>
      <w:pPr>
        <w:spacing w:before="62" w:line="219" w:lineRule="auto"/>
        <w:ind w:left="15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本文件由河南省发展和改革委员会提出。</w:t>
      </w:r>
    </w:p>
    <w:p>
      <w:pPr>
        <w:spacing w:before="61" w:line="249" w:lineRule="auto"/>
        <w:ind w:left="1148" w:right="1180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本文件起草单位：零点创新科技有限公司、河南省标准化和质量研究院</w:t>
      </w:r>
      <w:r>
        <w:rPr>
          <w:rFonts w:ascii="SimSun" w:eastAsia="SimSun" w:hAnsi="SimSun" w:cs="SimSun"/>
          <w:spacing w:val="-1"/>
          <w:sz w:val="21"/>
          <w:szCs w:val="21"/>
        </w:rPr>
        <w:t>、上海红檀智能科技有限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公</w:t>
      </w:r>
    </w:p>
    <w:p>
      <w:pPr>
        <w:spacing w:before="59" w:line="247" w:lineRule="auto"/>
        <w:ind w:left="1145" w:right="1180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司、国电投河南新能源有限公司、同济大学、郑州大学、许</w:t>
      </w:r>
      <w:r>
        <w:rPr>
          <w:rFonts w:ascii="SimSun" w:eastAsia="SimSun" w:hAnsi="SimSun" w:cs="SimSun"/>
          <w:spacing w:val="-1"/>
          <w:sz w:val="21"/>
          <w:szCs w:val="21"/>
        </w:rPr>
        <w:t>继电气股份有限公司、中国电建集团河南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省、电力勘测设计有限公司、平顶山学院、上海华砼绿筑</w:t>
      </w:r>
      <w:r>
        <w:rPr>
          <w:rFonts w:ascii="SimSun" w:eastAsia="SimSun" w:hAnsi="SimSun" w:cs="SimSun"/>
          <w:spacing w:val="-2"/>
          <w:sz w:val="21"/>
          <w:szCs w:val="21"/>
        </w:rPr>
        <w:t>新能源有限公司。</w:t>
      </w:r>
    </w:p>
    <w:p>
      <w:pPr>
        <w:spacing w:before="61" w:line="256" w:lineRule="auto"/>
        <w:ind w:left="1141" w:right="1180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本文件主要起草人：梁凯、赵杰、韩颖、胡芸、耿银鼎、郭建军、张延</w:t>
      </w:r>
      <w:r>
        <w:rPr>
          <w:rFonts w:ascii="SimSun" w:eastAsia="SimSun" w:hAnsi="SimSun" w:cs="SimSun"/>
          <w:spacing w:val="-1"/>
          <w:sz w:val="21"/>
          <w:szCs w:val="21"/>
        </w:rPr>
        <w:t>平、姜旭、曹仰杰、杨东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海、张磊、计舒生、武勇永、周智鹏、梁慧芳、白可、孙润升、王超、肖海涛、</w:t>
      </w:r>
      <w:r>
        <w:rPr>
          <w:rFonts w:ascii="SimSun" w:eastAsia="SimSun" w:hAnsi="SimSun" w:cs="SimSun"/>
          <w:spacing w:val="-1"/>
          <w:sz w:val="21"/>
          <w:szCs w:val="21"/>
        </w:rPr>
        <w:t>梁闪光、徐大伟、尹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森林、陈冬、廖权虹、杨聪、王艳、段鹏松、陈伟、姚小珂、张旭、李存存、</w:t>
      </w:r>
      <w:r>
        <w:rPr>
          <w:rFonts w:ascii="SimSun" w:eastAsia="SimSun" w:hAnsi="SimSun" w:cs="SimSun"/>
          <w:spacing w:val="-1"/>
          <w:sz w:val="21"/>
          <w:szCs w:val="21"/>
        </w:rPr>
        <w:t>祝文秀、赵静、杨飞</w:t>
      </w:r>
    </w:p>
    <w:p>
      <w:pPr>
        <w:spacing w:before="63" w:line="219" w:lineRule="auto"/>
        <w:ind w:left="11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飞、罗铭豪。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2"/>
          <w:footerReference w:type="default" r:id="rId13"/>
          <w:pgSz w:w="11906" w:h="16839"/>
          <w:pgMar w:top="400" w:right="351" w:bottom="1282" w:left="0" w:header="0" w:footer="1107" w:gutter="0"/>
          <w:pgNumType w:start="7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535" w:lineRule="exact"/>
        <w:ind w:left="8891"/>
        <w:rPr>
          <w:sz w:val="21"/>
          <w:szCs w:val="21"/>
        </w:rPr>
      </w:pPr>
      <w:r>
        <w:rPr>
          <w:spacing w:val="-1"/>
          <w:position w:val="25"/>
          <w:sz w:val="21"/>
          <w:szCs w:val="21"/>
        </w:rPr>
        <w:t>DB</w:t>
      </w:r>
      <w:r>
        <w:rPr>
          <w:spacing w:val="-1"/>
          <w:position w:val="25"/>
          <w:sz w:val="21"/>
          <w:szCs w:val="21"/>
        </w:rPr>
        <w:t xml:space="preserve"> </w:t>
      </w:r>
      <w:r>
        <w:rPr>
          <w:spacing w:val="-1"/>
          <w:position w:val="25"/>
          <w:sz w:val="21"/>
          <w:szCs w:val="21"/>
        </w:rPr>
        <w:t>41/T</w:t>
      </w:r>
      <w:r>
        <w:rPr>
          <w:spacing w:val="-1"/>
          <w:position w:val="25"/>
          <w:sz w:val="21"/>
          <w:szCs w:val="21"/>
        </w:rPr>
        <w:t xml:space="preserve"> </w:t>
      </w:r>
      <w:r>
        <w:rPr>
          <w:spacing w:val="-1"/>
          <w:position w:val="25"/>
          <w:sz w:val="21"/>
          <w:szCs w:val="21"/>
        </w:rPr>
        <w:t>XXXX</w:t>
      </w:r>
      <w:r>
        <w:rPr>
          <w:rFonts w:ascii="SimSun" w:eastAsia="SimSun" w:hAnsi="SimSun" w:cs="SimSun"/>
          <w:spacing w:val="-1"/>
          <w:position w:val="25"/>
          <w:sz w:val="21"/>
          <w:szCs w:val="21"/>
        </w:rPr>
        <w:t>—</w:t>
      </w:r>
      <w:r>
        <w:rPr>
          <w:spacing w:val="-1"/>
          <w:position w:val="25"/>
          <w:sz w:val="21"/>
          <w:szCs w:val="21"/>
        </w:rPr>
        <w:t>XXXX</w:t>
      </w:r>
    </w:p>
    <w:p>
      <w:pPr>
        <w:pStyle w:val="BodyText"/>
        <w:spacing w:line="219" w:lineRule="auto"/>
        <w:ind w:left="2437"/>
        <w:rPr>
          <w:sz w:val="32"/>
          <w:szCs w:val="32"/>
        </w:rPr>
      </w:pPr>
      <w:r>
        <w:rPr>
          <w:spacing w:val="-1"/>
          <w:sz w:val="32"/>
          <w:szCs w:val="32"/>
        </w:rPr>
        <w:t>装配式钢-混组合风电塔筒健康状态在线监测技术规范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68" w:line="223" w:lineRule="auto"/>
        <w:ind w:left="1436"/>
        <w:rPr>
          <w:sz w:val="21"/>
          <w:szCs w:val="21"/>
        </w:rPr>
      </w:pPr>
      <w:r>
        <w:rPr>
          <w:spacing w:val="-9"/>
          <w:sz w:val="21"/>
          <w:szCs w:val="21"/>
        </w:rPr>
        <w:t>1</w:t>
      </w:r>
      <w:r>
        <w:rPr>
          <w:spacing w:val="6"/>
          <w:sz w:val="21"/>
          <w:szCs w:val="21"/>
        </w:rPr>
        <w:t xml:space="preserve">  </w:t>
      </w:r>
      <w:r>
        <w:rPr>
          <w:spacing w:val="-9"/>
          <w:sz w:val="21"/>
          <w:szCs w:val="21"/>
        </w:rPr>
        <w:t>范围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46" w:lineRule="auto"/>
        <w:ind w:left="1431" w:right="791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本文件明确了装配式钢-混组合风电塔筒健康状态在线监测技术的总体原</w:t>
      </w:r>
      <w:r>
        <w:rPr>
          <w:rFonts w:ascii="SimSun" w:eastAsia="SimSun" w:hAnsi="SimSun" w:cs="SimSun"/>
          <w:spacing w:val="-1"/>
          <w:sz w:val="21"/>
          <w:szCs w:val="21"/>
        </w:rPr>
        <w:t>则，规定了相关的术语和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定义、数据采集、数据传输、数据处理中心、安全评价与预警、数据应用等技术要求</w:t>
      </w:r>
      <w:r>
        <w:rPr>
          <w:rFonts w:ascii="SimSun" w:eastAsia="SimSun" w:hAnsi="SimSun" w:cs="SimSun"/>
          <w:spacing w:val="-2"/>
          <w:sz w:val="21"/>
          <w:szCs w:val="21"/>
        </w:rPr>
        <w:t>内容。</w:t>
      </w:r>
    </w:p>
    <w:p>
      <w:pPr>
        <w:spacing w:before="63" w:line="624" w:lineRule="exact"/>
        <w:ind w:left="18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32"/>
          <w:sz w:val="21"/>
          <w:szCs w:val="21"/>
        </w:rPr>
        <w:t>本文件适用于河南省内功率≥4.5MW、高度≥140m的装配式钢-混组合风电塔筒健康状态监测。</w:t>
      </w:r>
    </w:p>
    <w:p>
      <w:pPr>
        <w:pStyle w:val="BodyText"/>
        <w:spacing w:before="1" w:line="221" w:lineRule="auto"/>
        <w:ind w:left="1424"/>
        <w:rPr>
          <w:sz w:val="21"/>
          <w:szCs w:val="21"/>
        </w:rPr>
      </w:pPr>
      <w:r>
        <w:rPr>
          <w:spacing w:val="-1"/>
          <w:sz w:val="21"/>
          <w:szCs w:val="21"/>
        </w:rPr>
        <w:t>2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规范性引用文件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56" w:lineRule="auto"/>
        <w:ind w:left="1425" w:right="896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下列文件中的内容通过文中的规范性引用而构成本文件必不</w:t>
      </w:r>
      <w:r>
        <w:rPr>
          <w:rFonts w:ascii="SimSun" w:eastAsia="SimSun" w:hAnsi="SimSun" w:cs="SimSun"/>
          <w:spacing w:val="-1"/>
          <w:sz w:val="21"/>
          <w:szCs w:val="21"/>
        </w:rPr>
        <w:t>可少的条款。其中，注日期的引用文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件，仅该日期对应的版本适用于本文件；不注日期的引用文件，其最新版本（包</w:t>
      </w:r>
      <w:r>
        <w:rPr>
          <w:rFonts w:ascii="SimSun" w:eastAsia="SimSun" w:hAnsi="SimSun" w:cs="SimSun"/>
          <w:spacing w:val="-1"/>
          <w:sz w:val="21"/>
          <w:szCs w:val="21"/>
        </w:rPr>
        <w:t>括所有的修改单）适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用于本文件。</w:t>
      </w:r>
    </w:p>
    <w:p>
      <w:pPr>
        <w:spacing w:before="63" w:line="219" w:lineRule="auto"/>
        <w:ind w:left="18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 37300-2018  公共安全重点区域视频图像</w:t>
      </w:r>
      <w:r>
        <w:rPr>
          <w:rFonts w:ascii="SimSun" w:eastAsia="SimSun" w:hAnsi="SimSun" w:cs="SimSun"/>
          <w:spacing w:val="-1"/>
          <w:sz w:val="21"/>
          <w:szCs w:val="21"/>
        </w:rPr>
        <w:t>信息采集规范</w:t>
      </w:r>
    </w:p>
    <w:p>
      <w:pPr>
        <w:spacing w:before="62" w:line="220" w:lineRule="auto"/>
        <w:ind w:left="18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GB/Z 41288-2022  信息安全技术 重要工业控制系统网</w:t>
      </w:r>
      <w:r>
        <w:rPr>
          <w:rFonts w:ascii="SimSun" w:eastAsia="SimSun" w:hAnsi="SimSun" w:cs="SimSun"/>
          <w:spacing w:val="-1"/>
          <w:sz w:val="21"/>
          <w:szCs w:val="21"/>
        </w:rPr>
        <w:t>络安全防护导则</w:t>
      </w:r>
    </w:p>
    <w:p>
      <w:pPr>
        <w:spacing w:before="62" w:line="220" w:lineRule="auto"/>
        <w:ind w:left="18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GB/T 41818-2022  信息技术 大数据 面向分析的数据存储</w:t>
      </w:r>
      <w:r>
        <w:rPr>
          <w:rFonts w:ascii="SimSun" w:eastAsia="SimSun" w:hAnsi="SimSun" w:cs="SimSun"/>
          <w:spacing w:val="-1"/>
          <w:sz w:val="21"/>
          <w:szCs w:val="21"/>
        </w:rPr>
        <w:t>与检索技术要求</w:t>
      </w:r>
    </w:p>
    <w:p>
      <w:pPr>
        <w:spacing w:before="62" w:line="247" w:lineRule="auto"/>
        <w:ind w:left="1839" w:right="142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GA/T 1547-2019  信息安全技术 移动智能终端用户数据存储安全技术要求</w:t>
      </w:r>
      <w:r>
        <w:rPr>
          <w:rFonts w:ascii="SimSun" w:eastAsia="SimSun" w:hAnsi="SimSun" w:cs="SimSun"/>
          <w:spacing w:val="-1"/>
          <w:sz w:val="21"/>
          <w:szCs w:val="21"/>
        </w:rPr>
        <w:t>和测试评价方法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NB/T 31004-2011  风力发电组振动状态监测</w:t>
      </w:r>
      <w:r>
        <w:rPr>
          <w:rFonts w:ascii="SimSun" w:eastAsia="SimSun" w:hAnsi="SimSun" w:cs="SimSun"/>
          <w:spacing w:val="-1"/>
          <w:sz w:val="21"/>
          <w:szCs w:val="21"/>
        </w:rPr>
        <w:t>导则</w:t>
      </w:r>
    </w:p>
    <w:p>
      <w:pPr>
        <w:spacing w:before="62" w:line="220" w:lineRule="auto"/>
        <w:ind w:left="18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YD/T 75-1995  点对多点微波通信系统技术要</w:t>
      </w:r>
      <w:r>
        <w:rPr>
          <w:rFonts w:ascii="SimSun" w:eastAsia="SimSun" w:hAnsi="SimSun" w:cs="SimSun"/>
          <w:spacing w:val="-1"/>
          <w:sz w:val="21"/>
          <w:szCs w:val="21"/>
        </w:rPr>
        <w:t>求和测量方法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9" w:line="222" w:lineRule="auto"/>
        <w:ind w:left="1426"/>
        <w:rPr>
          <w:sz w:val="21"/>
          <w:szCs w:val="21"/>
        </w:rPr>
      </w:pPr>
      <w:r>
        <w:rPr>
          <w:spacing w:val="-1"/>
          <w:sz w:val="21"/>
          <w:szCs w:val="21"/>
        </w:rPr>
        <w:t>3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术语和定义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375" w:lineRule="exact"/>
        <w:ind w:left="185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2"/>
          <w:sz w:val="21"/>
          <w:szCs w:val="21"/>
        </w:rPr>
        <w:t>下列术语和定义适用于本文件。</w:t>
      </w:r>
    </w:p>
    <w:p>
      <w:pPr>
        <w:pStyle w:val="BodyText"/>
        <w:spacing w:line="183" w:lineRule="auto"/>
        <w:ind w:left="1426"/>
        <w:rPr>
          <w:sz w:val="21"/>
          <w:szCs w:val="21"/>
        </w:rPr>
      </w:pPr>
      <w:r>
        <w:rPr>
          <w:spacing w:val="-2"/>
          <w:sz w:val="21"/>
          <w:szCs w:val="21"/>
        </w:rPr>
        <w:t>3.1</w:t>
      </w:r>
    </w:p>
    <w:p>
      <w:pPr>
        <w:pStyle w:val="BodyText"/>
        <w:spacing w:before="41" w:line="222" w:lineRule="auto"/>
        <w:ind w:left="1847"/>
        <w:rPr>
          <w:sz w:val="21"/>
          <w:szCs w:val="21"/>
        </w:rPr>
      </w:pPr>
      <w:r>
        <w:rPr>
          <w:spacing w:val="-2"/>
          <w:sz w:val="21"/>
          <w:szCs w:val="21"/>
        </w:rPr>
        <w:t>风电塔筒</w:t>
      </w:r>
    </w:p>
    <w:p>
      <w:pPr>
        <w:spacing w:before="60" w:line="374" w:lineRule="exact"/>
        <w:ind w:left="18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风力发电使用的塔杆，在风力发电机组中主要起支撑作用。</w:t>
      </w:r>
    </w:p>
    <w:p>
      <w:pPr>
        <w:pStyle w:val="BodyText"/>
        <w:spacing w:line="183" w:lineRule="auto"/>
        <w:ind w:left="1426"/>
        <w:rPr>
          <w:sz w:val="21"/>
          <w:szCs w:val="21"/>
        </w:rPr>
      </w:pPr>
      <w:r>
        <w:rPr>
          <w:spacing w:val="-2"/>
          <w:sz w:val="21"/>
          <w:szCs w:val="21"/>
        </w:rPr>
        <w:t>3.2</w:t>
      </w:r>
    </w:p>
    <w:p>
      <w:pPr>
        <w:pStyle w:val="BodyText"/>
        <w:spacing w:before="41" w:line="222" w:lineRule="auto"/>
        <w:ind w:left="1852"/>
        <w:rPr>
          <w:sz w:val="21"/>
          <w:szCs w:val="21"/>
        </w:rPr>
      </w:pPr>
      <w:r>
        <w:rPr>
          <w:spacing w:val="-2"/>
          <w:sz w:val="21"/>
          <w:szCs w:val="21"/>
        </w:rPr>
        <w:t>装配式钢-混组合风电塔筒</w:t>
      </w:r>
    </w:p>
    <w:p>
      <w:pPr>
        <w:spacing w:before="60" w:line="374" w:lineRule="exact"/>
        <w:ind w:left="1845"/>
        <w:rPr>
          <w:rFonts w:ascii="SimSun" w:eastAsia="SimSun" w:hAnsi="SimSun" w:cs="SimSun"/>
          <w:sz w:val="21"/>
          <w:szCs w:val="21"/>
        </w:rPr>
        <w:sectPr>
          <w:headerReference w:type="default" r:id="rId14"/>
          <w:footerReference w:type="default" r:id="rId15"/>
          <w:pgSz w:w="11906" w:h="16839"/>
          <w:pgMar w:top="400" w:right="351" w:bottom="1284" w:left="0" w:header="0" w:footer="1107" w:gutter="0"/>
          <w:pgNumType w:start="8"/>
          <w:cols w:space="708"/>
        </w:sectPr>
      </w:pPr>
      <w:r>
        <w:rPr>
          <w:rFonts w:ascii="SimSun" w:eastAsia="SimSun" w:hAnsi="SimSun" w:cs="SimSun"/>
          <w:spacing w:val="-1"/>
          <w:position w:val="12"/>
          <w:sz w:val="21"/>
          <w:szCs w:val="21"/>
        </w:rPr>
        <w:t>采用钢-混组合形式，上部为钢塔筒，下部为预制混凝土</w:t>
      </w: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的风电塔筒。</w:t>
      </w:r>
    </w:p>
    <w:p>
      <w:pPr>
        <w:pStyle w:val="BodyText"/>
        <w:spacing w:before="1" w:line="183" w:lineRule="auto"/>
        <w:ind w:left="1426"/>
        <w:rPr>
          <w:sz w:val="21"/>
          <w:szCs w:val="21"/>
        </w:rPr>
      </w:pPr>
      <w:r>
        <w:rPr>
          <w:spacing w:val="-2"/>
          <w:sz w:val="21"/>
          <w:szCs w:val="21"/>
        </w:rPr>
        <w:t>3.3</w:t>
      </w:r>
    </w:p>
    <w:p>
      <w:pPr>
        <w:pStyle w:val="BodyText"/>
        <w:spacing w:before="41" w:line="223" w:lineRule="auto"/>
        <w:ind w:left="1845"/>
        <w:rPr>
          <w:sz w:val="21"/>
          <w:szCs w:val="21"/>
        </w:rPr>
      </w:pPr>
      <w:r>
        <w:rPr>
          <w:spacing w:val="-2"/>
          <w:sz w:val="21"/>
          <w:szCs w:val="21"/>
        </w:rPr>
        <w:t>健康状态</w:t>
      </w:r>
    </w:p>
    <w:p>
      <w:pPr>
        <w:spacing w:before="58" w:line="374" w:lineRule="exact"/>
        <w:ind w:left="18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被测设备的各系统、器件性能良好、可稳定运行的状态。</w:t>
      </w:r>
    </w:p>
    <w:p>
      <w:pPr>
        <w:pStyle w:val="BodyText"/>
        <w:spacing w:before="1" w:line="183" w:lineRule="auto"/>
        <w:ind w:left="1426"/>
        <w:rPr>
          <w:sz w:val="21"/>
          <w:szCs w:val="21"/>
        </w:rPr>
      </w:pPr>
      <w:r>
        <w:rPr>
          <w:spacing w:val="-2"/>
          <w:sz w:val="21"/>
          <w:szCs w:val="21"/>
        </w:rPr>
        <w:t>3.4</w:t>
      </w:r>
    </w:p>
    <w:p>
      <w:pPr>
        <w:pStyle w:val="BodyText"/>
        <w:spacing w:before="41" w:line="219" w:lineRule="auto"/>
        <w:ind w:left="1844"/>
        <w:rPr>
          <w:sz w:val="21"/>
          <w:szCs w:val="21"/>
        </w:rPr>
      </w:pPr>
      <w:r>
        <w:rPr>
          <w:spacing w:val="-2"/>
          <w:sz w:val="21"/>
          <w:szCs w:val="21"/>
        </w:rPr>
        <w:t>在线监测</w:t>
      </w:r>
    </w:p>
    <w:p>
      <w:pPr>
        <w:spacing w:before="63" w:line="374" w:lineRule="exact"/>
        <w:ind w:left="18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设备运行过程中对其性能、功能等进行实时或定时的监测。</w:t>
      </w:r>
    </w:p>
    <w:p>
      <w:pPr>
        <w:pStyle w:val="BodyText"/>
        <w:spacing w:before="1" w:line="183" w:lineRule="auto"/>
        <w:ind w:left="1426"/>
        <w:rPr>
          <w:sz w:val="21"/>
          <w:szCs w:val="21"/>
        </w:rPr>
      </w:pPr>
      <w:r>
        <w:rPr>
          <w:spacing w:val="-2"/>
          <w:sz w:val="21"/>
          <w:szCs w:val="21"/>
        </w:rPr>
        <w:t>3.5</w:t>
      </w:r>
    </w:p>
    <w:p>
      <w:pPr>
        <w:pStyle w:val="BodyText"/>
        <w:spacing w:before="41" w:line="223" w:lineRule="auto"/>
        <w:ind w:left="1846"/>
        <w:rPr>
          <w:sz w:val="21"/>
          <w:szCs w:val="21"/>
        </w:rPr>
      </w:pPr>
      <w:r>
        <w:rPr>
          <w:spacing w:val="-2"/>
          <w:sz w:val="21"/>
          <w:szCs w:val="21"/>
        </w:rPr>
        <w:t>状态监测</w:t>
      </w:r>
    </w:p>
    <w:p>
      <w:pPr>
        <w:spacing w:before="58" w:line="219" w:lineRule="auto"/>
        <w:ind w:left="18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检测和采集反映风电机组状态的信息和数据。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69" w:line="223" w:lineRule="auto"/>
        <w:ind w:left="1420"/>
        <w:rPr>
          <w:sz w:val="21"/>
          <w:szCs w:val="21"/>
        </w:rPr>
      </w:pPr>
      <w:r>
        <w:rPr>
          <w:spacing w:val="-1"/>
          <w:sz w:val="21"/>
          <w:szCs w:val="21"/>
        </w:rPr>
        <w:t>4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监测模型</w:t>
      </w:r>
    </w:p>
    <w:p>
      <w:pPr>
        <w:spacing w:line="223" w:lineRule="auto"/>
        <w:rPr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11906" w:h="16839"/>
          <w:pgMar w:top="400" w:right="351" w:bottom="1284" w:left="0" w:header="0" w:footer="1107" w:gutter="0"/>
          <w:pgNumType w:start="9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7456" behindDoc="1" locked="0" layoutInCell="0" allowOverlap="1">
                <wp:simplePos x="0" y="0"/>
                <wp:positionH relativeFrom="page">
                  <wp:posOffset>4180612</wp:posOffset>
                </wp:positionH>
                <wp:positionV relativeFrom="page">
                  <wp:posOffset>2429891</wp:posOffset>
                </wp:positionV>
                <wp:extent cx="10160" cy="372745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180612" y="2429891"/>
                          <a:ext cx="10160" cy="3727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8" style="width:0.8pt;height:29.35pt;margin-top:191.33pt;margin-left:329.18pt;mso-position-horizontal-relative:page;mso-position-vertical-relative:page;mso-wrap-distance-bottom:0;mso-wrap-distance-left:0;mso-wrap-distance-right:0;mso-wrap-distance-top:0;position:absolute;v-text-anchor:top;z-index:-251650048" o:allowincell="f" fillcolor="black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1" locked="0" layoutInCell="0" allowOverlap="1">
                <wp:simplePos x="0" y="0"/>
                <wp:positionH relativeFrom="page">
                  <wp:posOffset>4181128</wp:posOffset>
                </wp:positionH>
                <wp:positionV relativeFrom="page">
                  <wp:posOffset>3347223</wp:posOffset>
                </wp:positionV>
                <wp:extent cx="14604" cy="595630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181128" y="3347223"/>
                          <a:ext cx="14604" cy="5956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9" style="width:1.15pt;height:46.9pt;margin-top:263.56pt;margin-left:329.22pt;mso-position-horizontal-relative:page;mso-position-vertical-relative:page;mso-wrap-distance-bottom:0;mso-wrap-distance-left:0;mso-wrap-distance-right:0;mso-wrap-distance-top:0;position:absolute;v-text-anchor:top;z-index:-251644928" o:allowincell="f" fillcolor="black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1" locked="0" layoutInCell="0" allowOverlap="1">
                <wp:simplePos x="0" y="0"/>
                <wp:positionH relativeFrom="page">
                  <wp:posOffset>4176574</wp:posOffset>
                </wp:positionH>
                <wp:positionV relativeFrom="page">
                  <wp:posOffset>1983227</wp:posOffset>
                </wp:positionV>
                <wp:extent cx="8889" cy="79375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176574" y="1983227"/>
                          <a:ext cx="8889" cy="793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30" style="width:0.7pt;height:6.25pt;margin-top:156.16pt;margin-left:328.86pt;mso-position-horizontal-relative:page;mso-position-vertical-relative:page;mso-wrap-distance-bottom:0;mso-wrap-distance-left:0;mso-wrap-distance-right:0;mso-wrap-distance-top:0;position:absolute;v-text-anchor:top;z-index:-251648000" o:allowincell="f" fillcolor="black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page">
                  <wp:posOffset>3662188</wp:posOffset>
                </wp:positionH>
                <wp:positionV relativeFrom="page">
                  <wp:posOffset>3112651</wp:posOffset>
                </wp:positionV>
                <wp:extent cx="154304" cy="6985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662188" y="3112651"/>
                          <a:ext cx="154304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31" style="width:12.15pt;height:0.55pt;margin-top:245.09pt;margin-left:288.36pt;mso-position-horizontal-relative:page;mso-position-vertical-relative:page;mso-wrap-distance-bottom:0;mso-wrap-distance-left:0;mso-wrap-distance-right:0;mso-wrap-distance-top:0;position:absolute;v-text-anchor:top;z-index:-251652096" o:allowincell="f" fillcolor="black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2895976</wp:posOffset>
                </wp:positionH>
                <wp:positionV relativeFrom="page">
                  <wp:posOffset>2656554</wp:posOffset>
                </wp:positionV>
                <wp:extent cx="2367914" cy="945514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895976" y="2656554"/>
                          <a:ext cx="2367914" cy="945514"/>
                        </a:xfrm>
                        <a:prstGeom prst="rect">
                          <a:avLst/>
                        </a:prstGeom>
                        <a:solidFill>
                          <a:srgbClr val="DBEEF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32" style="width:186.45pt;height:74.45pt;margin-top:209.18pt;margin-left:228.03pt;mso-position-horizontal-relative:page;mso-position-vertical-relative:page;mso-wrap-distance-bottom:0;mso-wrap-distance-left:0;mso-wrap-distance-right:0;mso-wrap-distance-top:0;position:absolute;v-text-anchor:top;z-index:-251654144" o:allowincell="f" fillcolor="#dbeef3" stroked="f"/>
            </w:pict>
          </mc:Fallback>
        </mc:AlternateConten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13.7pt;height:215.4pt;margin-top:131.07pt;margin-left:193.26pt;mso-position-horizontal-relative:page;mso-position-vertical-relative:page;position:absolute;z-index:25168896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数</w:t>
                  </w:r>
                  <w:r>
                    <w:rPr>
                      <w:rFonts w:ascii="SimSun" w:eastAsia="SimSun" w:hAnsi="SimSun" w:cs="SimSun"/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据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集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成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监</w:t>
                  </w:r>
                  <w:r>
                    <w:rPr>
                      <w:rFonts w:ascii="SimSun" w:eastAsia="SimSun" w:hAnsi="SimSun" w:cs="SimSun"/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测    数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据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处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理</w:t>
                  </w: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数</w:t>
                  </w:r>
                  <w:r>
                    <w:rPr>
                      <w:rFonts w:ascii="SimSun" w:eastAsia="SimSun" w:hAnsi="SimSun" w:cs="SimSun"/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据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应</w:t>
                  </w:r>
                  <w:r>
                    <w:rPr>
                      <w:rFonts w:ascii="SimSun" w:eastAsia="SimSun" w:hAnsi="SimSun" w:cs="SimSun"/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0"/>
                      <w:szCs w:val="20"/>
                    </w:rPr>
                    <w:t>用</w:t>
                  </w:r>
                </w:p>
              </w:txbxContent>
            </v:textbox>
          </v:shape>
        </w:pict>
      </w:r>
      <w:r>
        <w:pict>
          <v:shape id="_x0000_s1034" type="#_x0000_t202" style="width:55.85pt;height:25.55pt;margin-top:167.34pt;margin-left:301.84pt;mso-position-horizontal-relative:page;mso-position-vertical-relative:page;position:absolute;z-index:-2516377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066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1066"/>
                  </w:tblGrid>
                  <w:tr>
                    <w:tblPrEx>
                      <w:tblW w:w="1066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450"/>
                    </w:trPr>
                    <w:tc>
                      <w:tcPr>
                        <w:tcW w:w="1066" w:type="dxa"/>
                        <w:shd w:val="clear" w:color="auto" w:fill="FFFF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5" type="#_x0000_t202" style="width:47.65pt;height:39.5pt;margin-top:225.62pt;margin-left:235.78pt;mso-position-horizontal-relative:page;mso-position-vertical-relative:page;position:absolute;z-index:-2516398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02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902"/>
                  </w:tblGrid>
                  <w:tr>
                    <w:tblPrEx>
                      <w:tblW w:w="902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729"/>
                    </w:trPr>
                    <w:tc>
                      <w:tcPr>
                        <w:tcW w:w="902" w:type="dxa"/>
                        <w:shd w:val="clear" w:color="auto" w:fill="FFFF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6" type="#_x0000_t202" style="width:47.65pt;height:39.5pt;margin-top:225.62pt;margin-left:305.45pt;mso-position-horizontal-relative:page;mso-position-vertical-relative:page;position:absolute;z-index:-25164595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902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902"/>
                  </w:tblGrid>
                  <w:tr>
                    <w:tblPrEx>
                      <w:tblW w:w="902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729"/>
                    </w:trPr>
                    <w:tc>
                      <w:tcPr>
                        <w:tcW w:w="902" w:type="dxa"/>
                        <w:shd w:val="clear" w:color="auto" w:fill="FFFF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group id="_x0000_s1037" style="width:186.45pt;height:48.4pt;margin-top:303.99pt;margin-left:227.62pt;mso-position-horizontal-relative:page;mso-position-vertical-relative:page;position:absolute;z-index:-251655168" coordorigin="0,0" coordsize="3728,968" o:allowincell="f" filled="f" stroked="f">
            <v:shape id="_x0000_s1038" style="width:3717;height:956;left:5;position:absolute;top:5" coordorigin="0,0" coordsize="3717,956" path="m,l3717,l3717,956l,956l,xe" filled="t" fillcolor="#eeeaf2" stroked="f"/>
            <v:shape id="_x0000_s1039" style="width:3728;height:968;position:absolute" coordorigin="0,0" coordsize="3728,968" path="m5,961l3722,961l3722,961l3722,5l3722,5l5,5l5,5l5,961xe" filled="f" strokecolor="black" strokeweight="0.54pt">
              <v:stroke dashstyle="dash" endcap="round"/>
            </v:shape>
          </v:group>
        </w:pict>
      </w:r>
      <w:r>
        <w:pict>
          <v:shape id="_x0000_s1040" style="width:4.75pt;height:7.15pt;margin-top:219.77pt;margin-left:327.09pt;mso-position-horizontal-relative:page;mso-position-vertical-relative:page;position:absolute;z-index:-251640832" coordorigin="0,0" coordsize="95,143" o:allowincell="f" path="m94,l46,142l46,142l,l,l94,xe" filled="t" fillcolor="black" stroked="f"/>
        </w:pict>
      </w:r>
      <w:r>
        <w:pict>
          <v:shape id="_x0000_s1041" style="width:4.75pt;height:7.15pt;margin-top:309.55pt;margin-left:327.7pt;mso-position-horizontal-relative:page;mso-position-vertical-relative:page;position:absolute;z-index:-251641856" coordorigin="0,0" coordsize="95,143" o:allowincell="f" path="m94,l49,142l49,142l,1l,1l94,xe" filled="t" fillcolor="black" stroked="f"/>
        </w:pict>
      </w:r>
      <w:r>
        <w:pict>
          <v:shape id="_x0000_s1042" style="width:7.1pt;height:4.75pt;margin-top:243pt;margin-left:299.63pt;mso-position-horizontal-relative:page;mso-position-vertical-relative:page;position:absolute;z-index:-251636736" coordorigin="0,0" coordsize="141,95" o:allowincell="f" path="m,l141,47l141,47l,94l,94l,xe" filled="t" fillcolor="black" stroked="f"/>
        </w:pict>
      </w:r>
      <w:r>
        <w:pict>
          <v:shape id="_x0000_s1043" style="width:7.1pt;height:4.75pt;margin-top:243pt;margin-left:282.13pt;mso-position-horizontal-relative:page;mso-position-vertical-relative:page;position:absolute;z-index:-251638784" coordorigin="0,0" coordsize="141,95" o:allowincell="f" path="m141,94l,47l,47l141,l141,l141,94xe" filled="t" fillcolor="black" stroked="f"/>
        </w:pict>
      </w:r>
      <w:r>
        <w:pict>
          <v:shape id="_x0000_s1044" style="width:4.75pt;height:7.2pt;margin-top:161.45pt;margin-left:326.9pt;mso-position-horizontal-relative:page;mso-position-vertical-relative:page;position:absolute;z-index:-251635712" coordorigin="0,0" coordsize="95,143" o:allowincell="f" path="m94,l50,143l50,143l,2l,2l94,xe" filled="t" fillcolor="black" stroked="f"/>
        </w:pict>
      </w:r>
      <w:r>
        <w:pict>
          <v:shape id="_x0000_s1045" type="#_x0000_t202" style="width:36.3pt;height:22.75pt;margin-top:234.29pt;margin-left:311.32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121" w:right="20" w:hanging="101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7"/>
                      <w:szCs w:val="17"/>
                    </w:rPr>
                    <w:t>数据处理</w:t>
                  </w:r>
                  <w:r>
                    <w:rPr>
                      <w:rFonts w:ascii="SimSun" w:eastAsia="SimSun" w:hAnsi="SimSun" w:cs="SimSun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7"/>
                      <w:szCs w:val="17"/>
                    </w:rPr>
                    <w:t>中心层</w:t>
                  </w:r>
                </w:p>
              </w:txbxContent>
            </v:textbox>
          </v:shape>
        </w:pict>
      </w:r>
      <w:r>
        <w:pict>
          <v:shape id="_x0000_s1046" type="#_x0000_t202" style="width:36.2pt;height:22.75pt;margin-top:234.29pt;margin-left:241.75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20" w:righ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z w:val="17"/>
                      <w:szCs w:val="17"/>
                    </w:rPr>
                    <w:t>安全评价</w:t>
                  </w:r>
                  <w:r>
                    <w:rPr>
                      <w:rFonts w:ascii="SimSun" w:eastAsia="SimSun" w:hAnsi="SimSun" w:cs="SimSun"/>
                      <w:spacing w:val="2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7"/>
                      <w:szCs w:val="17"/>
                    </w:rPr>
                    <w:t>与预警层</w:t>
                  </w:r>
                </w:p>
              </w:txbxContent>
            </v:textbox>
          </v:shape>
        </w:pict>
      </w:r>
      <w:r>
        <w:pict>
          <v:shape id="_x0000_s1047" type="#_x0000_t202" style="width:45pt;height:12.2pt;margin-top:174.25pt;margin-left:307.48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7"/>
                      <w:szCs w:val="17"/>
                    </w:rPr>
                    <w:t>数据传输层</w:t>
                  </w:r>
                </w:p>
              </w:txbxContent>
            </v:textbox>
          </v:shape>
        </w:pict>
      </w:r>
      <w:r>
        <w:pict>
          <v:shape id="_x0000_s1048" type="#_x0000_t202" style="width:45pt;height:12.3pt;margin-top:322.31pt;margin-left:308.01pt;mso-position-horizontal-relative:page;mso-position-vertical-relative:page;position:absolute;z-index:251686912" o:allowincell="f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7"/>
                      <w:szCs w:val="17"/>
                    </w:rPr>
                    <w:t>数据应用层</w:t>
                  </w:r>
                </w:p>
              </w:txbxContent>
            </v:textbox>
          </v:shape>
        </w:pict>
      </w:r>
      <w:r>
        <w:pict>
          <v:shape id="_x0000_s1049" type="#_x0000_t202" style="width:66.1pt;height:25.55pt;margin-top:315.41pt;margin-left:297.26pt;mso-position-horizontal-relative:page;mso-position-vertical-relative:page;position:absolute;z-index:-2516428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271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1271"/>
                  </w:tblGrid>
                  <w:tr>
                    <w:tblPrEx>
                      <w:tblW w:w="1271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450"/>
                    </w:trPr>
                    <w:tc>
                      <w:tcPr>
                        <w:tcW w:w="1271" w:type="dxa"/>
                        <w:shd w:val="clear" w:color="auto" w:fill="FFFF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50" type="#_x0000_t202" style="width:320.65pt;height:264.15pt;margin-top:371.04pt;margin-left:55.83pt;mso-position-horizontal-relative:page;mso-position-vertical-relative:page;position:absolute;z-index:25168179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4006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图</w:t>
                  </w:r>
                  <w:r>
                    <w:rPr>
                      <w:spacing w:val="-3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1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8"/>
                      <w:sz w:val="21"/>
                      <w:szCs w:val="21"/>
                    </w:rPr>
                    <w:t>监测模型</w:t>
                  </w:r>
                </w:p>
                <w:p>
                  <w:pPr>
                    <w:pStyle w:val="BodyText"/>
                    <w:spacing w:before="215" w:line="216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4.2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数据采集层与数据传输层对数据进行集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成监测。</w:t>
                  </w:r>
                </w:p>
                <w:p>
                  <w:pPr>
                    <w:pStyle w:val="BodyText"/>
                    <w:spacing w:before="65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4.3</w:t>
                  </w:r>
                  <w:r>
                    <w:rPr>
                      <w:spacing w:val="-1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数据处理与控制层与安全评价与预警层对数据进行分析和处理。</w:t>
                  </w:r>
                </w:p>
                <w:p>
                  <w:pPr>
                    <w:pStyle w:val="BodyText"/>
                    <w:spacing w:before="63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4.4</w:t>
                  </w:r>
                  <w:r>
                    <w:rPr>
                      <w:spacing w:val="-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数据应用层对数据进行可视化操作处理。</w:t>
                  </w:r>
                </w:p>
                <w:p>
                  <w:pPr>
                    <w:spacing w:line="30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69" w:line="22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5</w:t>
                  </w:r>
                  <w:r>
                    <w:rPr>
                      <w:spacing w:val="-1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1"/>
                      <w:sz w:val="21"/>
                      <w:szCs w:val="21"/>
                    </w:rPr>
                    <w:t>数据采集技术要求</w:t>
                  </w:r>
                </w:p>
                <w:p>
                  <w:pPr>
                    <w:spacing w:line="30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68" w:line="222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5.1</w:t>
                  </w:r>
                  <w:r>
                    <w:rPr>
                      <w:spacing w:val="-1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1"/>
                      <w:sz w:val="21"/>
                      <w:szCs w:val="21"/>
                    </w:rPr>
                    <w:t>基本要求</w:t>
                  </w:r>
                </w:p>
                <w:p>
                  <w:pPr>
                    <w:pStyle w:val="BodyText"/>
                    <w:spacing w:before="216" w:line="246" w:lineRule="auto"/>
                    <w:ind w:left="732" w:right="3188" w:hanging="71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5.1.1</w:t>
                  </w:r>
                  <w:r>
                    <w:rPr>
                      <w:spacing w:val="-3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数据采集应包括以下数据：</w:t>
                  </w: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——塔顶倾角；</w:t>
                  </w:r>
                </w:p>
                <w:p>
                  <w:pPr>
                    <w:spacing w:before="63" w:line="222" w:lineRule="auto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21"/>
                      <w:szCs w:val="21"/>
                    </w:rPr>
                    <w:t>——混凝土应变；</w:t>
                  </w:r>
                </w:p>
                <w:p>
                  <w:pPr>
                    <w:spacing w:before="60" w:line="312" w:lineRule="exact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position w:val="7"/>
                      <w:sz w:val="21"/>
                      <w:szCs w:val="21"/>
                    </w:rPr>
                    <w:t>——塔筒摆幅加速度；</w:t>
                  </w:r>
                </w:p>
                <w:p>
                  <w:pPr>
                    <w:spacing w:before="1" w:line="221" w:lineRule="auto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——塔壁裂纹；</w:t>
                  </w:r>
                </w:p>
                <w:p>
                  <w:pPr>
                    <w:spacing w:before="60" w:line="312" w:lineRule="exact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position w:val="7"/>
                      <w:sz w:val="21"/>
                      <w:szCs w:val="21"/>
                    </w:rPr>
                    <w:t>——渗水点；</w:t>
                  </w:r>
                </w:p>
                <w:p>
                  <w:pPr>
                    <w:spacing w:line="220" w:lineRule="auto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——预应力；</w:t>
                  </w:r>
                </w:p>
                <w:p>
                  <w:pPr>
                    <w:spacing w:before="62" w:line="220" w:lineRule="auto"/>
                    <w:ind w:left="7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——塔基沉降位移、均匀度。</w:t>
                  </w:r>
                </w:p>
              </w:txbxContent>
            </v:textbox>
          </v:shape>
        </w:pict>
      </w:r>
      <w:r>
        <w:pict>
          <v:shape id="_x0000_s1051" type="#_x0000_t202" style="width:286.05pt;height:61.25pt;margin-top:636.24pt;margin-left:55.87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5.1.2</w:t>
                  </w:r>
                  <w:r>
                    <w:rPr>
                      <w:spacing w:val="-3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数据采集层应满足：</w:t>
                  </w:r>
                </w:p>
                <w:p>
                  <w:pPr>
                    <w:spacing w:before="63" w:line="245" w:lineRule="auto"/>
                    <w:ind w:left="448" w:right="28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——所处地理位置的物理、化学和生物等环境的</w:t>
                  </w: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要求；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——</w:t>
                  </w:r>
                  <w:r>
                    <w:rPr>
                      <w:rFonts w:ascii="SimSun" w:eastAsia="SimSun" w:hAnsi="SimSun" w:cs="SimSun"/>
                      <w:spacing w:val="-4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21"/>
                      <w:szCs w:val="21"/>
                    </w:rPr>
                    <w:t>自动、实时进行数据采集的要求；</w:t>
                  </w:r>
                </w:p>
                <w:p>
                  <w:pPr>
                    <w:spacing w:before="65" w:line="219" w:lineRule="auto"/>
                    <w:ind w:right="15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——对采集的数据进行</w:t>
                  </w:r>
                  <w:r>
                    <w:rPr>
                      <w:rFonts w:ascii="SimSun" w:eastAsia="SimSun" w:hAnsi="SimSun" w:cs="SimSun"/>
                      <w:spacing w:val="-4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A/D(模/数)转换的初步处理功能；</w:t>
                  </w:r>
                </w:p>
              </w:txbxContent>
            </v:textbox>
          </v:shape>
        </w:pict>
      </w:r>
      <w:r>
        <w:pict>
          <v:shape id="_x0000_s1052" type="#_x0000_t202" style="width:463.9pt;height:30.05pt;margin-top:98.03pt;margin-left:55.83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46" w:lineRule="auto"/>
                    <w:ind w:left="27" w:right="20" w:hanging="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4.1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装配式钢-混组合风电塔筒健康状态在线监测模型一般包括：数据采集层、数据传输层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、数据处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理中心层、安全评价与预警层、数据应用层。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监测模型见图</w:t>
                  </w:r>
                  <w:r>
                    <w:rPr>
                      <w:rFonts w:ascii="SimSun" w:eastAsia="SimSun" w:hAnsi="SimSun" w:cs="SimSun"/>
                      <w:spacing w:val="-2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1。</w:t>
                  </w:r>
                </w:p>
              </w:txbxContent>
            </v:textbox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236" w:lineRule="auto"/>
        <w:ind w:left="1143"/>
        <w:rPr>
          <w:sz w:val="21"/>
          <w:szCs w:val="21"/>
        </w:rPr>
      </w:pPr>
      <w:r>
        <w:rPr>
          <w:spacing w:val="-1"/>
          <w:sz w:val="21"/>
          <w:szCs w:val="21"/>
        </w:rPr>
        <w:t>DB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41/T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XXXX</w:t>
      </w:r>
      <w:r>
        <w:rPr>
          <w:rFonts w:ascii="SimSun" w:eastAsia="SimSun" w:hAnsi="SimSun" w:cs="SimSun"/>
          <w:spacing w:val="-1"/>
          <w:sz w:val="21"/>
          <w:szCs w:val="21"/>
        </w:rPr>
        <w:t>—</w:t>
      </w:r>
      <w:r>
        <w:rPr>
          <w:spacing w:val="-1"/>
          <w:sz w:val="21"/>
          <w:szCs w:val="21"/>
        </w:rPr>
        <w:t>XXXX</w:t>
      </w:r>
    </w:p>
    <w:p>
      <w:pPr>
        <w:spacing w:before="44"/>
      </w:pPr>
    </w:p>
    <w:p>
      <w:pPr>
        <w:spacing w:before="43"/>
      </w:pPr>
    </w:p>
    <w:p>
      <w:pPr>
        <w:spacing w:before="43"/>
      </w:pPr>
    </w:p>
    <w:p>
      <w:pPr>
        <w:sectPr>
          <w:headerReference w:type="default" r:id="rId18"/>
          <w:footerReference w:type="default" r:id="rId19"/>
          <w:pgSz w:w="11906" w:h="16839"/>
          <w:pgMar w:top="400" w:right="351" w:bottom="1283" w:left="0" w:header="0" w:footer="1107" w:gutter="0"/>
          <w:pgNumType w:start="10"/>
          <w:cols w:num="1" w:space="708" w:equalWidth="0">
            <w:col w:w="11555" w:space="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97" w:line="223" w:lineRule="auto"/>
        <w:ind w:left="1599"/>
        <w:rPr>
          <w:rFonts w:ascii="SimSun" w:eastAsia="SimSun" w:hAnsi="SimSun" w:cs="SimSun"/>
          <w:sz w:val="17"/>
          <w:szCs w:val="17"/>
        </w:rPr>
      </w:pPr>
      <w:r>
        <w:pict>
          <v:shape id="_x0000_s1053" type="#_x0000_t136" style="width:777.95pt;height:56.25pt;margin-top:246.29pt;margin-left:-333.72pt;position:absolute;rotation:315;z-index:-251625472" filled="t" fillcolor="black" stroked="f">
            <v:fill opacity="3341f"/>
            <v:textpath style="font-family:SimSun;font-size:60pt;mso-text-shadow:auto;v-text-kern:t" string="河南省地方标准公共服务平台"/>
          </v:shape>
        </w:pict>
      </w:r>
      <w:r>
        <w:pict>
          <v:group id="_x0000_s1054" style="width:186.45pt;height:68.3pt;margin-top:-0.05pt;margin-left:0;position:absolute;z-index:-251626496" coordorigin="0,0" coordsize="3728,1366" filled="f" stroked="f">
            <v:shape id="_x0000_s1055" style="width:3717;height:1355;left:5;position:absolute;top:5" coordorigin="0,0" coordsize="3717,1355" path="m,l3717,l3717,1354l,1354l,xe" filled="t" fillcolor="#f2f2f2" stroked="f"/>
            <v:shape id="_x0000_s1056" style="width:3728;height:1366;position:absolute" coordorigin="0,0" coordsize="3728,1366" path="m5,1359l3722,1359l3722,1359l3722,5l3722,5l5,5l5,5l5,1359xe" filled="f" strokecolor="black" strokeweight="0.54pt">
              <v:stroke dashstyle="dash" endcap="round"/>
            </v:shape>
            <v:shape id="_x0000_s1057" style="width:1065;height:460;left:1492;position:absolute;top:65" coordorigin="0,0" coordsize="1065,460" path="m,l1065,l1065,459l,459l,xe" filled="t" fillcolor="white" stroked="f"/>
            <v:shape id="_x0000_s1058" style="width:1076;height:470;left:1487;position:absolute;top:60" coordorigin="0,0" coordsize="1076,470" path="m5,465l1071,465l1071,465l1071,5l1071,5l5,5l5,5l5,465xe" filled="f" strokecolor="black" strokeweight="0.54pt">
              <v:stroke endcap="round"/>
            </v:shape>
          </v:group>
        </w:pict>
      </w:r>
      <w:r>
        <w:rPr>
          <w:rFonts w:ascii="SimSun" w:eastAsia="SimSun" w:hAnsi="SimSun" w:cs="SimSun"/>
          <w:spacing w:val="1"/>
          <w:sz w:val="17"/>
          <w:szCs w:val="17"/>
        </w:rPr>
        <w:t>数据采集层</w:t>
      </w:r>
    </w:p>
    <w:p>
      <w:pPr>
        <w:spacing w:line="223" w:lineRule="auto"/>
        <w:rPr>
          <w:rFonts w:ascii="SimSun" w:eastAsia="SimSun" w:hAnsi="SimSun" w:cs="SimSun"/>
          <w:sz w:val="17"/>
          <w:szCs w:val="17"/>
        </w:rPr>
        <w:sectPr>
          <w:headerReference w:type="default" r:id="rId20"/>
          <w:footerReference w:type="default" r:id="rId21"/>
          <w:type w:val="continuous"/>
          <w:pgSz w:w="11906" w:h="16839"/>
          <w:pgMar w:top="400" w:right="351" w:bottom="1283" w:left="0" w:header="0" w:footer="1107" w:gutter="0"/>
          <w:pgNumType w:start="11"/>
          <w:cols w:num="2" w:space="708" w:equalWidth="0">
            <w:col w:w="4452" w:space="100"/>
            <w:col w:w="7003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headerReference w:type="default" r:id="rId22"/>
          <w:footerReference w:type="default" r:id="rId23"/>
          <w:type w:val="continuous"/>
          <w:pgSz w:w="11906" w:h="16839"/>
          <w:pgMar w:top="400" w:right="351" w:bottom="1283" w:left="0" w:header="0" w:footer="1107" w:gutter="0"/>
          <w:pgNumType w:start="12"/>
          <w:cols w:num="1" w:space="708" w:equalWidth="0">
            <w:col w:w="11555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1137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5.1.3</w:t>
      </w:r>
      <w:r>
        <w:rPr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采集的数据应实时、准确、可靠。</w:t>
      </w:r>
    </w:p>
    <w:p>
      <w:pPr>
        <w:pStyle w:val="BodyText"/>
        <w:spacing w:before="221" w:line="221" w:lineRule="auto"/>
        <w:ind w:left="1137"/>
        <w:rPr>
          <w:sz w:val="21"/>
          <w:szCs w:val="21"/>
        </w:rPr>
      </w:pPr>
      <w:r>
        <w:rPr>
          <w:spacing w:val="-1"/>
          <w:sz w:val="21"/>
          <w:szCs w:val="21"/>
        </w:rPr>
        <w:t>5.2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塔顶倾角</w:t>
      </w:r>
    </w:p>
    <w:p>
      <w:pPr>
        <w:pStyle w:val="BodyText"/>
        <w:spacing w:before="216" w:line="185" w:lineRule="auto"/>
        <w:ind w:left="1137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5.2.1</w:t>
      </w:r>
      <w:r>
        <w:rPr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塔顶倾角数据应在塔顶区域实时采集。</w:t>
      </w:r>
    </w:p>
    <w:p>
      <w:pPr>
        <w:spacing w:line="185" w:lineRule="auto"/>
        <w:rPr>
          <w:rFonts w:ascii="SimSun" w:eastAsia="SimSun" w:hAnsi="SimSun" w:cs="SimSun"/>
          <w:sz w:val="21"/>
          <w:szCs w:val="21"/>
        </w:rPr>
        <w:sectPr>
          <w:headerReference w:type="default" r:id="rId24"/>
          <w:footerReference w:type="default" r:id="rId25"/>
          <w:type w:val="nextPage"/>
          <w:pgSz w:w="11906" w:h="16839"/>
          <w:pgMar w:top="400" w:right="351" w:bottom="1283" w:left="0" w:header="0" w:footer="1107" w:gutter="0"/>
          <w:pgNumType w:start="13"/>
          <w:cols w:num="1" w:space="708" w:equalWidth="0">
            <w:col w:w="11555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236" w:lineRule="auto"/>
        <w:ind w:left="8891"/>
        <w:rPr>
          <w:sz w:val="21"/>
          <w:szCs w:val="21"/>
        </w:rPr>
      </w:pPr>
      <w:r>
        <w:rPr>
          <w:spacing w:val="-1"/>
          <w:sz w:val="21"/>
          <w:szCs w:val="21"/>
        </w:rPr>
        <w:t>DB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41/T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XXXX</w:t>
      </w:r>
      <w:r>
        <w:rPr>
          <w:rFonts w:ascii="SimSun" w:eastAsia="SimSun" w:hAnsi="SimSun" w:cs="SimSun"/>
          <w:spacing w:val="-1"/>
          <w:sz w:val="21"/>
          <w:szCs w:val="21"/>
        </w:rPr>
        <w:t>—</w:t>
      </w:r>
      <w:r>
        <w:rPr>
          <w:spacing w:val="-1"/>
          <w:sz w:val="21"/>
          <w:szCs w:val="21"/>
        </w:rPr>
        <w:t>XXXX</w:t>
      </w:r>
    </w:p>
    <w:p>
      <w:pPr>
        <w:pStyle w:val="BodyText"/>
        <w:spacing w:before="232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1"/>
          <w:sz w:val="21"/>
          <w:szCs w:val="21"/>
        </w:rPr>
        <w:t>5.2.2</w:t>
      </w:r>
      <w:r>
        <w:rPr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塔顶倾角监测点应合理选择，可在塔顶设置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个对称监测点，共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个测点，示例参见附录</w:t>
      </w:r>
    </w:p>
    <w:p>
      <w:pPr>
        <w:spacing w:before="95" w:line="183" w:lineRule="auto"/>
        <w:ind w:left="1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A.1。</w:t>
      </w:r>
    </w:p>
    <w:p>
      <w:pPr>
        <w:pStyle w:val="BodyText"/>
        <w:spacing w:before="71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3"/>
          <w:sz w:val="21"/>
          <w:szCs w:val="21"/>
        </w:rPr>
        <w:t>5.2.3</w:t>
      </w:r>
      <w:r>
        <w:rPr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塔顶倾角数据采集应满足表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的要求。</w:t>
      </w:r>
    </w:p>
    <w:p>
      <w:pPr>
        <w:pStyle w:val="BodyText"/>
        <w:spacing w:before="218" w:line="221" w:lineRule="auto"/>
        <w:ind w:left="4557"/>
        <w:rPr>
          <w:sz w:val="21"/>
          <w:szCs w:val="21"/>
        </w:rPr>
      </w:pPr>
      <w:r>
        <w:rPr>
          <w:spacing w:val="-2"/>
          <w:sz w:val="21"/>
          <w:szCs w:val="21"/>
        </w:rPr>
        <w:t>表</w:t>
      </w:r>
      <w:r>
        <w:rPr>
          <w:spacing w:val="-3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1</w:t>
      </w:r>
      <w:r>
        <w:rPr>
          <w:spacing w:val="-2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塔顶倾角数据采集技术要求</w:t>
      </w:r>
    </w:p>
    <w:p>
      <w:pPr>
        <w:spacing w:line="164" w:lineRule="exact"/>
      </w:pPr>
    </w:p>
    <w:tbl>
      <w:tblPr>
        <w:tblStyle w:val="TableNormal1"/>
        <w:tblW w:w="9334" w:type="dxa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3113"/>
        <w:gridCol w:w="3106"/>
        <w:gridCol w:w="3115"/>
      </w:tblGrid>
      <w:tr>
        <w:tblPrEx>
          <w:tblW w:w="9334" w:type="dxa"/>
          <w:tblInd w:w="14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312"/>
        </w:trPr>
        <w:tc>
          <w:tcPr>
            <w:tcW w:w="3113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3"/>
            </w:pPr>
            <w:r>
              <w:rPr>
                <w:spacing w:val="-2"/>
              </w:rPr>
              <w:t>采集项目</w:t>
            </w:r>
          </w:p>
        </w:tc>
        <w:tc>
          <w:tcPr>
            <w:tcW w:w="3106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4"/>
            </w:pPr>
            <w:r>
              <w:rPr>
                <w:spacing w:val="-2"/>
              </w:rPr>
              <w:t>采集范围</w:t>
            </w:r>
          </w:p>
        </w:tc>
        <w:tc>
          <w:tcPr>
            <w:tcW w:w="3115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7"/>
            </w:pPr>
            <w:r>
              <w:rPr>
                <w:spacing w:val="-2"/>
              </w:rPr>
              <w:t>采集精度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12"/>
        </w:trPr>
        <w:tc>
          <w:tcPr>
            <w:tcW w:w="3113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374"/>
            </w:pPr>
            <w:r>
              <w:rPr>
                <w:spacing w:val="-2"/>
              </w:rPr>
              <w:t>倾角</w:t>
            </w:r>
          </w:p>
        </w:tc>
        <w:tc>
          <w:tcPr>
            <w:tcW w:w="3106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5" w:line="186" w:lineRule="auto"/>
              <w:ind w:left="1272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spacing w:val="-18"/>
                <w:w w:val="96"/>
              </w:rPr>
              <w:t>≥</w:t>
            </w:r>
            <w:r>
              <w:rPr>
                <w:spacing w:val="-5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8"/>
                <w:w w:val="96"/>
                <w:sz w:val="17"/>
                <w:szCs w:val="17"/>
              </w:rPr>
              <w:t>士</w:t>
            </w:r>
            <w:r>
              <w:rPr>
                <w:rFonts w:ascii="Times New Roman" w:eastAsia="Times New Roman" w:hAnsi="Times New Roman" w:cs="Times New Roman"/>
                <w:spacing w:val="-18"/>
                <w:w w:val="96"/>
                <w:sz w:val="17"/>
                <w:szCs w:val="17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0"/>
                <w:szCs w:val="10"/>
              </w:rPr>
              <w:t>o</w:t>
            </w:r>
          </w:p>
        </w:tc>
        <w:tc>
          <w:tcPr>
            <w:tcW w:w="3115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75" w:line="186" w:lineRule="auto"/>
              <w:ind w:left="1211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spacing w:val="-13"/>
              </w:rPr>
              <w:t>≤</w:t>
            </w:r>
            <w:r>
              <w:rPr>
                <w:spacing w:val="-5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3"/>
                <w:sz w:val="17"/>
                <w:szCs w:val="17"/>
              </w:rPr>
              <w:t>士</w:t>
            </w:r>
            <w:r>
              <w:rPr>
                <w:rFonts w:ascii="Times New Roman" w:eastAsia="Times New Roman" w:hAnsi="Times New Roman" w:cs="Times New Roman"/>
                <w:spacing w:val="-13"/>
                <w:sz w:val="17"/>
                <w:szCs w:val="17"/>
              </w:rPr>
              <w:t>0.05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0"/>
                <w:szCs w:val="10"/>
              </w:rPr>
              <w:t>o</w:t>
            </w:r>
          </w:p>
        </w:tc>
      </w:tr>
    </w:tbl>
    <w:p>
      <w:pPr>
        <w:pStyle w:val="BodyText"/>
        <w:spacing w:before="208" w:line="222" w:lineRule="auto"/>
        <w:ind w:left="1421"/>
        <w:rPr>
          <w:sz w:val="21"/>
          <w:szCs w:val="21"/>
        </w:rPr>
      </w:pPr>
      <w:r>
        <w:rPr>
          <w:spacing w:val="-1"/>
          <w:sz w:val="21"/>
          <w:szCs w:val="21"/>
        </w:rPr>
        <w:t>5.3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混凝土应变</w:t>
      </w:r>
    </w:p>
    <w:p>
      <w:pPr>
        <w:pStyle w:val="BodyText"/>
        <w:spacing w:before="216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1"/>
          <w:sz w:val="21"/>
          <w:szCs w:val="21"/>
        </w:rPr>
        <w:t>5.3.1</w:t>
      </w:r>
      <w:r>
        <w:rPr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混凝土应变数据应在开裂敏感区域</w:t>
      </w:r>
      <w:r>
        <w:rPr>
          <w:rFonts w:ascii="SimSun" w:eastAsia="SimSun" w:hAnsi="SimSun" w:cs="SimSun"/>
          <w:spacing w:val="-2"/>
          <w:sz w:val="21"/>
          <w:szCs w:val="21"/>
        </w:rPr>
        <w:t>实时采集。</w:t>
      </w:r>
    </w:p>
    <w:p>
      <w:pPr>
        <w:pStyle w:val="BodyText"/>
        <w:spacing w:before="62" w:line="247" w:lineRule="auto"/>
        <w:ind w:left="1428" w:right="1001" w:hanging="7"/>
        <w:rPr>
          <w:rFonts w:ascii="SimSun" w:eastAsia="SimSun" w:hAnsi="SimSun" w:cs="SimSun"/>
          <w:sz w:val="21"/>
          <w:szCs w:val="21"/>
        </w:rPr>
      </w:pPr>
      <w:r>
        <w:rPr>
          <w:spacing w:val="-1"/>
          <w:sz w:val="21"/>
          <w:szCs w:val="21"/>
        </w:rPr>
        <w:t>5.3.2</w:t>
      </w:r>
      <w:r>
        <w:rPr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混凝土应变监测点应合理选择，可选取塔筒的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7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个断面，每个断面设置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个对称监测点，共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28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个测点，示例参见附录</w:t>
      </w:r>
      <w:r>
        <w:rPr>
          <w:rFonts w:ascii="SimSun" w:eastAsia="SimSun" w:hAnsi="SimSun" w:cs="SimSun"/>
          <w:spacing w:val="-5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A.2。</w:t>
      </w:r>
    </w:p>
    <w:p>
      <w:pPr>
        <w:pStyle w:val="BodyText"/>
        <w:spacing w:before="63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3"/>
          <w:sz w:val="21"/>
          <w:szCs w:val="21"/>
        </w:rPr>
        <w:t>5.3.3</w:t>
      </w:r>
      <w:r>
        <w:rPr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混凝土应变数据采集应满足表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的要求。</w:t>
      </w:r>
    </w:p>
    <w:p>
      <w:pPr>
        <w:pStyle w:val="BodyText"/>
        <w:spacing w:before="218" w:line="222" w:lineRule="auto"/>
        <w:ind w:left="4662"/>
        <w:rPr>
          <w:sz w:val="21"/>
          <w:szCs w:val="21"/>
        </w:rPr>
      </w:pPr>
      <w:r>
        <w:rPr>
          <w:spacing w:val="-2"/>
          <w:sz w:val="21"/>
          <w:szCs w:val="21"/>
        </w:rPr>
        <w:t>表</w:t>
      </w:r>
      <w:r>
        <w:rPr>
          <w:spacing w:val="-3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2</w:t>
      </w:r>
      <w:r>
        <w:rPr>
          <w:spacing w:val="-2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混凝土应变采集技术要求</w:t>
      </w:r>
    </w:p>
    <w:p>
      <w:pPr>
        <w:spacing w:line="163" w:lineRule="exact"/>
      </w:pPr>
    </w:p>
    <w:tbl>
      <w:tblPr>
        <w:tblStyle w:val="TableNormal1"/>
        <w:tblW w:w="9334" w:type="dxa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2338"/>
        <w:gridCol w:w="2329"/>
        <w:gridCol w:w="4667"/>
      </w:tblGrid>
      <w:tr>
        <w:tblPrEx>
          <w:tblW w:w="9334" w:type="dxa"/>
          <w:tblInd w:w="14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318"/>
        </w:trPr>
        <w:tc>
          <w:tcPr>
            <w:tcW w:w="4667" w:type="dxa"/>
            <w:gridSpan w:val="2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972"/>
            </w:pPr>
            <w:r>
              <w:rPr>
                <w:spacing w:val="-2"/>
              </w:rPr>
              <w:t>采集项目</w:t>
            </w:r>
          </w:p>
        </w:tc>
        <w:tc>
          <w:tcPr>
            <w:tcW w:w="466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67" w:line="221" w:lineRule="auto"/>
              <w:ind w:left="1977"/>
            </w:pPr>
            <w:r>
              <w:rPr>
                <w:spacing w:val="-3"/>
              </w:rPr>
              <w:t>范围要求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09"/>
        </w:trPr>
        <w:tc>
          <w:tcPr>
            <w:tcW w:w="2338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26" w:line="222" w:lineRule="auto"/>
              <w:ind w:left="806"/>
            </w:pPr>
            <w:r>
              <w:rPr>
                <w:spacing w:val="-2"/>
              </w:rPr>
              <w:t>应变测量</w:t>
            </w:r>
          </w:p>
        </w:tc>
        <w:tc>
          <w:tcPr>
            <w:tcW w:w="2329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69" w:line="221" w:lineRule="auto"/>
              <w:ind w:left="715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spacing w:val="-4"/>
              </w:rPr>
              <w:t>拉伸:</w:t>
            </w:r>
            <w:r>
              <w:rPr>
                <w:spacing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0"/>
                <w:szCs w:val="10"/>
              </w:rPr>
              <w:t>6</w:t>
            </w:r>
          </w:p>
        </w:tc>
        <w:tc>
          <w:tcPr>
            <w:tcW w:w="4667" w:type="dxa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227"/>
              <w:ind w:left="2019"/>
            </w:pPr>
            <w:r>
              <w:rPr>
                <w:spacing w:val="-2"/>
              </w:rPr>
              <w:t>0～1500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04"/>
        </w:trPr>
        <w:tc>
          <w:tcPr>
            <w:tcW w:w="233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714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spacing w:val="-4"/>
              </w:rPr>
              <w:t>压缩:</w:t>
            </w:r>
            <w:r>
              <w:rPr>
                <w:spacing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3"/>
                <w:w w:val="10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0"/>
                <w:szCs w:val="10"/>
              </w:rPr>
              <w:t>6</w:t>
            </w:r>
          </w:p>
        </w:tc>
        <w:tc>
          <w:tcPr>
            <w:tcW w:w="466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09"/>
        </w:trPr>
        <w:tc>
          <w:tcPr>
            <w:tcW w:w="466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1973"/>
            </w:pPr>
            <w:r>
              <w:rPr>
                <w:spacing w:val="-2"/>
              </w:rPr>
              <w:t>测量精度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80" w:line="170" w:lineRule="auto"/>
              <w:ind w:left="1775"/>
              <w:rPr>
                <w:rFonts w:ascii="Times New Roman" w:eastAsia="Times New Roman" w:hAnsi="Times New Roman" w:cs="Times New Roman"/>
              </w:rPr>
            </w:pPr>
            <w:r>
              <w:rPr>
                <w:spacing w:val="-13"/>
              </w:rPr>
              <w:t>≤</w:t>
            </w:r>
            <w:r>
              <w:rPr>
                <w:spacing w:val="-48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3"/>
              </w:rPr>
              <w:t>士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1%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F.S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14"/>
        </w:trPr>
        <w:tc>
          <w:tcPr>
            <w:tcW w:w="4667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5" w:line="220" w:lineRule="auto"/>
              <w:ind w:left="2065"/>
            </w:pPr>
            <w:r>
              <w:rPr>
                <w:spacing w:val="-3"/>
              </w:rPr>
              <w:t>灵敏度</w:t>
            </w: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</w:tcBorders>
            <w:vAlign w:val="top"/>
          </w:tcPr>
          <w:p>
            <w:pPr>
              <w:pStyle w:val="TableText"/>
              <w:spacing w:before="66" w:line="238" w:lineRule="exact"/>
              <w:ind w:left="177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spacing w:val="-3"/>
              </w:rPr>
              <w:t>≤0.5</w:t>
            </w:r>
            <w:r>
              <w:rPr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0"/>
                <w:szCs w:val="10"/>
              </w:rPr>
              <w:t xml:space="preserve">6  </w:t>
            </w: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</w:rPr>
              <w:t>/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</w:rPr>
              <w:t>F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18"/>
        </w:trPr>
        <w:tc>
          <w:tcPr>
            <w:tcW w:w="9334" w:type="dxa"/>
            <w:gridSpan w:val="3"/>
            <w:vAlign w:val="top"/>
          </w:tcPr>
          <w:p>
            <w:pPr>
              <w:pStyle w:val="TableText"/>
              <w:spacing w:before="63" w:line="201" w:lineRule="auto"/>
              <w:ind w:left="372"/>
            </w:pPr>
            <w:r>
              <w:rPr>
                <w:rFonts w:ascii="SimHei" w:eastAsia="SimHei" w:hAnsi="SimHei" w:cs="SimHei"/>
                <w:spacing w:val="-12"/>
              </w:rPr>
              <w:t>注：</w:t>
            </w:r>
            <w:r>
              <w:rPr>
                <w:rFonts w:ascii="SimHei" w:eastAsia="SimHei" w:hAnsi="SimHei" w:cs="SimHei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17"/>
                <w:szCs w:val="17"/>
              </w:rPr>
              <w:t xml:space="preserve">F </w:t>
            </w:r>
            <w:r>
              <w:rPr>
                <w:rFonts w:ascii="Microsoft YaHei" w:eastAsia="Microsoft YaHei" w:hAnsi="Microsoft YaHei" w:cs="Microsoft YaHei"/>
                <w:spacing w:val="-12"/>
                <w:sz w:val="17"/>
                <w:szCs w:val="17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pacing w:val="-12"/>
                <w:sz w:val="17"/>
                <w:szCs w:val="17"/>
              </w:rPr>
              <w:t>Hz</w:t>
            </w:r>
            <w:r>
              <w:rPr>
                <w:rFonts w:ascii="Times New Roman" w:eastAsia="Times New Roman" w:hAnsi="Times New Roman" w:cs="Times New Roman"/>
                <w:position w:val="7"/>
                <w:sz w:val="10"/>
                <w:szCs w:val="10"/>
              </w:rPr>
              <w:t xml:space="preserve">2 </w:t>
            </w:r>
            <w:r>
              <w:rPr>
                <w:rFonts w:ascii="Microsoft YaHei" w:eastAsia="Microsoft YaHei" w:hAnsi="Microsoft YaHei" w:cs="Microsoft YaHei"/>
                <w:sz w:val="17"/>
                <w:szCs w:val="17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19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7"/>
                <w:sz w:val="10"/>
                <w:szCs w:val="1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1"/>
                <w:w w:val="103"/>
                <w:position w:val="7"/>
                <w:sz w:val="10"/>
                <w:szCs w:val="10"/>
              </w:rPr>
              <w:t xml:space="preserve"> </w:t>
            </w:r>
            <w:r>
              <w:t>。</w:t>
            </w:r>
          </w:p>
        </w:tc>
      </w:tr>
    </w:tbl>
    <w:p>
      <w:pPr>
        <w:pStyle w:val="BodyText"/>
        <w:spacing w:before="208" w:line="222" w:lineRule="auto"/>
        <w:ind w:left="1421"/>
        <w:rPr>
          <w:sz w:val="21"/>
          <w:szCs w:val="21"/>
        </w:rPr>
      </w:pPr>
      <w:r>
        <w:rPr>
          <w:spacing w:val="-1"/>
          <w:sz w:val="21"/>
          <w:szCs w:val="21"/>
        </w:rPr>
        <w:t>5.4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塔筒摆幅加速度</w:t>
      </w:r>
    </w:p>
    <w:p>
      <w:pPr>
        <w:pStyle w:val="BodyText"/>
        <w:spacing w:before="216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1"/>
          <w:sz w:val="21"/>
          <w:szCs w:val="21"/>
        </w:rPr>
        <w:t>5.4.1</w:t>
      </w:r>
      <w:r>
        <w:rPr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塔筒摆幅加速度数据应在摆动敏感区域实</w:t>
      </w:r>
      <w:r>
        <w:rPr>
          <w:rFonts w:ascii="SimSun" w:eastAsia="SimSun" w:hAnsi="SimSun" w:cs="SimSun"/>
          <w:spacing w:val="-2"/>
          <w:sz w:val="21"/>
          <w:szCs w:val="21"/>
        </w:rPr>
        <w:t>时采集。</w:t>
      </w:r>
    </w:p>
    <w:p>
      <w:pPr>
        <w:pStyle w:val="BodyText"/>
        <w:spacing w:before="63" w:line="247" w:lineRule="auto"/>
        <w:ind w:left="1426" w:right="941" w:hanging="5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5.4.2</w:t>
      </w:r>
      <w:r>
        <w:rPr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应合理选择塔筒加速度监测点，可选取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5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个断面，每个断面设置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个对称</w:t>
      </w:r>
      <w:r>
        <w:rPr>
          <w:rFonts w:ascii="SimSun" w:eastAsia="SimSun" w:hAnsi="SimSun" w:cs="SimSun"/>
          <w:spacing w:val="-3"/>
          <w:sz w:val="21"/>
          <w:szCs w:val="21"/>
        </w:rPr>
        <w:t>点，共</w:t>
      </w:r>
      <w:r>
        <w:rPr>
          <w:rFonts w:ascii="SimSun" w:eastAsia="SimSun" w:hAnsi="SimSun" w:cs="SimSun"/>
          <w:spacing w:val="-4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20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个测点，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示例参见附录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A.3。</w:t>
      </w:r>
    </w:p>
    <w:p>
      <w:pPr>
        <w:pStyle w:val="BodyText"/>
        <w:spacing w:before="62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3"/>
          <w:sz w:val="21"/>
          <w:szCs w:val="21"/>
        </w:rPr>
        <w:t>5.4.3</w:t>
      </w:r>
      <w:r>
        <w:rPr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塔筒加速度数据采集应满足表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的要求。</w:t>
      </w:r>
    </w:p>
    <w:p>
      <w:pPr>
        <w:pStyle w:val="BodyText"/>
        <w:spacing w:before="218" w:line="222" w:lineRule="auto"/>
        <w:ind w:left="4452"/>
        <w:rPr>
          <w:sz w:val="21"/>
          <w:szCs w:val="21"/>
        </w:rPr>
      </w:pPr>
      <w:r>
        <w:rPr>
          <w:spacing w:val="-2"/>
          <w:sz w:val="21"/>
          <w:szCs w:val="21"/>
        </w:rPr>
        <w:t>表</w:t>
      </w:r>
      <w:r>
        <w:rPr>
          <w:spacing w:val="-3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3</w:t>
      </w:r>
      <w:r>
        <w:rPr>
          <w:spacing w:val="-2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塔筒加速度数据采集技术要求</w:t>
      </w:r>
    </w:p>
    <w:tbl>
      <w:tblPr>
        <w:tblStyle w:val="TableNormal1"/>
        <w:tblW w:w="9334" w:type="dxa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3113"/>
        <w:gridCol w:w="3106"/>
        <w:gridCol w:w="3115"/>
      </w:tblGrid>
      <w:tr>
        <w:tblPrEx>
          <w:tblW w:w="9334" w:type="dxa"/>
          <w:tblInd w:w="14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312"/>
        </w:trPr>
        <w:tc>
          <w:tcPr>
            <w:tcW w:w="3113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3"/>
            </w:pPr>
            <w:r>
              <w:rPr>
                <w:spacing w:val="-2"/>
              </w:rPr>
              <w:t>采集项目</w:t>
            </w:r>
          </w:p>
        </w:tc>
        <w:tc>
          <w:tcPr>
            <w:tcW w:w="3106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4"/>
            </w:pPr>
            <w:r>
              <w:rPr>
                <w:spacing w:val="-2"/>
              </w:rPr>
              <w:t>采集范围</w:t>
            </w:r>
          </w:p>
        </w:tc>
        <w:tc>
          <w:tcPr>
            <w:tcW w:w="3115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97"/>
            </w:pPr>
            <w:r>
              <w:rPr>
                <w:spacing w:val="-2"/>
              </w:rPr>
              <w:t>采集精度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11"/>
        </w:trPr>
        <w:tc>
          <w:tcPr>
            <w:tcW w:w="3113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1104"/>
            </w:pPr>
            <w:r>
              <w:rPr>
                <w:spacing w:val="-2"/>
              </w:rPr>
              <w:t>摆幅加速度</w:t>
            </w:r>
          </w:p>
        </w:tc>
        <w:tc>
          <w:tcPr>
            <w:tcW w:w="3106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58" w:line="243" w:lineRule="exact"/>
              <w:ind w:left="1082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position w:val="1"/>
              </w:rPr>
              <w:t>≥±5</w:t>
            </w:r>
            <w:r>
              <w:rPr>
                <w:spacing w:val="-48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7"/>
                <w:szCs w:val="17"/>
              </w:rPr>
              <w:t>rad/ s</w:t>
            </w:r>
            <w:r>
              <w:rPr>
                <w:rFonts w:ascii="Times New Roman" w:eastAsia="Times New Roman" w:hAnsi="Times New Roman" w:cs="Times New Roman"/>
                <w:position w:val="8"/>
                <w:sz w:val="10"/>
                <w:szCs w:val="10"/>
              </w:rPr>
              <w:t>2</w:t>
            </w:r>
          </w:p>
        </w:tc>
        <w:tc>
          <w:tcPr>
            <w:tcW w:w="3115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75" w:line="175" w:lineRule="auto"/>
              <w:ind w:left="1146"/>
              <w:rPr>
                <w:rFonts w:ascii="Times New Roman" w:eastAsia="Times New Roman" w:hAnsi="Times New Roman" w:cs="Times New Roman"/>
              </w:rPr>
            </w:pPr>
            <w:r>
              <w:rPr>
                <w:spacing w:val="-15"/>
              </w:rPr>
              <w:t>≤</w:t>
            </w:r>
            <w:r>
              <w:rPr>
                <w:spacing w:val="-4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5"/>
              </w:rPr>
              <w:t>士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0.0009</w:t>
            </w:r>
          </w:p>
        </w:tc>
      </w:tr>
    </w:tbl>
    <w:p>
      <w:pPr>
        <w:sectPr>
          <w:headerReference w:type="default" r:id="rId26"/>
          <w:footerReference w:type="default" r:id="rId27"/>
          <w:pgSz w:w="11906" w:h="16839"/>
          <w:pgMar w:top="400" w:right="351" w:bottom="1283" w:left="0" w:header="0" w:footer="1107" w:gutter="0"/>
          <w:pgNumType w:start="14"/>
          <w:cols w:space="708"/>
        </w:sectPr>
      </w:pPr>
    </w:p>
    <w:p>
      <w:pPr>
        <w:pStyle w:val="BodyText"/>
        <w:spacing w:before="208" w:line="222" w:lineRule="auto"/>
        <w:ind w:left="1421"/>
        <w:rPr>
          <w:sz w:val="21"/>
          <w:szCs w:val="21"/>
        </w:rPr>
      </w:pPr>
      <w:r>
        <w:rPr>
          <w:spacing w:val="-1"/>
          <w:sz w:val="21"/>
          <w:szCs w:val="21"/>
        </w:rPr>
        <w:t>5.5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塔壁裂纹</w:t>
      </w:r>
    </w:p>
    <w:p>
      <w:pPr>
        <w:pStyle w:val="BodyText"/>
        <w:spacing w:before="215" w:line="247" w:lineRule="auto"/>
        <w:ind w:left="1431" w:right="791" w:hanging="10"/>
        <w:rPr>
          <w:rFonts w:ascii="SimSun" w:eastAsia="SimSun" w:hAnsi="SimSun" w:cs="SimSun"/>
          <w:sz w:val="21"/>
          <w:szCs w:val="21"/>
        </w:rPr>
      </w:pPr>
      <w:r>
        <w:rPr>
          <w:sz w:val="21"/>
          <w:szCs w:val="21"/>
        </w:rPr>
        <w:t>5.5.1</w:t>
      </w:r>
      <w:r>
        <w:rPr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塔壁裂纹数据应在塔壁钢-混连接处等裂纹敏感区域定时采集。塔壁无裂纹时，采集</w:t>
      </w:r>
      <w:r>
        <w:rPr>
          <w:rFonts w:ascii="SimSun" w:eastAsia="SimSun" w:hAnsi="SimSun" w:cs="SimSun"/>
          <w:spacing w:val="-1"/>
          <w:sz w:val="21"/>
          <w:szCs w:val="21"/>
        </w:rPr>
        <w:t>频率应≥1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次/12h；塔壁出现裂纹时，采集频率应≥1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次/5min。</w:t>
      </w:r>
    </w:p>
    <w:p>
      <w:pPr>
        <w:pStyle w:val="BodyText"/>
        <w:spacing w:before="62" w:line="222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5.5.2</w:t>
      </w:r>
      <w:r>
        <w:rPr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应合理选择塔壁裂纹设置监测点。</w:t>
      </w:r>
    </w:p>
    <w:p>
      <w:pPr>
        <w:pStyle w:val="BodyText"/>
        <w:spacing w:before="61" w:line="219" w:lineRule="auto"/>
        <w:ind w:left="1421"/>
        <w:rPr>
          <w:rFonts w:ascii="SimSun" w:eastAsia="SimSun" w:hAnsi="SimSun" w:cs="SimSun"/>
          <w:sz w:val="21"/>
          <w:szCs w:val="21"/>
        </w:rPr>
      </w:pPr>
      <w:r>
        <w:rPr>
          <w:spacing w:val="-2"/>
          <w:sz w:val="21"/>
          <w:szCs w:val="21"/>
        </w:rPr>
        <w:t>5.5.3</w:t>
      </w:r>
      <w:r>
        <w:rPr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塔壁裂纹监测区域监测点进行数据采集应满足表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的要求。</w:t>
      </w:r>
    </w:p>
    <w:p>
      <w:pPr>
        <w:pStyle w:val="BodyText"/>
        <w:spacing w:before="218" w:line="222" w:lineRule="auto"/>
        <w:ind w:left="4557"/>
        <w:rPr>
          <w:sz w:val="21"/>
          <w:szCs w:val="21"/>
        </w:rPr>
      </w:pPr>
      <w:r>
        <w:rPr>
          <w:spacing w:val="-1"/>
          <w:sz w:val="21"/>
          <w:szCs w:val="21"/>
        </w:rPr>
        <w:t>表</w:t>
      </w:r>
      <w:r>
        <w:rPr>
          <w:spacing w:val="-4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4</w:t>
      </w:r>
      <w:r>
        <w:rPr>
          <w:spacing w:val="-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塔壁裂纹数据采集技术要求</w:t>
      </w:r>
    </w:p>
    <w:p>
      <w:pPr>
        <w:spacing w:line="163" w:lineRule="exact"/>
      </w:pPr>
    </w:p>
    <w:tbl>
      <w:tblPr>
        <w:tblStyle w:val="TableNormal2"/>
        <w:tblW w:w="9334" w:type="dxa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4664"/>
        <w:gridCol w:w="4670"/>
      </w:tblGrid>
      <w:tr>
        <w:tblPrEx>
          <w:tblW w:w="9334" w:type="dxa"/>
          <w:tblInd w:w="142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315"/>
        </w:trPr>
        <w:tc>
          <w:tcPr>
            <w:tcW w:w="4664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67" w:line="221" w:lineRule="auto"/>
              <w:ind w:left="2154"/>
            </w:pPr>
            <w:r>
              <w:rPr>
                <w:spacing w:val="-3"/>
              </w:rPr>
              <w:t>项目</w:t>
            </w:r>
          </w:p>
        </w:tc>
        <w:tc>
          <w:tcPr>
            <w:tcW w:w="4670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67" w:line="221" w:lineRule="auto"/>
              <w:ind w:left="1978"/>
            </w:pPr>
            <w:r>
              <w:rPr>
                <w:spacing w:val="-3"/>
              </w:rPr>
              <w:t>范围要求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01"/>
        </w:trPr>
        <w:tc>
          <w:tcPr>
            <w:tcW w:w="4664" w:type="dxa"/>
            <w:tcBorders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64" w:line="220" w:lineRule="auto"/>
              <w:ind w:left="2151"/>
            </w:pPr>
            <w:r>
              <w:rPr>
                <w:spacing w:val="-2"/>
              </w:rPr>
              <w:t>像素</w:t>
            </w:r>
          </w:p>
        </w:tc>
        <w:tc>
          <w:tcPr>
            <w:tcW w:w="4670" w:type="dxa"/>
            <w:tcBorders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202" w:lineRule="auto"/>
              <w:ind w:left="161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spacing w:val="-1"/>
              </w:rPr>
              <w:t>≥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 xml:space="preserve">1920px </w:t>
            </w:r>
            <w:r>
              <w:rPr>
                <w:rFonts w:ascii="Microsoft YaHei" w:eastAsia="Microsoft YaHei" w:hAnsi="Microsoft YaHei" w:cs="Microsoft YaHei"/>
                <w:spacing w:val="-1"/>
                <w:sz w:val="17"/>
                <w:szCs w:val="17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19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1080</w:t>
            </w:r>
            <w:r>
              <w:rPr>
                <w:rFonts w:ascii="Times New Roman" w:eastAsia="Times New Roman" w:hAnsi="Times New Roman" w:cs="Times New Roman"/>
                <w:spacing w:val="-2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px</w:t>
            </w:r>
          </w:p>
        </w:tc>
      </w:tr>
      <w:tr>
        <w:tblPrEx>
          <w:tblW w:w="9334" w:type="dxa"/>
          <w:tblInd w:w="1428" w:type="dxa"/>
          <w:tblLayout w:type="fixed"/>
        </w:tblPrEx>
        <w:trPr>
          <w:trHeight w:val="320"/>
        </w:trPr>
        <w:tc>
          <w:tcPr>
            <w:tcW w:w="4664" w:type="dxa"/>
            <w:tcBorders>
              <w:top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75" w:line="220" w:lineRule="auto"/>
              <w:ind w:left="1883"/>
            </w:pPr>
            <w:r>
              <w:rPr>
                <w:spacing w:val="-2"/>
              </w:rPr>
              <w:t>水平分辨力</w:t>
            </w:r>
          </w:p>
        </w:tc>
        <w:tc>
          <w:tcPr>
            <w:tcW w:w="4670" w:type="dxa"/>
            <w:tcBorders>
              <w:top w:val="single" w:sz="4" w:space="0" w:color="000000"/>
              <w:left w:val="single" w:sz="4" w:space="0" w:color="000000"/>
            </w:tcBorders>
            <w:vAlign w:val="top"/>
          </w:tcPr>
          <w:p>
            <w:pPr>
              <w:pStyle w:val="TableText"/>
              <w:spacing w:before="75" w:line="217" w:lineRule="auto"/>
              <w:ind w:left="39"/>
            </w:pPr>
            <w:r>
              <w:t>环境光照不低于300 lx,不低于900 TVL；环</w:t>
            </w:r>
            <w:r>
              <w:rPr>
                <w:spacing w:val="-1"/>
              </w:rPr>
              <w:t>境光照在0.1lx</w:t>
            </w:r>
          </w:p>
        </w:tc>
      </w:tr>
    </w:tbl>
    <w:p>
      <w:pPr>
        <w:spacing w:line="202" w:lineRule="exact"/>
        <w:rPr>
          <w:rFonts w:ascii="Arial"/>
          <w:sz w:val="17"/>
        </w:rPr>
      </w:pPr>
    </w:p>
    <w:p>
      <w:pPr>
        <w:spacing w:line="202" w:lineRule="exact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br/>
      </w:r>
      <w:r>
        <w:rPr>
          <w:rFonts w:ascii="Arial" w:eastAsia="Arial" w:hAnsi="Arial" w:cs="Arial"/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https://d.book118.com/506215133000010055</w:t>
        </w:r>
      </w:hyperlink>
    </w:p>
    <w:p>
      <w:pPr>
        <w:spacing w:line="202" w:lineRule="exact"/>
        <w:rPr>
          <w:rFonts w:ascii="Arial" w:eastAsia="Arial" w:hAnsi="Arial" w:cs="Arial"/>
          <w:sz w:val="17"/>
          <w:szCs w:val="17"/>
        </w:rPr>
      </w:pPr>
    </w:p>
    <w:sectPr>
      <w:headerReference w:type="default" r:id="rId29"/>
      <w:footerReference w:type="default" r:id="rId30"/>
      <w:type w:val="nextPage"/>
      <w:pgSz w:w="11906" w:h="16839"/>
      <w:pgMar w:top="400" w:right="351" w:bottom="1283" w:left="0" w:header="0" w:footer="1107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1047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13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047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047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34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34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34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34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04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04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777.95pt;height:56.25pt;margin-top:376.5pt;margin-left:-106.15pt;mso-position-horizontal-relative:page;mso-position-vertical-relative:page;position:absolute;rotation:315;z-index:-251658240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width:777.95pt;height:56.25pt;margin-top:376.5pt;margin-left:-106.15pt;mso-position-horizontal-relative:page;mso-position-vertical-relative:page;position:absolute;rotation:315;z-index:-251657216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width:777.95pt;height:56.25pt;margin-top:376.5pt;margin-left:-106.15pt;mso-position-horizontal-relative:page;mso-position-vertical-relative:page;position:absolute;rotation:315;z-index:-251656192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777.95pt;height:56.25pt;margin-top:376.5pt;margin-left:-106.15pt;mso-position-horizontal-relative:page;mso-position-vertical-relative:page;position:absolute;rotation:315;z-index:-251655168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3" type="#_x0000_t136" style="width:777.95pt;height:56.25pt;margin-top:376.5pt;margin-left:-106.15pt;mso-position-horizontal-relative:page;mso-position-vertical-relative:page;position:absolute;rotation:315;z-index:-251654144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width:777.95pt;height:56.25pt;margin-top:376.5pt;margin-left:-106.15pt;mso-position-horizontal-relative:page;mso-position-vertical-relative:page;position:absolute;rotation:315;z-index:-251653120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777.95pt;height:56.25pt;margin-top:376.5pt;margin-left:-106.15pt;mso-position-horizontal-relative:page;mso-position-vertical-relative:page;position:absolute;rotation:315;z-index:-251652096" o:allowincell="f" filled="t" fillcolor="black" stroked="f">
          <v:fill opacity="3341f"/>
          <v:textpath style="font-family:SimSun;font-size:60pt;mso-text-shadow:auto;v-text-kern:t" string="河南省地方标准公共服务平台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footer" Target="footer1.xml" /><Relationship Id="rId12" Type="http://schemas.openxmlformats.org/officeDocument/2006/relationships/header" Target="header7.xml" /><Relationship Id="rId13" Type="http://schemas.openxmlformats.org/officeDocument/2006/relationships/footer" Target="footer2.xml" /><Relationship Id="rId14" Type="http://schemas.openxmlformats.org/officeDocument/2006/relationships/header" Target="header8.xml" /><Relationship Id="rId15" Type="http://schemas.openxmlformats.org/officeDocument/2006/relationships/footer" Target="footer3.xml" /><Relationship Id="rId16" Type="http://schemas.openxmlformats.org/officeDocument/2006/relationships/header" Target="header9.xml" /><Relationship Id="rId17" Type="http://schemas.openxmlformats.org/officeDocument/2006/relationships/footer" Target="footer4.xml" /><Relationship Id="rId18" Type="http://schemas.openxmlformats.org/officeDocument/2006/relationships/header" Target="header10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6.xml" /><Relationship Id="rId22" Type="http://schemas.openxmlformats.org/officeDocument/2006/relationships/header" Target="header12.xml" /><Relationship Id="rId23" Type="http://schemas.openxmlformats.org/officeDocument/2006/relationships/footer" Target="footer7.xml" /><Relationship Id="rId24" Type="http://schemas.openxmlformats.org/officeDocument/2006/relationships/header" Target="header13.xml" /><Relationship Id="rId25" Type="http://schemas.openxmlformats.org/officeDocument/2006/relationships/footer" Target="footer8.xml" /><Relationship Id="rId26" Type="http://schemas.openxmlformats.org/officeDocument/2006/relationships/header" Target="header14.xml" /><Relationship Id="rId27" Type="http://schemas.openxmlformats.org/officeDocument/2006/relationships/footer" Target="footer9.xml" /><Relationship Id="rId28" Type="http://schemas.openxmlformats.org/officeDocument/2006/relationships/hyperlink" Target="https://d.book118.com/506215133000010055" TargetMode="Externa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地方标准</dc:title>
  <dc:creator>lenovo</dc:creator>
  <cp:revision>0</cp:revision>
  <dcterms:created xsi:type="dcterms:W3CDTF">2024-03-05T12:21:58Z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2024-03-06T14:05:32Z</vt:filetime>
  </property>
  <property fmtid="{D5CDD505-2E9C-101B-9397-08002B2CF9AE}" pid="3" name="CRO">
    <vt:lpwstr>wqlLaW5nc29mdCBQREYgdG8gV1BTIDkw</vt:lpwstr>
  </property>
</Properties>
</file>