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固体废弃物处理项目规划设计纲要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66" w:history="1">
        <w:r>
          <w:rPr>
            <w:rFonts w:ascii="仿宋" w:eastAsia="仿宋" w:hAnsi="仿宋" w:cs="仿宋" w:hint="eastAsia"/>
            <w:lang w:eastAsia="zh-CN"/>
          </w:rPr>
          <w:t>前言</w:t>
        </w:r>
        <w:r>
          <w:tab/>
        </w:r>
        <w:r>
          <w:fldChar w:fldCharType="begin"/>
        </w:r>
        <w:r>
          <w:instrText xml:space="preserve"> PAGEREF _Toc6566 \h </w:instrText>
        </w:r>
        <w:r>
          <w:fldChar w:fldCharType="separate"/>
        </w:r>
        <w:r>
          <w:t>3</w:t>
        </w:r>
        <w:r>
          <w:fldChar w:fldCharType="end"/>
        </w:r>
      </w:hyperlink>
    </w:p>
    <w:p>
      <w:pPr>
        <w:pStyle w:val="TOC1"/>
        <w:tabs>
          <w:tab w:val="right" w:leader="dot" w:pos="8306"/>
        </w:tabs>
      </w:pPr>
      <w:hyperlink w:anchor="_Toc12586" w:history="1">
        <w:r>
          <w:rPr>
            <w:rFonts w:ascii="仿宋" w:eastAsia="仿宋" w:hAnsi="仿宋" w:cs="仿宋" w:hint="eastAsia"/>
            <w:lang w:eastAsia="zh-CN"/>
          </w:rPr>
          <w:t>一、固体废弃物处理项目建设单位说明</w:t>
        </w:r>
        <w:r>
          <w:tab/>
        </w:r>
        <w:r>
          <w:fldChar w:fldCharType="begin"/>
        </w:r>
        <w:r>
          <w:instrText xml:space="preserve"> PAGEREF _Toc12586 \h </w:instrText>
        </w:r>
        <w:r>
          <w:fldChar w:fldCharType="separate"/>
        </w:r>
        <w:r>
          <w:t>3</w:t>
        </w:r>
        <w:r>
          <w:fldChar w:fldCharType="end"/>
        </w:r>
      </w:hyperlink>
    </w:p>
    <w:p>
      <w:pPr>
        <w:pStyle w:val="TOC2"/>
        <w:tabs>
          <w:tab w:val="right" w:leader="dot" w:pos="8306"/>
        </w:tabs>
      </w:pPr>
      <w:hyperlink w:anchor="_Toc32311" w:history="1">
        <w:r>
          <w:rPr>
            <w:rFonts w:ascii="仿宋" w:eastAsia="仿宋" w:hAnsi="仿宋" w:cs="仿宋" w:hint="eastAsia"/>
            <w:lang w:eastAsia="zh-CN"/>
          </w:rPr>
          <w:t>(一)、固体废弃物处理项目承办单位基本情况</w:t>
        </w:r>
        <w:r>
          <w:tab/>
        </w:r>
        <w:r>
          <w:fldChar w:fldCharType="begin"/>
        </w:r>
        <w:r>
          <w:instrText xml:space="preserve"> PAGEREF _Toc32311 \h </w:instrText>
        </w:r>
        <w:r>
          <w:fldChar w:fldCharType="separate"/>
        </w:r>
        <w:r>
          <w:t>3</w:t>
        </w:r>
        <w:r>
          <w:fldChar w:fldCharType="end"/>
        </w:r>
      </w:hyperlink>
    </w:p>
    <w:p>
      <w:pPr>
        <w:pStyle w:val="TOC2"/>
        <w:tabs>
          <w:tab w:val="right" w:leader="dot" w:pos="8306"/>
        </w:tabs>
      </w:pPr>
      <w:hyperlink w:anchor="_Toc4728" w:history="1">
        <w:r>
          <w:rPr>
            <w:rFonts w:ascii="仿宋" w:eastAsia="仿宋" w:hAnsi="仿宋" w:cs="仿宋" w:hint="eastAsia"/>
            <w:lang w:eastAsia="zh-CN"/>
          </w:rPr>
          <w:t>(二)、公司经济效益分析</w:t>
        </w:r>
        <w:r>
          <w:tab/>
        </w:r>
        <w:r>
          <w:fldChar w:fldCharType="begin"/>
        </w:r>
        <w:r>
          <w:instrText xml:space="preserve"> PAGEREF _Toc4728 \h </w:instrText>
        </w:r>
        <w:r>
          <w:fldChar w:fldCharType="separate"/>
        </w:r>
        <w:r>
          <w:t>4</w:t>
        </w:r>
        <w:r>
          <w:fldChar w:fldCharType="end"/>
        </w:r>
      </w:hyperlink>
    </w:p>
    <w:p>
      <w:pPr>
        <w:pStyle w:val="TOC1"/>
        <w:tabs>
          <w:tab w:val="right" w:leader="dot" w:pos="8306"/>
        </w:tabs>
      </w:pPr>
      <w:hyperlink w:anchor="_Toc235" w:history="1">
        <w:r>
          <w:rPr>
            <w:rFonts w:ascii="仿宋" w:eastAsia="仿宋" w:hAnsi="仿宋" w:cs="仿宋" w:hint="eastAsia"/>
            <w:lang w:eastAsia="zh-CN"/>
          </w:rPr>
          <w:t>二、固体废弃物处理项目危机管理</w:t>
        </w:r>
        <w:r>
          <w:tab/>
        </w:r>
        <w:r>
          <w:fldChar w:fldCharType="begin"/>
        </w:r>
        <w:r>
          <w:instrText xml:space="preserve"> PAGEREF _Toc235 \h </w:instrText>
        </w:r>
        <w:r>
          <w:fldChar w:fldCharType="separate"/>
        </w:r>
        <w:r>
          <w:t>5</w:t>
        </w:r>
        <w:r>
          <w:fldChar w:fldCharType="end"/>
        </w:r>
      </w:hyperlink>
    </w:p>
    <w:p>
      <w:pPr>
        <w:pStyle w:val="TOC2"/>
        <w:tabs>
          <w:tab w:val="right" w:leader="dot" w:pos="8306"/>
        </w:tabs>
      </w:pPr>
      <w:hyperlink w:anchor="_Toc7072" w:history="1">
        <w:r>
          <w:rPr>
            <w:rFonts w:ascii="仿宋" w:eastAsia="仿宋" w:hAnsi="仿宋" w:cs="仿宋" w:hint="eastAsia"/>
            <w:lang w:eastAsia="zh-CN"/>
          </w:rPr>
          <w:t>(一)、危机预警与识别</w:t>
        </w:r>
        <w:r>
          <w:tab/>
        </w:r>
        <w:r>
          <w:fldChar w:fldCharType="begin"/>
        </w:r>
        <w:r>
          <w:instrText xml:space="preserve"> PAGEREF _Toc7072 \h </w:instrText>
        </w:r>
        <w:r>
          <w:fldChar w:fldCharType="separate"/>
        </w:r>
        <w:r>
          <w:t>5</w:t>
        </w:r>
        <w:r>
          <w:fldChar w:fldCharType="end"/>
        </w:r>
      </w:hyperlink>
    </w:p>
    <w:p>
      <w:pPr>
        <w:pStyle w:val="TOC2"/>
        <w:tabs>
          <w:tab w:val="right" w:leader="dot" w:pos="8306"/>
        </w:tabs>
      </w:pPr>
      <w:hyperlink w:anchor="_Toc8776" w:history="1">
        <w:r>
          <w:rPr>
            <w:rFonts w:ascii="仿宋" w:eastAsia="仿宋" w:hAnsi="仿宋" w:cs="仿宋" w:hint="eastAsia"/>
            <w:lang w:eastAsia="zh-CN"/>
          </w:rPr>
          <w:t>(二)、危机应对与恢复</w:t>
        </w:r>
        <w:r>
          <w:tab/>
        </w:r>
        <w:r>
          <w:fldChar w:fldCharType="begin"/>
        </w:r>
        <w:r>
          <w:instrText xml:space="preserve"> PAGEREF _Toc8776 \h </w:instrText>
        </w:r>
        <w:r>
          <w:fldChar w:fldCharType="separate"/>
        </w:r>
        <w:r>
          <w:t>6</w:t>
        </w:r>
        <w:r>
          <w:fldChar w:fldCharType="end"/>
        </w:r>
      </w:hyperlink>
    </w:p>
    <w:p>
      <w:pPr>
        <w:pStyle w:val="TOC1"/>
        <w:tabs>
          <w:tab w:val="right" w:leader="dot" w:pos="8306"/>
        </w:tabs>
      </w:pPr>
      <w:hyperlink w:anchor="_Toc12073" w:history="1">
        <w:r>
          <w:rPr>
            <w:rFonts w:ascii="仿宋" w:eastAsia="仿宋" w:hAnsi="仿宋" w:cs="仿宋" w:hint="eastAsia"/>
            <w:lang w:eastAsia="zh-CN"/>
          </w:rPr>
          <w:t>三、固体废弃物处理项目文档管理</w:t>
        </w:r>
        <w:r>
          <w:tab/>
        </w:r>
        <w:r>
          <w:fldChar w:fldCharType="begin"/>
        </w:r>
        <w:r>
          <w:instrText xml:space="preserve"> PAGEREF _Toc12073 \h </w:instrText>
        </w:r>
        <w:r>
          <w:fldChar w:fldCharType="separate"/>
        </w:r>
        <w:r>
          <w:t>7</w:t>
        </w:r>
        <w:r>
          <w:fldChar w:fldCharType="end"/>
        </w:r>
      </w:hyperlink>
    </w:p>
    <w:p>
      <w:pPr>
        <w:pStyle w:val="TOC2"/>
        <w:tabs>
          <w:tab w:val="right" w:leader="dot" w:pos="8306"/>
        </w:tabs>
      </w:pPr>
      <w:hyperlink w:anchor="_Toc30315" w:history="1">
        <w:r>
          <w:rPr>
            <w:rFonts w:ascii="仿宋" w:eastAsia="仿宋" w:hAnsi="仿宋" w:cs="仿宋" w:hint="eastAsia"/>
            <w:lang w:eastAsia="zh-CN"/>
          </w:rPr>
          <w:t>(一)、文档编制与审查</w:t>
        </w:r>
        <w:r>
          <w:tab/>
        </w:r>
        <w:r>
          <w:fldChar w:fldCharType="begin"/>
        </w:r>
        <w:r>
          <w:instrText xml:space="preserve"> PAGEREF _Toc30315 \h </w:instrText>
        </w:r>
        <w:r>
          <w:fldChar w:fldCharType="separate"/>
        </w:r>
        <w:r>
          <w:t>7</w:t>
        </w:r>
        <w:r>
          <w:fldChar w:fldCharType="end"/>
        </w:r>
      </w:hyperlink>
    </w:p>
    <w:p>
      <w:pPr>
        <w:pStyle w:val="TOC2"/>
        <w:tabs>
          <w:tab w:val="right" w:leader="dot" w:pos="8306"/>
        </w:tabs>
      </w:pPr>
      <w:hyperlink w:anchor="_Toc9640" w:history="1">
        <w:r>
          <w:rPr>
            <w:rFonts w:ascii="仿宋" w:eastAsia="仿宋" w:hAnsi="仿宋" w:cs="仿宋" w:hint="eastAsia"/>
            <w:lang w:eastAsia="zh-CN"/>
          </w:rPr>
          <w:t>(二)、文档发布与分发</w:t>
        </w:r>
        <w:r>
          <w:tab/>
        </w:r>
        <w:r>
          <w:fldChar w:fldCharType="begin"/>
        </w:r>
        <w:r>
          <w:instrText xml:space="preserve"> PAGEREF _Toc9640 \h </w:instrText>
        </w:r>
        <w:r>
          <w:fldChar w:fldCharType="separate"/>
        </w:r>
        <w:r>
          <w:t>9</w:t>
        </w:r>
        <w:r>
          <w:fldChar w:fldCharType="end"/>
        </w:r>
      </w:hyperlink>
    </w:p>
    <w:p>
      <w:pPr>
        <w:pStyle w:val="TOC2"/>
        <w:tabs>
          <w:tab w:val="right" w:leader="dot" w:pos="8306"/>
        </w:tabs>
      </w:pPr>
      <w:hyperlink w:anchor="_Toc23766" w:history="1">
        <w:r>
          <w:rPr>
            <w:rFonts w:ascii="仿宋" w:eastAsia="仿宋" w:hAnsi="仿宋" w:cs="仿宋" w:hint="eastAsia"/>
            <w:lang w:eastAsia="zh-CN"/>
          </w:rPr>
          <w:t>(三)、文档存档与归档</w:t>
        </w:r>
        <w:r>
          <w:tab/>
        </w:r>
        <w:r>
          <w:fldChar w:fldCharType="begin"/>
        </w:r>
        <w:r>
          <w:instrText xml:space="preserve"> PAGEREF _Toc23766 \h </w:instrText>
        </w:r>
        <w:r>
          <w:fldChar w:fldCharType="separate"/>
        </w:r>
        <w:r>
          <w:t>9</w:t>
        </w:r>
        <w:r>
          <w:fldChar w:fldCharType="end"/>
        </w:r>
      </w:hyperlink>
    </w:p>
    <w:p>
      <w:pPr>
        <w:pStyle w:val="TOC1"/>
        <w:tabs>
          <w:tab w:val="right" w:leader="dot" w:pos="8306"/>
        </w:tabs>
      </w:pPr>
      <w:hyperlink w:anchor="_Toc11474" w:history="1">
        <w:r>
          <w:rPr>
            <w:rFonts w:ascii="仿宋" w:eastAsia="仿宋" w:hAnsi="仿宋" w:cs="仿宋" w:hint="eastAsia"/>
            <w:lang w:eastAsia="zh-CN"/>
          </w:rPr>
          <w:t>四、固体废弃物处理项目概论</w:t>
        </w:r>
        <w:r>
          <w:tab/>
        </w:r>
        <w:r>
          <w:fldChar w:fldCharType="begin"/>
        </w:r>
        <w:r>
          <w:instrText xml:space="preserve"> PAGEREF _Toc11474 \h </w:instrText>
        </w:r>
        <w:r>
          <w:fldChar w:fldCharType="separate"/>
        </w:r>
        <w:r>
          <w:t>11</w:t>
        </w:r>
        <w:r>
          <w:fldChar w:fldCharType="end"/>
        </w:r>
      </w:hyperlink>
    </w:p>
    <w:p>
      <w:pPr>
        <w:pStyle w:val="TOC2"/>
        <w:tabs>
          <w:tab w:val="right" w:leader="dot" w:pos="8306"/>
        </w:tabs>
      </w:pPr>
      <w:hyperlink w:anchor="_Toc20412" w:history="1">
        <w:r>
          <w:rPr>
            <w:rFonts w:ascii="仿宋" w:eastAsia="仿宋" w:hAnsi="仿宋" w:cs="仿宋" w:hint="eastAsia"/>
            <w:lang w:eastAsia="zh-CN"/>
          </w:rPr>
          <w:t>(一)、固体废弃物处理项目概况</w:t>
        </w:r>
        <w:r>
          <w:tab/>
        </w:r>
        <w:r>
          <w:fldChar w:fldCharType="begin"/>
        </w:r>
        <w:r>
          <w:instrText xml:space="preserve"> PAGEREF _Toc20412 \h </w:instrText>
        </w:r>
        <w:r>
          <w:fldChar w:fldCharType="separate"/>
        </w:r>
        <w:r>
          <w:t>11</w:t>
        </w:r>
        <w:r>
          <w:fldChar w:fldCharType="end"/>
        </w:r>
      </w:hyperlink>
    </w:p>
    <w:p>
      <w:pPr>
        <w:pStyle w:val="TOC2"/>
        <w:tabs>
          <w:tab w:val="right" w:leader="dot" w:pos="8306"/>
        </w:tabs>
      </w:pPr>
      <w:hyperlink w:anchor="_Toc5140" w:history="1">
        <w:r>
          <w:rPr>
            <w:rFonts w:ascii="仿宋" w:eastAsia="仿宋" w:hAnsi="仿宋" w:cs="仿宋" w:hint="eastAsia"/>
            <w:lang w:eastAsia="zh-CN"/>
          </w:rPr>
          <w:t>(二)、固体废弃物处理项目目标</w:t>
        </w:r>
        <w:r>
          <w:tab/>
        </w:r>
        <w:r>
          <w:fldChar w:fldCharType="begin"/>
        </w:r>
        <w:r>
          <w:instrText xml:space="preserve"> PAGEREF _Toc5140 \h </w:instrText>
        </w:r>
        <w:r>
          <w:fldChar w:fldCharType="separate"/>
        </w:r>
        <w:r>
          <w:t>13</w:t>
        </w:r>
        <w:r>
          <w:fldChar w:fldCharType="end"/>
        </w:r>
      </w:hyperlink>
    </w:p>
    <w:p>
      <w:pPr>
        <w:pStyle w:val="TOC2"/>
        <w:tabs>
          <w:tab w:val="right" w:leader="dot" w:pos="8306"/>
        </w:tabs>
      </w:pPr>
      <w:hyperlink w:anchor="_Toc20149" w:history="1">
        <w:r>
          <w:rPr>
            <w:rFonts w:ascii="仿宋" w:eastAsia="仿宋" w:hAnsi="仿宋" w:cs="仿宋" w:hint="eastAsia"/>
            <w:lang w:eastAsia="zh-CN"/>
          </w:rPr>
          <w:t>(三)、固体废弃物处理项目提出的理由</w:t>
        </w:r>
        <w:r>
          <w:tab/>
        </w:r>
        <w:r>
          <w:fldChar w:fldCharType="begin"/>
        </w:r>
        <w:r>
          <w:instrText xml:space="preserve"> PAGEREF _Toc20149 \h </w:instrText>
        </w:r>
        <w:r>
          <w:fldChar w:fldCharType="separate"/>
        </w:r>
        <w:r>
          <w:t>14</w:t>
        </w:r>
        <w:r>
          <w:fldChar w:fldCharType="end"/>
        </w:r>
      </w:hyperlink>
    </w:p>
    <w:p>
      <w:pPr>
        <w:pStyle w:val="TOC2"/>
        <w:tabs>
          <w:tab w:val="right" w:leader="dot" w:pos="8306"/>
        </w:tabs>
      </w:pPr>
      <w:hyperlink w:anchor="_Toc6915" w:history="1">
        <w:r>
          <w:rPr>
            <w:rFonts w:ascii="仿宋" w:eastAsia="仿宋" w:hAnsi="仿宋" w:cs="仿宋" w:hint="eastAsia"/>
            <w:lang w:eastAsia="zh-CN"/>
          </w:rPr>
          <w:t>(四)、固体废弃物处理项目意义</w:t>
        </w:r>
        <w:r>
          <w:tab/>
        </w:r>
        <w:r>
          <w:fldChar w:fldCharType="begin"/>
        </w:r>
        <w:r>
          <w:instrText xml:space="preserve"> PAGEREF _Toc6915 \h </w:instrText>
        </w:r>
        <w:r>
          <w:fldChar w:fldCharType="separate"/>
        </w:r>
        <w:r>
          <w:t>16</w:t>
        </w:r>
        <w:r>
          <w:fldChar w:fldCharType="end"/>
        </w:r>
      </w:hyperlink>
    </w:p>
    <w:p>
      <w:pPr>
        <w:pStyle w:val="TOC2"/>
        <w:tabs>
          <w:tab w:val="right" w:leader="dot" w:pos="8306"/>
        </w:tabs>
      </w:pPr>
      <w:hyperlink w:anchor="_Toc18427" w:history="1">
        <w:r>
          <w:rPr>
            <w:rFonts w:ascii="仿宋" w:eastAsia="仿宋" w:hAnsi="仿宋" w:cs="仿宋" w:hint="eastAsia"/>
            <w:lang w:eastAsia="zh-CN"/>
          </w:rPr>
          <w:t>(五)、固体废弃物处理项目背景</w:t>
        </w:r>
        <w:r>
          <w:tab/>
        </w:r>
        <w:r>
          <w:fldChar w:fldCharType="begin"/>
        </w:r>
        <w:r>
          <w:instrText xml:space="preserve"> PAGEREF _Toc18427 \h </w:instrText>
        </w:r>
        <w:r>
          <w:fldChar w:fldCharType="separate"/>
        </w:r>
        <w:r>
          <w:t>16</w:t>
        </w:r>
        <w:r>
          <w:fldChar w:fldCharType="end"/>
        </w:r>
      </w:hyperlink>
    </w:p>
    <w:p>
      <w:pPr>
        <w:pStyle w:val="TOC1"/>
        <w:tabs>
          <w:tab w:val="right" w:leader="dot" w:pos="8306"/>
        </w:tabs>
      </w:pPr>
      <w:hyperlink w:anchor="_Toc14360" w:history="1">
        <w:r>
          <w:rPr>
            <w:rFonts w:ascii="仿宋" w:eastAsia="仿宋" w:hAnsi="仿宋" w:cs="仿宋" w:hint="eastAsia"/>
            <w:lang w:eastAsia="zh-CN"/>
          </w:rPr>
          <w:t>五、产品规划分析</w:t>
        </w:r>
        <w:r>
          <w:tab/>
        </w:r>
        <w:r>
          <w:fldChar w:fldCharType="begin"/>
        </w:r>
        <w:r>
          <w:instrText xml:space="preserve"> PAGEREF _Toc14360 \h </w:instrText>
        </w:r>
        <w:r>
          <w:fldChar w:fldCharType="separate"/>
        </w:r>
        <w:r>
          <w:t>17</w:t>
        </w:r>
        <w:r>
          <w:fldChar w:fldCharType="end"/>
        </w:r>
      </w:hyperlink>
    </w:p>
    <w:p>
      <w:pPr>
        <w:pStyle w:val="TOC2"/>
        <w:tabs>
          <w:tab w:val="right" w:leader="dot" w:pos="8306"/>
        </w:tabs>
      </w:pPr>
      <w:hyperlink w:anchor="_Toc15520" w:history="1">
        <w:r>
          <w:rPr>
            <w:rFonts w:ascii="仿宋" w:eastAsia="仿宋" w:hAnsi="仿宋" w:cs="仿宋" w:hint="eastAsia"/>
            <w:lang w:eastAsia="zh-CN"/>
          </w:rPr>
          <w:t>(一)、产品规划</w:t>
        </w:r>
        <w:r>
          <w:tab/>
        </w:r>
        <w:r>
          <w:fldChar w:fldCharType="begin"/>
        </w:r>
        <w:r>
          <w:instrText xml:space="preserve"> PAGEREF _Toc15520 \h </w:instrText>
        </w:r>
        <w:r>
          <w:fldChar w:fldCharType="separate"/>
        </w:r>
        <w:r>
          <w:t>17</w:t>
        </w:r>
        <w:r>
          <w:fldChar w:fldCharType="end"/>
        </w:r>
      </w:hyperlink>
    </w:p>
    <w:p>
      <w:pPr>
        <w:pStyle w:val="TOC2"/>
        <w:tabs>
          <w:tab w:val="right" w:leader="dot" w:pos="8306"/>
        </w:tabs>
      </w:pPr>
      <w:hyperlink w:anchor="_Toc17054" w:history="1">
        <w:r>
          <w:rPr>
            <w:rFonts w:ascii="仿宋" w:eastAsia="仿宋" w:hAnsi="仿宋" w:cs="仿宋" w:hint="eastAsia"/>
            <w:lang w:eastAsia="zh-CN"/>
          </w:rPr>
          <w:t>(二)、建设规模</w:t>
        </w:r>
        <w:r>
          <w:tab/>
        </w:r>
        <w:r>
          <w:fldChar w:fldCharType="begin"/>
        </w:r>
        <w:r>
          <w:instrText xml:space="preserve"> PAGEREF _Toc17054 \h </w:instrText>
        </w:r>
        <w:r>
          <w:fldChar w:fldCharType="separate"/>
        </w:r>
        <w:r>
          <w:t>18</w:t>
        </w:r>
        <w:r>
          <w:fldChar w:fldCharType="end"/>
        </w:r>
      </w:hyperlink>
    </w:p>
    <w:p>
      <w:pPr>
        <w:pStyle w:val="TOC1"/>
        <w:tabs>
          <w:tab w:val="right" w:leader="dot" w:pos="8306"/>
        </w:tabs>
      </w:pPr>
      <w:hyperlink w:anchor="_Toc32601" w:history="1">
        <w:r>
          <w:rPr>
            <w:rFonts w:ascii="仿宋" w:eastAsia="仿宋" w:hAnsi="仿宋" w:cs="仿宋" w:hint="eastAsia"/>
            <w:lang w:eastAsia="zh-CN"/>
          </w:rPr>
          <w:t>六、固体废弃物处理项目选址可行性分析</w:t>
        </w:r>
        <w:r>
          <w:tab/>
        </w:r>
        <w:r>
          <w:fldChar w:fldCharType="begin"/>
        </w:r>
        <w:r>
          <w:instrText xml:space="preserve"> PAGEREF _Toc32601 \h </w:instrText>
        </w:r>
        <w:r>
          <w:fldChar w:fldCharType="separate"/>
        </w:r>
        <w:r>
          <w:t>19</w:t>
        </w:r>
        <w:r>
          <w:fldChar w:fldCharType="end"/>
        </w:r>
      </w:hyperlink>
    </w:p>
    <w:p>
      <w:pPr>
        <w:pStyle w:val="TOC2"/>
        <w:tabs>
          <w:tab w:val="right" w:leader="dot" w:pos="8306"/>
        </w:tabs>
      </w:pPr>
      <w:hyperlink w:anchor="_Toc183" w:history="1">
        <w:r>
          <w:rPr>
            <w:rFonts w:ascii="仿宋" w:eastAsia="仿宋" w:hAnsi="仿宋" w:cs="仿宋" w:hint="eastAsia"/>
            <w:lang w:eastAsia="zh-CN"/>
          </w:rPr>
          <w:t>(一)、固体废弃物处理项目选址</w:t>
        </w:r>
        <w:r>
          <w:tab/>
        </w:r>
        <w:r>
          <w:fldChar w:fldCharType="begin"/>
        </w:r>
        <w:r>
          <w:instrText xml:space="preserve"> PAGEREF _Toc183 \h </w:instrText>
        </w:r>
        <w:r>
          <w:fldChar w:fldCharType="separate"/>
        </w:r>
        <w:r>
          <w:t>19</w:t>
        </w:r>
        <w:r>
          <w:fldChar w:fldCharType="end"/>
        </w:r>
      </w:hyperlink>
    </w:p>
    <w:p>
      <w:pPr>
        <w:pStyle w:val="TOC2"/>
        <w:tabs>
          <w:tab w:val="right" w:leader="dot" w:pos="8306"/>
        </w:tabs>
      </w:pPr>
      <w:hyperlink w:anchor="_Toc10970" w:history="1">
        <w:r>
          <w:rPr>
            <w:rFonts w:ascii="仿宋" w:eastAsia="仿宋" w:hAnsi="仿宋" w:cs="仿宋" w:hint="eastAsia"/>
            <w:lang w:eastAsia="zh-CN"/>
          </w:rPr>
          <w:t>(二)、用地控制指标</w:t>
        </w:r>
        <w:r>
          <w:tab/>
        </w:r>
        <w:r>
          <w:fldChar w:fldCharType="begin"/>
        </w:r>
        <w:r>
          <w:instrText xml:space="preserve"> PAGEREF _Toc10970 \h </w:instrText>
        </w:r>
        <w:r>
          <w:fldChar w:fldCharType="separate"/>
        </w:r>
        <w:r>
          <w:t>19</w:t>
        </w:r>
        <w:r>
          <w:fldChar w:fldCharType="end"/>
        </w:r>
      </w:hyperlink>
    </w:p>
    <w:p>
      <w:pPr>
        <w:pStyle w:val="TOC2"/>
        <w:tabs>
          <w:tab w:val="right" w:leader="dot" w:pos="8306"/>
        </w:tabs>
      </w:pPr>
      <w:hyperlink w:anchor="_Toc25318" w:history="1">
        <w:r>
          <w:rPr>
            <w:rFonts w:ascii="仿宋" w:eastAsia="仿宋" w:hAnsi="仿宋" w:cs="仿宋" w:hint="eastAsia"/>
            <w:lang w:eastAsia="zh-CN"/>
          </w:rPr>
          <w:t>(三)、节约用地措施</w:t>
        </w:r>
        <w:r>
          <w:tab/>
        </w:r>
        <w:r>
          <w:fldChar w:fldCharType="begin"/>
        </w:r>
        <w:r>
          <w:instrText xml:space="preserve"> PAGEREF _Toc25318 \h </w:instrText>
        </w:r>
        <w:r>
          <w:fldChar w:fldCharType="separate"/>
        </w:r>
        <w:r>
          <w:t>21</w:t>
        </w:r>
        <w:r>
          <w:fldChar w:fldCharType="end"/>
        </w:r>
      </w:hyperlink>
    </w:p>
    <w:p>
      <w:pPr>
        <w:pStyle w:val="TOC2"/>
        <w:tabs>
          <w:tab w:val="right" w:leader="dot" w:pos="8306"/>
        </w:tabs>
      </w:pPr>
      <w:hyperlink w:anchor="_Toc5078" w:history="1">
        <w:r>
          <w:rPr>
            <w:rFonts w:ascii="仿宋" w:eastAsia="仿宋" w:hAnsi="仿宋" w:cs="仿宋" w:hint="eastAsia"/>
            <w:lang w:eastAsia="zh-CN"/>
          </w:rPr>
          <w:t>(四)、总图布置方案</w:t>
        </w:r>
        <w:r>
          <w:tab/>
        </w:r>
        <w:r>
          <w:fldChar w:fldCharType="begin"/>
        </w:r>
        <w:r>
          <w:instrText xml:space="preserve"> PAGEREF _Toc5078 \h </w:instrText>
        </w:r>
        <w:r>
          <w:fldChar w:fldCharType="separate"/>
        </w:r>
        <w:r>
          <w:t>23</w:t>
        </w:r>
        <w:r>
          <w:fldChar w:fldCharType="end"/>
        </w:r>
      </w:hyperlink>
    </w:p>
    <w:p>
      <w:pPr>
        <w:pStyle w:val="TOC2"/>
        <w:tabs>
          <w:tab w:val="right" w:leader="dot" w:pos="8306"/>
        </w:tabs>
      </w:pPr>
      <w:hyperlink w:anchor="_Toc16508" w:history="1">
        <w:r>
          <w:rPr>
            <w:rFonts w:ascii="仿宋" w:eastAsia="仿宋" w:hAnsi="仿宋" w:cs="仿宋" w:hint="eastAsia"/>
            <w:lang w:eastAsia="zh-CN"/>
          </w:rPr>
          <w:t>(五)、选址综合评价</w:t>
        </w:r>
        <w:r>
          <w:tab/>
        </w:r>
        <w:r>
          <w:fldChar w:fldCharType="begin"/>
        </w:r>
        <w:r>
          <w:instrText xml:space="preserve"> PAGEREF _Toc16508 \h </w:instrText>
        </w:r>
        <w:r>
          <w:fldChar w:fldCharType="separate"/>
        </w:r>
        <w:r>
          <w:t>24</w:t>
        </w:r>
        <w:r>
          <w:fldChar w:fldCharType="end"/>
        </w:r>
      </w:hyperlink>
    </w:p>
    <w:p>
      <w:pPr>
        <w:pStyle w:val="TOC1"/>
        <w:tabs>
          <w:tab w:val="right" w:leader="dot" w:pos="8306"/>
        </w:tabs>
      </w:pPr>
      <w:hyperlink w:anchor="_Toc23574" w:history="1">
        <w:r>
          <w:rPr>
            <w:rFonts w:ascii="仿宋" w:eastAsia="仿宋" w:hAnsi="仿宋" w:cs="仿宋" w:hint="eastAsia"/>
            <w:lang w:eastAsia="zh-CN"/>
          </w:rPr>
          <w:t>七、固体废弃物处理项目财务管理</w:t>
        </w:r>
        <w:r>
          <w:tab/>
        </w:r>
        <w:r>
          <w:fldChar w:fldCharType="begin"/>
        </w:r>
        <w:r>
          <w:instrText xml:space="preserve"> PAGEREF _Toc23574 \h </w:instrText>
        </w:r>
        <w:r>
          <w:fldChar w:fldCharType="separate"/>
        </w:r>
        <w:r>
          <w:t>25</w:t>
        </w:r>
        <w:r>
          <w:fldChar w:fldCharType="end"/>
        </w:r>
      </w:hyperlink>
    </w:p>
    <w:p>
      <w:pPr>
        <w:pStyle w:val="TOC2"/>
        <w:tabs>
          <w:tab w:val="right" w:leader="dot" w:pos="8306"/>
        </w:tabs>
      </w:pPr>
      <w:hyperlink w:anchor="_Toc17625" w:history="1">
        <w:r>
          <w:rPr>
            <w:rFonts w:ascii="仿宋" w:eastAsia="仿宋" w:hAnsi="仿宋" w:cs="仿宋" w:hint="eastAsia"/>
            <w:lang w:eastAsia="zh-CN"/>
          </w:rPr>
          <w:t>(一)、资金需求大</w:t>
        </w:r>
        <w:r>
          <w:tab/>
        </w:r>
        <w:r>
          <w:fldChar w:fldCharType="begin"/>
        </w:r>
        <w:r>
          <w:instrText xml:space="preserve"> PAGEREF _Toc17625 \h </w:instrText>
        </w:r>
        <w:r>
          <w:fldChar w:fldCharType="separate"/>
        </w:r>
        <w:r>
          <w:t>25</w:t>
        </w:r>
        <w:r>
          <w:fldChar w:fldCharType="end"/>
        </w:r>
      </w:hyperlink>
    </w:p>
    <w:p>
      <w:pPr>
        <w:pStyle w:val="TOC2"/>
        <w:tabs>
          <w:tab w:val="right" w:leader="dot" w:pos="8306"/>
        </w:tabs>
      </w:pPr>
      <w:hyperlink w:anchor="_Toc14157" w:history="1">
        <w:r>
          <w:rPr>
            <w:rFonts w:ascii="仿宋" w:eastAsia="仿宋" w:hAnsi="仿宋" w:cs="仿宋" w:hint="eastAsia"/>
            <w:lang w:eastAsia="zh-CN"/>
          </w:rPr>
          <w:t>(二)、研发周期长</w:t>
        </w:r>
        <w:r>
          <w:tab/>
        </w:r>
        <w:r>
          <w:fldChar w:fldCharType="begin"/>
        </w:r>
        <w:r>
          <w:instrText xml:space="preserve"> PAGEREF _Toc14157 \h </w:instrText>
        </w:r>
        <w:r>
          <w:fldChar w:fldCharType="separate"/>
        </w:r>
        <w:r>
          <w:t>26</w:t>
        </w:r>
        <w:r>
          <w:fldChar w:fldCharType="end"/>
        </w:r>
      </w:hyperlink>
    </w:p>
    <w:p>
      <w:pPr>
        <w:pStyle w:val="TOC2"/>
        <w:tabs>
          <w:tab w:val="right" w:leader="dot" w:pos="8306"/>
        </w:tabs>
      </w:pPr>
      <w:hyperlink w:anchor="_Toc31594" w:history="1">
        <w:r>
          <w:rPr>
            <w:rFonts w:ascii="仿宋" w:eastAsia="仿宋" w:hAnsi="仿宋" w:cs="仿宋" w:hint="eastAsia"/>
            <w:lang w:eastAsia="zh-CN"/>
          </w:rPr>
          <w:t>(三)、市场风险大</w:t>
        </w:r>
        <w:r>
          <w:tab/>
        </w:r>
        <w:r>
          <w:fldChar w:fldCharType="begin"/>
        </w:r>
        <w:r>
          <w:instrText xml:space="preserve"> PAGEREF _Toc31594 \h </w:instrText>
        </w:r>
        <w:r>
          <w:fldChar w:fldCharType="separate"/>
        </w:r>
        <w:r>
          <w:t>27</w:t>
        </w:r>
        <w:r>
          <w:fldChar w:fldCharType="end"/>
        </w:r>
      </w:hyperlink>
    </w:p>
    <w:p>
      <w:pPr>
        <w:pStyle w:val="TOC2"/>
        <w:tabs>
          <w:tab w:val="right" w:leader="dot" w:pos="8306"/>
        </w:tabs>
      </w:pPr>
      <w:hyperlink w:anchor="_Toc14229" w:history="1">
        <w:r>
          <w:rPr>
            <w:rFonts w:ascii="仿宋" w:eastAsia="仿宋" w:hAnsi="仿宋" w:cs="仿宋" w:hint="eastAsia"/>
            <w:lang w:eastAsia="zh-CN"/>
          </w:rPr>
          <w:t>(四)、利润率高</w:t>
        </w:r>
        <w:r>
          <w:tab/>
        </w:r>
        <w:r>
          <w:fldChar w:fldCharType="begin"/>
        </w:r>
        <w:r>
          <w:instrText xml:space="preserve"> PAGEREF _Toc14229 \h </w:instrText>
        </w:r>
        <w:r>
          <w:fldChar w:fldCharType="separate"/>
        </w:r>
        <w:r>
          <w:t>30</w:t>
        </w:r>
        <w:r>
          <w:fldChar w:fldCharType="end"/>
        </w:r>
      </w:hyperlink>
    </w:p>
    <w:p>
      <w:pPr>
        <w:pStyle w:val="TOC1"/>
        <w:tabs>
          <w:tab w:val="right" w:leader="dot" w:pos="8306"/>
        </w:tabs>
      </w:pPr>
      <w:hyperlink w:anchor="_Toc6336" w:history="1">
        <w:r>
          <w:rPr>
            <w:rFonts w:ascii="仿宋" w:eastAsia="仿宋" w:hAnsi="仿宋" w:cs="仿宋" w:hint="eastAsia"/>
            <w:lang w:eastAsia="zh-CN"/>
          </w:rPr>
          <w:t>八、固体废弃物处理项目经营效益</w:t>
        </w:r>
        <w:r>
          <w:tab/>
        </w:r>
        <w:r>
          <w:fldChar w:fldCharType="begin"/>
        </w:r>
        <w:r>
          <w:instrText xml:space="preserve"> PAGEREF _Toc6336 \h </w:instrText>
        </w:r>
        <w:r>
          <w:fldChar w:fldCharType="separate"/>
        </w:r>
        <w:r>
          <w:t>32</w:t>
        </w:r>
        <w:r>
          <w:fldChar w:fldCharType="end"/>
        </w:r>
      </w:hyperlink>
    </w:p>
    <w:p>
      <w:pPr>
        <w:pStyle w:val="TOC2"/>
        <w:tabs>
          <w:tab w:val="right" w:leader="dot" w:pos="8306"/>
        </w:tabs>
      </w:pPr>
      <w:hyperlink w:anchor="_Toc26289" w:history="1">
        <w:r>
          <w:rPr>
            <w:rFonts w:ascii="仿宋" w:eastAsia="仿宋" w:hAnsi="仿宋" w:cs="仿宋" w:hint="eastAsia"/>
            <w:lang w:eastAsia="zh-CN"/>
          </w:rPr>
          <w:t>(一)、经济评价财务测算</w:t>
        </w:r>
        <w:r>
          <w:tab/>
        </w:r>
        <w:r>
          <w:fldChar w:fldCharType="begin"/>
        </w:r>
        <w:r>
          <w:instrText xml:space="preserve"> PAGEREF _Toc26289 \h </w:instrText>
        </w:r>
        <w:r>
          <w:fldChar w:fldCharType="separate"/>
        </w:r>
        <w:r>
          <w:t>32</w:t>
        </w:r>
        <w:r>
          <w:fldChar w:fldCharType="end"/>
        </w:r>
      </w:hyperlink>
    </w:p>
    <w:p>
      <w:pPr>
        <w:pStyle w:val="TOC2"/>
        <w:tabs>
          <w:tab w:val="right" w:leader="dot" w:pos="8306"/>
        </w:tabs>
      </w:pPr>
      <w:hyperlink w:anchor="_Toc20789" w:history="1">
        <w:r>
          <w:rPr>
            <w:rFonts w:ascii="仿宋" w:eastAsia="仿宋" w:hAnsi="仿宋" w:cs="仿宋" w:hint="eastAsia"/>
            <w:lang w:eastAsia="zh-CN"/>
          </w:rPr>
          <w:t>(二)、固体废弃物处理项目盈利能力分析</w:t>
        </w:r>
        <w:r>
          <w:tab/>
        </w:r>
        <w:r>
          <w:fldChar w:fldCharType="begin"/>
        </w:r>
        <w:r>
          <w:instrText xml:space="preserve"> PAGEREF _Toc20789 \h </w:instrText>
        </w:r>
        <w:r>
          <w:fldChar w:fldCharType="separate"/>
        </w:r>
        <w:r>
          <w:t>33</w:t>
        </w:r>
        <w:r>
          <w:fldChar w:fldCharType="end"/>
        </w:r>
      </w:hyperlink>
    </w:p>
    <w:p>
      <w:pPr>
        <w:pStyle w:val="TOC1"/>
        <w:tabs>
          <w:tab w:val="right" w:leader="dot" w:pos="8306"/>
        </w:tabs>
      </w:pPr>
      <w:hyperlink w:anchor="_Toc23182" w:history="1">
        <w:r>
          <w:rPr>
            <w:rFonts w:ascii="仿宋" w:eastAsia="仿宋" w:hAnsi="仿宋" w:cs="仿宋" w:hint="eastAsia"/>
            <w:lang w:eastAsia="zh-CN"/>
          </w:rPr>
          <w:t>九、固体废弃物处理项目社会影响</w:t>
        </w:r>
        <w:r>
          <w:tab/>
        </w:r>
        <w:r>
          <w:fldChar w:fldCharType="begin"/>
        </w:r>
        <w:r>
          <w:instrText xml:space="preserve"> PAGEREF _Toc23182 \h </w:instrText>
        </w:r>
        <w:r>
          <w:fldChar w:fldCharType="separate"/>
        </w:r>
        <w:r>
          <w:t>34</w:t>
        </w:r>
        <w:r>
          <w:fldChar w:fldCharType="end"/>
        </w:r>
      </w:hyperlink>
    </w:p>
    <w:p>
      <w:pPr>
        <w:pStyle w:val="TOC2"/>
        <w:tabs>
          <w:tab w:val="right" w:leader="dot" w:pos="8306"/>
        </w:tabs>
      </w:pPr>
      <w:hyperlink w:anchor="_Toc20996" w:history="1">
        <w:r>
          <w:rPr>
            <w:rFonts w:ascii="仿宋" w:eastAsia="仿宋" w:hAnsi="仿宋" w:cs="仿宋" w:hint="eastAsia"/>
            <w:lang w:eastAsia="zh-CN"/>
          </w:rPr>
          <w:t>(一)、社会责任与义务</w:t>
        </w:r>
        <w:r>
          <w:tab/>
        </w:r>
        <w:r>
          <w:fldChar w:fldCharType="begin"/>
        </w:r>
        <w:r>
          <w:instrText xml:space="preserve"> PAGEREF _Toc20996 \h </w:instrText>
        </w:r>
        <w:r>
          <w:fldChar w:fldCharType="separate"/>
        </w:r>
        <w:r>
          <w:t>34</w:t>
        </w:r>
        <w:r>
          <w:fldChar w:fldCharType="end"/>
        </w:r>
      </w:hyperlink>
    </w:p>
    <w:p>
      <w:pPr>
        <w:pStyle w:val="TOC2"/>
        <w:tabs>
          <w:tab w:val="right" w:leader="dot" w:pos="8306"/>
        </w:tabs>
      </w:pPr>
      <w:hyperlink w:anchor="_Toc9878" w:history="1">
        <w:r>
          <w:rPr>
            <w:rFonts w:ascii="仿宋" w:eastAsia="仿宋" w:hAnsi="仿宋" w:cs="仿宋" w:hint="eastAsia"/>
            <w:lang w:eastAsia="zh-CN"/>
          </w:rPr>
          <w:t>(二)、社会参与与沟通</w:t>
        </w:r>
        <w:r>
          <w:tab/>
        </w:r>
        <w:r>
          <w:fldChar w:fldCharType="begin"/>
        </w:r>
        <w:r>
          <w:instrText xml:space="preserve"> PAGEREF _Toc9878 \h </w:instrText>
        </w:r>
        <w:r>
          <w:fldChar w:fldCharType="separate"/>
        </w:r>
        <w:r>
          <w:t>35</w:t>
        </w:r>
        <w:r>
          <w:fldChar w:fldCharType="end"/>
        </w:r>
      </w:hyperlink>
    </w:p>
    <w:p>
      <w:pPr>
        <w:pStyle w:val="TOC1"/>
        <w:tabs>
          <w:tab w:val="right" w:leader="dot" w:pos="8306"/>
        </w:tabs>
      </w:pPr>
      <w:hyperlink w:anchor="_Toc22451" w:history="1">
        <w:r>
          <w:rPr>
            <w:rFonts w:ascii="仿宋" w:eastAsia="仿宋" w:hAnsi="仿宋" w:cs="仿宋" w:hint="eastAsia"/>
            <w:lang w:eastAsia="zh-CN"/>
          </w:rPr>
          <w:t>十、固体废弃物处理项目人力资源培养与发展</w:t>
        </w:r>
        <w:r>
          <w:tab/>
        </w:r>
        <w:r>
          <w:fldChar w:fldCharType="begin"/>
        </w:r>
        <w:r>
          <w:instrText xml:space="preserve"> PAGEREF _Toc22451 \h </w:instrText>
        </w:r>
        <w:r>
          <w:fldChar w:fldCharType="separate"/>
        </w:r>
        <w:r>
          <w:t>36</w:t>
        </w:r>
        <w:r>
          <w:fldChar w:fldCharType="end"/>
        </w:r>
      </w:hyperlink>
    </w:p>
    <w:p>
      <w:pPr>
        <w:pStyle w:val="TOC2"/>
        <w:tabs>
          <w:tab w:val="right" w:leader="dot" w:pos="8306"/>
        </w:tabs>
      </w:pPr>
      <w:hyperlink w:anchor="_Toc22738" w:history="1">
        <w:r>
          <w:rPr>
            <w:rFonts w:ascii="仿宋" w:eastAsia="仿宋" w:hAnsi="仿宋" w:cs="仿宋" w:hint="eastAsia"/>
            <w:lang w:eastAsia="zh-CN"/>
          </w:rPr>
          <w:t>(一)、人才需求与规划</w:t>
        </w:r>
        <w:r>
          <w:tab/>
        </w:r>
        <w:r>
          <w:fldChar w:fldCharType="begin"/>
        </w:r>
        <w:r>
          <w:instrText xml:space="preserve"> PAGEREF _Toc22738 \h </w:instrText>
        </w:r>
        <w:r>
          <w:fldChar w:fldCharType="separate"/>
        </w:r>
        <w:r>
          <w:t>36</w:t>
        </w:r>
        <w:r>
          <w:fldChar w:fldCharType="end"/>
        </w:r>
      </w:hyperlink>
    </w:p>
    <w:p>
      <w:pPr>
        <w:pStyle w:val="TOC2"/>
        <w:tabs>
          <w:tab w:val="right" w:leader="dot" w:pos="8306"/>
        </w:tabs>
      </w:pPr>
      <w:hyperlink w:anchor="_Toc30019" w:history="1">
        <w:r>
          <w:rPr>
            <w:rFonts w:ascii="仿宋" w:eastAsia="仿宋" w:hAnsi="仿宋" w:cs="仿宋" w:hint="eastAsia"/>
            <w:lang w:eastAsia="zh-CN"/>
          </w:rPr>
          <w:t>(二)、培训与发展计划</w:t>
        </w:r>
        <w:r>
          <w:tab/>
        </w:r>
        <w:r>
          <w:fldChar w:fldCharType="begin"/>
        </w:r>
        <w:r>
          <w:instrText xml:space="preserve"> PAGEREF _Toc30019 \h </w:instrText>
        </w:r>
        <w:r>
          <w:fldChar w:fldCharType="separate"/>
        </w:r>
        <w:r>
          <w:t>36</w:t>
        </w:r>
        <w:r>
          <w:fldChar w:fldCharType="end"/>
        </w:r>
      </w:hyperlink>
    </w:p>
    <w:p>
      <w:pPr>
        <w:pStyle w:val="TOC1"/>
        <w:tabs>
          <w:tab w:val="right" w:leader="dot" w:pos="8306"/>
        </w:tabs>
      </w:pPr>
      <w:hyperlink w:anchor="_Toc26867" w:history="1">
        <w:r>
          <w:rPr>
            <w:rFonts w:ascii="仿宋" w:eastAsia="仿宋" w:hAnsi="仿宋" w:cs="仿宋" w:hint="eastAsia"/>
            <w:lang w:eastAsia="zh-CN"/>
          </w:rPr>
          <w:t>十一、固体废弃物处理项目创新与研发</w:t>
        </w:r>
        <w:r>
          <w:tab/>
        </w:r>
        <w:r>
          <w:fldChar w:fldCharType="begin"/>
        </w:r>
        <w:r>
          <w:instrText xml:space="preserve"> PAGEREF _Toc26867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17" w:history="1">
        <w:r>
          <w:rPr>
            <w:rFonts w:ascii="仿宋" w:eastAsia="仿宋" w:hAnsi="仿宋" w:cs="仿宋" w:hint="eastAsia"/>
            <w:lang w:eastAsia="zh-CN"/>
          </w:rPr>
          <w:t>(一)、创新策略与方向</w:t>
        </w:r>
        <w:r>
          <w:tab/>
        </w:r>
        <w:r>
          <w:fldChar w:fldCharType="begin"/>
        </w:r>
        <w:r>
          <w:instrText xml:space="preserve"> PAGEREF _Toc31117 \h </w:instrText>
        </w:r>
        <w:r>
          <w:fldChar w:fldCharType="separate"/>
        </w:r>
        <w:r>
          <w:t>37</w:t>
        </w:r>
        <w:r>
          <w:fldChar w:fldCharType="end"/>
        </w:r>
      </w:hyperlink>
    </w:p>
    <w:p>
      <w:pPr>
        <w:pStyle w:val="TOC2"/>
        <w:tabs>
          <w:tab w:val="right" w:leader="dot" w:pos="8306"/>
        </w:tabs>
      </w:pPr>
      <w:hyperlink w:anchor="_Toc28848" w:history="1">
        <w:r>
          <w:rPr>
            <w:rFonts w:ascii="仿宋" w:eastAsia="仿宋" w:hAnsi="仿宋" w:cs="仿宋" w:hint="eastAsia"/>
            <w:lang w:eastAsia="zh-CN"/>
          </w:rPr>
          <w:t>(二)、研发规划与投入</w:t>
        </w:r>
        <w:r>
          <w:tab/>
        </w:r>
        <w:r>
          <w:fldChar w:fldCharType="begin"/>
        </w:r>
        <w:r>
          <w:instrText xml:space="preserve"> PAGEREF _Toc28848 \h </w:instrText>
        </w:r>
        <w:r>
          <w:fldChar w:fldCharType="separate"/>
        </w:r>
        <w:r>
          <w:t>38</w:t>
        </w:r>
        <w:r>
          <w:fldChar w:fldCharType="end"/>
        </w:r>
      </w:hyperlink>
    </w:p>
    <w:p>
      <w:pPr>
        <w:pStyle w:val="TOC1"/>
        <w:tabs>
          <w:tab w:val="right" w:leader="dot" w:pos="8306"/>
        </w:tabs>
      </w:pPr>
      <w:hyperlink w:anchor="_Toc3235" w:history="1">
        <w:r>
          <w:rPr>
            <w:rFonts w:ascii="仿宋" w:eastAsia="仿宋" w:hAnsi="仿宋" w:cs="仿宋" w:hint="eastAsia"/>
            <w:lang w:eastAsia="zh-CN"/>
          </w:rPr>
          <w:t>十二、生产安全保护</w:t>
        </w:r>
        <w:r>
          <w:tab/>
        </w:r>
        <w:r>
          <w:fldChar w:fldCharType="begin"/>
        </w:r>
        <w:r>
          <w:instrText xml:space="preserve"> PAGEREF _Toc3235 \h </w:instrText>
        </w:r>
        <w:r>
          <w:fldChar w:fldCharType="separate"/>
        </w:r>
        <w:r>
          <w:t>40</w:t>
        </w:r>
        <w:r>
          <w:fldChar w:fldCharType="end"/>
        </w:r>
      </w:hyperlink>
    </w:p>
    <w:p>
      <w:pPr>
        <w:pStyle w:val="TOC2"/>
        <w:tabs>
          <w:tab w:val="right" w:leader="dot" w:pos="8306"/>
        </w:tabs>
      </w:pPr>
      <w:hyperlink w:anchor="_Toc38" w:history="1">
        <w:r>
          <w:rPr>
            <w:rFonts w:ascii="仿宋" w:eastAsia="仿宋" w:hAnsi="仿宋" w:cs="仿宋" w:hint="eastAsia"/>
            <w:lang w:eastAsia="zh-CN"/>
          </w:rPr>
          <w:t>(一)、消防安全</w:t>
        </w:r>
        <w:r>
          <w:tab/>
        </w:r>
        <w:r>
          <w:fldChar w:fldCharType="begin"/>
        </w:r>
        <w:r>
          <w:instrText xml:space="preserve"> PAGEREF _Toc38 \h </w:instrText>
        </w:r>
        <w:r>
          <w:fldChar w:fldCharType="separate"/>
        </w:r>
        <w:r>
          <w:t>40</w:t>
        </w:r>
        <w:r>
          <w:fldChar w:fldCharType="end"/>
        </w:r>
      </w:hyperlink>
    </w:p>
    <w:p>
      <w:pPr>
        <w:pStyle w:val="TOC2"/>
        <w:tabs>
          <w:tab w:val="right" w:leader="dot" w:pos="8306"/>
        </w:tabs>
      </w:pPr>
      <w:hyperlink w:anchor="_Toc11578" w:history="1">
        <w:r>
          <w:rPr>
            <w:rFonts w:ascii="仿宋" w:eastAsia="仿宋" w:hAnsi="仿宋" w:cs="仿宋" w:hint="eastAsia"/>
            <w:lang w:eastAsia="zh-CN"/>
          </w:rPr>
          <w:t>(二)、防火防爆总图布置措施</w:t>
        </w:r>
        <w:r>
          <w:tab/>
        </w:r>
        <w:r>
          <w:fldChar w:fldCharType="begin"/>
        </w:r>
        <w:r>
          <w:instrText xml:space="preserve"> PAGEREF _Toc11578 \h </w:instrText>
        </w:r>
        <w:r>
          <w:fldChar w:fldCharType="separate"/>
        </w:r>
        <w:r>
          <w:t>42</w:t>
        </w:r>
        <w:r>
          <w:fldChar w:fldCharType="end"/>
        </w:r>
      </w:hyperlink>
    </w:p>
    <w:p>
      <w:pPr>
        <w:pStyle w:val="TOC2"/>
        <w:tabs>
          <w:tab w:val="right" w:leader="dot" w:pos="8306"/>
        </w:tabs>
      </w:pPr>
      <w:hyperlink w:anchor="_Toc13846" w:history="1">
        <w:r>
          <w:rPr>
            <w:rFonts w:ascii="仿宋" w:eastAsia="仿宋" w:hAnsi="仿宋" w:cs="仿宋" w:hint="eastAsia"/>
            <w:lang w:eastAsia="zh-CN"/>
          </w:rPr>
          <w:t>(三)、自然灾害防范措施</w:t>
        </w:r>
        <w:r>
          <w:tab/>
        </w:r>
        <w:r>
          <w:fldChar w:fldCharType="begin"/>
        </w:r>
        <w:r>
          <w:instrText xml:space="preserve"> PAGEREF _Toc13846 \h </w:instrText>
        </w:r>
        <w:r>
          <w:fldChar w:fldCharType="separate"/>
        </w:r>
        <w:r>
          <w:t>42</w:t>
        </w:r>
        <w:r>
          <w:fldChar w:fldCharType="end"/>
        </w:r>
      </w:hyperlink>
    </w:p>
    <w:p>
      <w:pPr>
        <w:pStyle w:val="TOC2"/>
        <w:tabs>
          <w:tab w:val="right" w:leader="dot" w:pos="8306"/>
        </w:tabs>
      </w:pPr>
      <w:hyperlink w:anchor="_Toc13926" w:history="1">
        <w:r>
          <w:rPr>
            <w:rFonts w:ascii="仿宋" w:eastAsia="仿宋" w:hAnsi="仿宋" w:cs="仿宋" w:hint="eastAsia"/>
            <w:lang w:eastAsia="zh-CN"/>
          </w:rPr>
          <w:t>(四)、安全色及安全标志使用要求</w:t>
        </w:r>
        <w:r>
          <w:tab/>
        </w:r>
        <w:r>
          <w:fldChar w:fldCharType="begin"/>
        </w:r>
        <w:r>
          <w:instrText xml:space="preserve"> PAGEREF _Toc13926 \h </w:instrText>
        </w:r>
        <w:r>
          <w:fldChar w:fldCharType="separate"/>
        </w:r>
        <w:r>
          <w:t>43</w:t>
        </w:r>
        <w:r>
          <w:fldChar w:fldCharType="end"/>
        </w:r>
      </w:hyperlink>
    </w:p>
    <w:p>
      <w:pPr>
        <w:pStyle w:val="TOC2"/>
        <w:tabs>
          <w:tab w:val="right" w:leader="dot" w:pos="8306"/>
        </w:tabs>
      </w:pPr>
      <w:hyperlink w:anchor="_Toc17208" w:history="1">
        <w:r>
          <w:rPr>
            <w:rFonts w:ascii="仿宋" w:eastAsia="仿宋" w:hAnsi="仿宋" w:cs="仿宋" w:hint="eastAsia"/>
            <w:lang w:eastAsia="zh-CN"/>
          </w:rPr>
          <w:t>(五)、防尘防毒措施</w:t>
        </w:r>
        <w:r>
          <w:tab/>
        </w:r>
        <w:r>
          <w:fldChar w:fldCharType="begin"/>
        </w:r>
        <w:r>
          <w:instrText xml:space="preserve"> PAGEREF _Toc17208 \h </w:instrText>
        </w:r>
        <w:r>
          <w:fldChar w:fldCharType="separate"/>
        </w:r>
        <w:r>
          <w:t>44</w:t>
        </w:r>
        <w:r>
          <w:fldChar w:fldCharType="end"/>
        </w:r>
      </w:hyperlink>
    </w:p>
    <w:p>
      <w:pPr>
        <w:pStyle w:val="TOC2"/>
        <w:tabs>
          <w:tab w:val="right" w:leader="dot" w:pos="8306"/>
        </w:tabs>
      </w:pPr>
      <w:hyperlink w:anchor="_Toc6190" w:history="1">
        <w:r>
          <w:rPr>
            <w:rFonts w:ascii="仿宋" w:eastAsia="仿宋" w:hAnsi="仿宋" w:cs="仿宋" w:hint="eastAsia"/>
            <w:lang w:eastAsia="zh-CN"/>
          </w:rPr>
          <w:t>(六)、防静电、触电防护及防雷措施</w:t>
        </w:r>
        <w:r>
          <w:tab/>
        </w:r>
        <w:r>
          <w:fldChar w:fldCharType="begin"/>
        </w:r>
        <w:r>
          <w:instrText xml:space="preserve"> PAGEREF _Toc6190 \h </w:instrText>
        </w:r>
        <w:r>
          <w:fldChar w:fldCharType="separate"/>
        </w:r>
        <w:r>
          <w:t>45</w:t>
        </w:r>
        <w:r>
          <w:fldChar w:fldCharType="end"/>
        </w:r>
      </w:hyperlink>
    </w:p>
    <w:p>
      <w:pPr>
        <w:pStyle w:val="TOC2"/>
        <w:tabs>
          <w:tab w:val="right" w:leader="dot" w:pos="8306"/>
        </w:tabs>
      </w:pPr>
      <w:hyperlink w:anchor="_Toc30970" w:history="1">
        <w:r>
          <w:rPr>
            <w:rFonts w:ascii="仿宋" w:eastAsia="仿宋" w:hAnsi="仿宋" w:cs="仿宋" w:hint="eastAsia"/>
            <w:lang w:eastAsia="zh-CN"/>
          </w:rPr>
          <w:t>(七)、机械设备安全保障措施</w:t>
        </w:r>
        <w:r>
          <w:tab/>
        </w:r>
        <w:r>
          <w:fldChar w:fldCharType="begin"/>
        </w:r>
        <w:r>
          <w:instrText xml:space="preserve"> PAGEREF _Toc30970 \h </w:instrText>
        </w:r>
        <w:r>
          <w:fldChar w:fldCharType="separate"/>
        </w:r>
        <w:r>
          <w:t>47</w:t>
        </w:r>
        <w:r>
          <w:fldChar w:fldCharType="end"/>
        </w:r>
      </w:hyperlink>
    </w:p>
    <w:p>
      <w:pPr>
        <w:pStyle w:val="TOC1"/>
        <w:tabs>
          <w:tab w:val="right" w:leader="dot" w:pos="8306"/>
        </w:tabs>
      </w:pPr>
      <w:hyperlink w:anchor="_Toc447" w:history="1">
        <w:r>
          <w:rPr>
            <w:rFonts w:ascii="仿宋" w:eastAsia="仿宋" w:hAnsi="仿宋" w:cs="仿宋" w:hint="eastAsia"/>
            <w:lang w:eastAsia="zh-CN"/>
          </w:rPr>
          <w:t>十三、供应链管理</w:t>
        </w:r>
        <w:r>
          <w:tab/>
        </w:r>
        <w:r>
          <w:fldChar w:fldCharType="begin"/>
        </w:r>
        <w:r>
          <w:instrText xml:space="preserve"> PAGEREF _Toc447 \h </w:instrText>
        </w:r>
        <w:r>
          <w:fldChar w:fldCharType="separate"/>
        </w:r>
        <w:r>
          <w:t>48</w:t>
        </w:r>
        <w:r>
          <w:fldChar w:fldCharType="end"/>
        </w:r>
      </w:hyperlink>
    </w:p>
    <w:p>
      <w:pPr>
        <w:pStyle w:val="TOC2"/>
        <w:tabs>
          <w:tab w:val="right" w:leader="dot" w:pos="8306"/>
        </w:tabs>
      </w:pPr>
      <w:hyperlink w:anchor="_Toc18275" w:history="1">
        <w:r>
          <w:rPr>
            <w:rFonts w:ascii="仿宋" w:eastAsia="仿宋" w:hAnsi="仿宋" w:cs="仿宋" w:hint="eastAsia"/>
            <w:lang w:eastAsia="zh-CN"/>
          </w:rPr>
          <w:t>(一)、供应链战略规划</w:t>
        </w:r>
        <w:r>
          <w:tab/>
        </w:r>
        <w:r>
          <w:fldChar w:fldCharType="begin"/>
        </w:r>
        <w:r>
          <w:instrText xml:space="preserve"> PAGEREF _Toc18275 \h </w:instrText>
        </w:r>
        <w:r>
          <w:fldChar w:fldCharType="separate"/>
        </w:r>
        <w:r>
          <w:t>48</w:t>
        </w:r>
        <w:r>
          <w:fldChar w:fldCharType="end"/>
        </w:r>
      </w:hyperlink>
    </w:p>
    <w:p>
      <w:pPr>
        <w:pStyle w:val="TOC2"/>
        <w:tabs>
          <w:tab w:val="right" w:leader="dot" w:pos="8306"/>
        </w:tabs>
      </w:pPr>
      <w:hyperlink w:anchor="_Toc29262" w:history="1">
        <w:r>
          <w:rPr>
            <w:rFonts w:ascii="仿宋" w:eastAsia="仿宋" w:hAnsi="仿宋" w:cs="仿宋" w:hint="eastAsia"/>
            <w:lang w:eastAsia="zh-CN"/>
          </w:rPr>
          <w:t>(二)、供应商选择与合作</w:t>
        </w:r>
        <w:r>
          <w:tab/>
        </w:r>
        <w:r>
          <w:fldChar w:fldCharType="begin"/>
        </w:r>
        <w:r>
          <w:instrText xml:space="preserve"> PAGEREF _Toc29262 \h </w:instrText>
        </w:r>
        <w:r>
          <w:fldChar w:fldCharType="separate"/>
        </w:r>
        <w:r>
          <w:t>50</w:t>
        </w:r>
        <w:r>
          <w:fldChar w:fldCharType="end"/>
        </w:r>
      </w:hyperlink>
    </w:p>
    <w:p>
      <w:pPr>
        <w:pStyle w:val="TOC2"/>
        <w:tabs>
          <w:tab w:val="right" w:leader="dot" w:pos="8306"/>
        </w:tabs>
      </w:pPr>
      <w:hyperlink w:anchor="_Toc27384" w:history="1">
        <w:r>
          <w:rPr>
            <w:rFonts w:ascii="仿宋" w:eastAsia="仿宋" w:hAnsi="仿宋" w:cs="仿宋" w:hint="eastAsia"/>
            <w:lang w:eastAsia="zh-CN"/>
          </w:rPr>
          <w:t>(三)、物流与库存管理</w:t>
        </w:r>
        <w:r>
          <w:tab/>
        </w:r>
        <w:r>
          <w:fldChar w:fldCharType="begin"/>
        </w:r>
        <w:r>
          <w:instrText xml:space="preserve"> PAGEREF _Toc27384 \h </w:instrText>
        </w:r>
        <w:r>
          <w:fldChar w:fldCharType="separate"/>
        </w:r>
        <w:r>
          <w:t>51</w:t>
        </w:r>
        <w:r>
          <w:fldChar w:fldCharType="end"/>
        </w:r>
      </w:hyperlink>
    </w:p>
    <w:p>
      <w:pPr>
        <w:pStyle w:val="TOC1"/>
        <w:tabs>
          <w:tab w:val="right" w:leader="dot" w:pos="8306"/>
        </w:tabs>
      </w:pPr>
      <w:hyperlink w:anchor="_Toc3556" w:history="1">
        <w:r>
          <w:rPr>
            <w:rFonts w:ascii="仿宋" w:eastAsia="仿宋" w:hAnsi="仿宋" w:cs="仿宋" w:hint="eastAsia"/>
            <w:lang w:eastAsia="zh-CN"/>
          </w:rPr>
          <w:t>十四、固体废弃物处理项目实施保障措施</w:t>
        </w:r>
        <w:r>
          <w:tab/>
        </w:r>
        <w:r>
          <w:fldChar w:fldCharType="begin"/>
        </w:r>
        <w:r>
          <w:instrText xml:space="preserve"> PAGEREF _Toc3556 \h </w:instrText>
        </w:r>
        <w:r>
          <w:fldChar w:fldCharType="separate"/>
        </w:r>
        <w:r>
          <w:t>52</w:t>
        </w:r>
        <w:r>
          <w:fldChar w:fldCharType="end"/>
        </w:r>
      </w:hyperlink>
    </w:p>
    <w:p>
      <w:pPr>
        <w:pStyle w:val="TOC2"/>
        <w:tabs>
          <w:tab w:val="right" w:leader="dot" w:pos="8306"/>
        </w:tabs>
      </w:pPr>
      <w:hyperlink w:anchor="_Toc21201" w:history="1">
        <w:r>
          <w:rPr>
            <w:rFonts w:ascii="仿宋" w:eastAsia="仿宋" w:hAnsi="仿宋" w:cs="仿宋" w:hint="eastAsia"/>
            <w:lang w:eastAsia="zh-CN"/>
          </w:rPr>
          <w:t>(一)、固体废弃物处理项目实施保障机制</w:t>
        </w:r>
        <w:r>
          <w:tab/>
        </w:r>
        <w:r>
          <w:fldChar w:fldCharType="begin"/>
        </w:r>
        <w:r>
          <w:instrText xml:space="preserve"> PAGEREF _Toc21201 \h </w:instrText>
        </w:r>
        <w:r>
          <w:fldChar w:fldCharType="separate"/>
        </w:r>
        <w:r>
          <w:t>52</w:t>
        </w:r>
        <w:r>
          <w:fldChar w:fldCharType="end"/>
        </w:r>
      </w:hyperlink>
    </w:p>
    <w:p>
      <w:pPr>
        <w:pStyle w:val="TOC2"/>
        <w:tabs>
          <w:tab w:val="right" w:leader="dot" w:pos="8306"/>
        </w:tabs>
      </w:pPr>
      <w:hyperlink w:anchor="_Toc15784" w:history="1">
        <w:r>
          <w:rPr>
            <w:rFonts w:ascii="仿宋" w:eastAsia="仿宋" w:hAnsi="仿宋" w:cs="仿宋" w:hint="eastAsia"/>
            <w:lang w:eastAsia="zh-CN"/>
          </w:rPr>
          <w:t>(二)、固体废弃物处理项目法律合规要求</w:t>
        </w:r>
        <w:r>
          <w:tab/>
        </w:r>
        <w:r>
          <w:fldChar w:fldCharType="begin"/>
        </w:r>
        <w:r>
          <w:instrText xml:space="preserve"> PAGEREF _Toc15784 \h </w:instrText>
        </w:r>
        <w:r>
          <w:fldChar w:fldCharType="separate"/>
        </w:r>
        <w:r>
          <w:t>56</w:t>
        </w:r>
        <w:r>
          <w:fldChar w:fldCharType="end"/>
        </w:r>
      </w:hyperlink>
    </w:p>
    <w:p>
      <w:pPr>
        <w:pStyle w:val="TOC2"/>
        <w:tabs>
          <w:tab w:val="right" w:leader="dot" w:pos="8306"/>
        </w:tabs>
      </w:pPr>
      <w:hyperlink w:anchor="_Toc18493" w:history="1">
        <w:r>
          <w:rPr>
            <w:rFonts w:ascii="仿宋" w:eastAsia="仿宋" w:hAnsi="仿宋" w:cs="仿宋" w:hint="eastAsia"/>
            <w:lang w:eastAsia="zh-CN"/>
          </w:rPr>
          <w:t>(三)、固体废弃物处理项目合同管理与法律事务</w:t>
        </w:r>
        <w:r>
          <w:tab/>
        </w:r>
        <w:r>
          <w:fldChar w:fldCharType="begin"/>
        </w:r>
        <w:r>
          <w:instrText xml:space="preserve"> PAGEREF _Toc18493 \h </w:instrText>
        </w:r>
        <w:r>
          <w:fldChar w:fldCharType="separate"/>
        </w:r>
        <w:r>
          <w:t>61</w:t>
        </w:r>
        <w:r>
          <w:fldChar w:fldCharType="end"/>
        </w:r>
      </w:hyperlink>
    </w:p>
    <w:p>
      <w:pPr>
        <w:pStyle w:val="TOC2"/>
        <w:tabs>
          <w:tab w:val="right" w:leader="dot" w:pos="8306"/>
        </w:tabs>
      </w:pPr>
      <w:hyperlink w:anchor="_Toc8037" w:history="1">
        <w:r>
          <w:rPr>
            <w:rFonts w:ascii="仿宋" w:eastAsia="仿宋" w:hAnsi="仿宋" w:cs="仿宋" w:hint="eastAsia"/>
            <w:lang w:eastAsia="zh-CN"/>
          </w:rPr>
          <w:t>(四)、固体废弃物处理项目知识产权保护策略</w:t>
        </w:r>
        <w:r>
          <w:tab/>
        </w:r>
        <w:r>
          <w:fldChar w:fldCharType="begin"/>
        </w:r>
        <w:r>
          <w:instrText xml:space="preserve"> PAGEREF _Toc8037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86"/>
      <w:r>
        <w:rPr>
          <w:rFonts w:ascii="仿宋" w:eastAsia="仿宋" w:hAnsi="仿宋" w:cs="仿宋" w:hint="eastAsia"/>
          <w:sz w:val="28"/>
          <w:lang w:eastAsia="zh-CN"/>
        </w:rPr>
        <w:t>一、固体废弃物处理项目建设单位说明</w:t>
      </w:r>
      <w:bookmarkEnd w:id="2"/>
    </w:p>
    <w:p>
      <w:pPr>
        <w:pStyle w:val="Heading2"/>
        <w:rPr>
          <w:rFonts w:ascii="仿宋" w:eastAsia="仿宋" w:hAnsi="仿宋" w:cs="仿宋" w:hint="eastAsia"/>
          <w:lang w:eastAsia="zh-CN"/>
        </w:rPr>
      </w:pPr>
      <w:bookmarkStart w:id="3" w:name="_Toc32311"/>
      <w:r>
        <w:rPr>
          <w:rFonts w:ascii="仿宋" w:eastAsia="仿宋" w:hAnsi="仿宋" w:cs="仿宋" w:hint="eastAsia"/>
          <w:lang w:eastAsia="zh-CN"/>
        </w:rPr>
        <w:t>(一)、固体废弃物处理项目承办单位基本情况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72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固体废弃物处理项目承办单位的XXXX，我们着眼于实现可持续的经济效益。通过技术创新和解决方案的提供，公司预计在固体废弃物处理项目执行期间将获得可观的收入增长。这一收入来源主要包括固体废弃物处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同时，我们注重成本控制和效率提升，以确保固体废弃物处理项目的可持续盈利。透过精细的管理和资源优化，公司期望实现固体废弃物处理项目利润最大化。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固体废弃物处理项目实施进行全面的投资评估，包括固体废弃物处理项目启动阶段的资金投入和后续运营成本。通过对固体废弃物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固体废弃物处理项目实施过程中具备足够的资金流动性，公司将进行详尽的现金流分析。这包括资金需求的合理预测、固体废弃物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5"/>
      <w:r>
        <w:rPr>
          <w:rFonts w:ascii="仿宋" w:eastAsia="仿宋" w:hAnsi="仿宋" w:cs="仿宋" w:hint="eastAsia"/>
          <w:sz w:val="28"/>
          <w:lang w:eastAsia="zh-CN"/>
        </w:rPr>
        <w:t>二、固体废弃物处理项目危机管理</w:t>
      </w:r>
      <w:bookmarkEnd w:id="5"/>
    </w:p>
    <w:p>
      <w:pPr>
        <w:pStyle w:val="Heading2"/>
        <w:rPr>
          <w:rFonts w:ascii="仿宋" w:eastAsia="仿宋" w:hAnsi="仿宋" w:cs="仿宋" w:hint="eastAsia"/>
          <w:lang w:eastAsia="zh-CN"/>
        </w:rPr>
      </w:pPr>
      <w:bookmarkStart w:id="6" w:name="_Toc707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弃物处理项目危机管理中，危机预警与识别是确保固体废弃物处理项目稳健运行的核心步骤。通过建立全面的监测机制，固体废弃物处理项目团队旨在及时发现和理解潜在的风险和危机因素，以便采取及时的预防和应对措施，确保固体废弃物处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体废弃物处理项目团队全面分析了整个固体废弃物处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体废弃物处理项目团队着重于明确定义固体废弃物处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体废弃物处理项目进展的持续监控，团队能够及时发现潜在问题并作出迅速反应。固体废弃物处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在这一阶段，团队的专业素养和反应速度将发挥至关重要的作用，以确保潜在危机能够在初期得到有效的处理，最大程度地减轻负面影响。通过危机预警与识别，固体废弃物处理项目得以更有序、可控地推进。</w:t>
      </w:r>
    </w:p>
    <w:p>
      <w:pPr>
        <w:pStyle w:val="Heading2"/>
        <w:ind w:firstLine="560" w:firstLineChars="200"/>
        <w:rPr>
          <w:rFonts w:ascii="仿宋" w:eastAsia="仿宋" w:hAnsi="仿宋" w:cs="仿宋" w:hint="eastAsia"/>
          <w:sz w:val="28"/>
          <w:lang w:eastAsia="zh-CN"/>
        </w:rPr>
      </w:pPr>
      <w:bookmarkStart w:id="7" w:name="_Toc877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在危机发生时，固体废弃物处理项目团队立即行动，成立了应急小组。该小组的任务是迅速制定并实施紧急应对措施，以最小化潜在损失。以下是采取的主要措施：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暂停固体废弃物处理项目进度：为遏制危机蔓延，固体废弃物处理项目暂时停止进行，以便全面评估当前状况。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资源重新分配：重新评估固体废弃物处理项目资源的分配，确保最大限度地减小损失。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实时沟通：与关键利益相关者建立实时沟通机制，向他们传递固体废弃物处理项目危机的实际状况，保障固体废弃物处理项目核心利益。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在紧急应对的同时，固体废弃物处理项目团队强调了团队协作和有效沟通的重要性。以下是团队协作的关键举措：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信息共享机制：建立了信息共享平台，确保团队成员能够及时获取固体废弃物处理项目危机的实时信息。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领导者沟通：固体废弃物处理项目领导者通过定期会议和即时沟通工具，指导团队应对危机，保持团队稳定运行。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随着危机得到初步控制，固体废弃物处理项目团队转向制定恢复计划，以确保固体废弃物处理项目能够从中迅速恢复。主要恢复计划包括：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修复受损的进度计划：重新评估固体废弃物处理项目进度，制定修复计划，确保固体废弃物处理项目尽快回归正常进程。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重新调整资源分配：优化资源分配，确保固体废弃物处理项目在有限资源下高效运转。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风险管理机制加强：对固体废弃物处理项目风险进行全面评估，制定更强化的风险管理策略，以预防未来可能的危机。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073"/>
      <w:r>
        <w:rPr>
          <w:rFonts w:ascii="仿宋" w:eastAsia="仿宋" w:hAnsi="仿宋" w:cs="仿宋" w:hint="eastAsia"/>
          <w:sz w:val="28"/>
          <w:lang w:eastAsia="zh-CN"/>
        </w:rPr>
        <w:t>三、固体废弃物处理项目文档管理</w:t>
      </w:r>
      <w:bookmarkEnd w:id="8"/>
    </w:p>
    <w:p>
      <w:pPr>
        <w:pStyle w:val="Heading2"/>
        <w:rPr>
          <w:rFonts w:ascii="仿宋" w:eastAsia="仿宋" w:hAnsi="仿宋" w:cs="仿宋" w:hint="eastAsia"/>
          <w:lang w:eastAsia="zh-CN"/>
        </w:rPr>
      </w:pPr>
      <w:bookmarkStart w:id="9" w:name="_Toc3031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固体废弃物处理项目高度重视文档的质量和准确性，以支持固体废弃物处理项目的各项活动和决策。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文档的编制始于固体废弃物处理项目计划的初期，我们制定了详细的文档编制计划，明确了每个文档的内容、格式和编写责任人。在固体废弃物处理项目启动阶段，我们首先编制了固体废弃物处理项目章程，明确定义了固体废弃物处理项目的目标、范围、风险等关键要素。随后，固体废弃物处理项目团队根据计划陆续编制了需求文档、设计文档、测试文档等各类文档，确保固体废弃物处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固体废弃物处理项目管理中的重要环节，旨在确保固体废弃物处理项目文档符合质量标准和固体废弃物处理项目需求。在固体废弃物处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固体废弃物处理项目相关利益方和专业领域的专家对文档进行独立审查。这有助于获取更全面、客观的反馈，确保固体废弃物处理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固体废弃物处理项目在文档编制与审查方面建立了严格的管理机制，通过规范的流程和多维度的审查，确保固体废弃物处理项目文档的质量、准确性和可靠性，为固体废弃物处理项目的顺利推进提供了有力支持。</w:t>
      </w:r>
    </w:p>
    <w:p>
      <w:pPr>
        <w:pStyle w:val="Heading2"/>
        <w:ind w:firstLine="560" w:firstLineChars="200"/>
        <w:rPr>
          <w:rFonts w:ascii="仿宋" w:eastAsia="仿宋" w:hAnsi="仿宋" w:cs="仿宋" w:hint="eastAsia"/>
          <w:sz w:val="28"/>
          <w:lang w:eastAsia="zh-CN"/>
        </w:rPr>
      </w:pPr>
      <w:bookmarkStart w:id="10" w:name="_Toc964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在固体废弃物处理项目中，我们致力于优化文档发布与分发过程，以确保信息的高效传递和团队间协作的顺畅进行。以下是我们采取的关键优化策略：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我们通过多渠道发布文档，包括电子邮件、固体废弃物处理项目管理平台、内部网站等，以满足不同团队成员的偏好和需求。多渠道发布确保了信息的全面覆盖。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我们采用了精细的权限控制，确保只有授权人员可以访问敏感信息。这种安全措施保护了固体废弃物处理项目文档的机密性，防止了未经授权的信息泄露。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376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固体废弃物处理项目生命周期中一个至关重要的环节，直接关系到固体废弃物处理项目信息的长期保存和历史记录的完整性。在固体废弃物处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474"/>
      <w:r>
        <w:rPr>
          <w:rFonts w:ascii="仿宋" w:eastAsia="仿宋" w:hAnsi="仿宋" w:cs="仿宋" w:hint="eastAsia"/>
          <w:sz w:val="28"/>
          <w:lang w:eastAsia="zh-CN"/>
        </w:rPr>
        <w:t>四、固体废弃物处理项目概论</w:t>
      </w:r>
      <w:bookmarkEnd w:id="12"/>
    </w:p>
    <w:p>
      <w:pPr>
        <w:pStyle w:val="Heading2"/>
        <w:rPr>
          <w:rFonts w:ascii="仿宋" w:eastAsia="仿宋" w:hAnsi="仿宋" w:cs="仿宋" w:hint="eastAsia"/>
          <w:lang w:eastAsia="zh-CN"/>
        </w:rPr>
      </w:pPr>
      <w:bookmarkStart w:id="13" w:name="_Toc20412"/>
      <w:r>
        <w:rPr>
          <w:rFonts w:ascii="仿宋" w:eastAsia="仿宋" w:hAnsi="仿宋" w:cs="仿宋" w:hint="eastAsia"/>
          <w:lang w:eastAsia="zh-CN"/>
        </w:rPr>
        <w:t>(一)、固体废弃物处理项目概况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起源追溯至对市场的深入洞察。市场的不断演变与变革为固体废弃物处理项目提供了难得的机遇。当前市场存在的需求缺口和变革的大环境共同构成了固体废弃物处理项目的背景。这个固体废弃物处理项目旨在充分利用市场机遇，填补行业中尚未满足的需求，为客户提供全新的解决方案。市场的变革和需求的增长使得这个固体废弃物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固体废弃物处理项目名称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正式命名为固体废弃物处理。这个名称不仅仅是一个标识，更代表了固体废弃物处理项目的核心理念和愿景。它蕴含着固体废弃物处理项目所要解决问题的关键字，具有强烈的表达和辨识度，为固体废弃物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固体废弃物处理项目目标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核心目标是提供一种全新、高效的解决方案，满足客户日益增长的需求。固体废弃物处理项目追求的不仅仅是满足市场需求，更是在市场中获得卓越的竞争优势。通过不断提升产品或服务的质量和创新水平，固体废弃物处理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固体废弃物处理项目范围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全面涵盖了产品研发、制造、市场推广和售后服务，确保从产品设计到最终用户体验的全方位关注。这一全面的固体废弃物处理项目范围是为了确保固体废弃物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固体废弃物处理项目时间表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固体废弃物处理项目计划在未来18个月内完成，包括研发、测试、市场试点和正式推出等不同阶段。这个时间表的合理设计是为了确保固体废弃物处理项目各个阶段的顺利推进，以便按时交付高质量的成果。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固体废弃物处理项目预算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总预算估算为XX百万美元，主要分配在研发、市场推广、人员培训和运营等方面。这一充足的预算为固体废弃物处理项目提供了充足的资源，确保固体废弃物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固体废弃物处理项目风险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可能面临的风险包括市场接受度低、技术难题、竞争激烈等。固体废弃物处理项目团队已经制定了相应的风险应对计划，通过前瞻性的风险管理，确保固体废弃物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固体废弃物处理项目团队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固体废弃物处理项目汇聚了一支经验丰富、多领域专业素养的核心团队，确保固体废弃物处理项目在各个方面都能拥有高水平的执行力。团队的协同作战是固体废弃物处理项目成功的关键因素之一。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固体废弃物处理项目背景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固体废弃物处理项目的背景根植于市场对更高效、创新产品的渴望，同时也受到科技发展对行业格局的深刻改变的影响。这为固体废弃物处理项目提供了广阔的发展空间和市场需求。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固体废弃物处理项目现状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截至目前，固体废弃物处理项目已完成市场调研和技术验证，取得了初步的成功。这为固体废弃物处理项目在未来的发展奠定了坚实的基础，为更远大的目标打下了坚实的基石。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5140"/>
      <w:r>
        <w:rPr>
          <w:rFonts w:ascii="仿宋" w:eastAsia="仿宋" w:hAnsi="仿宋" w:cs="仿宋" w:hint="eastAsia"/>
          <w:sz w:val="28"/>
          <w:lang w:eastAsia="zh-CN"/>
        </w:rPr>
        <w:t>(二)、固体废弃物处理项目目标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keyword》固体废弃物处理项目首要业务目标是在市场中占据有利地位，实现产品/服务的成功推广和销售。通过不断提升产品质量、创新性，固体废弃物处理项目追求成为行业中的领导者，赢得更多客户的青睐。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在科技迅速发展的时代，固体废弃物处理项目着眼于技术创新。通过持续的研发和技术升级，固体废弃物处理项目旨在推出更具创新性的产品或服务，以满足市场对新鲜、先进解决方案的需求。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为了建立可持续的客户关系，固体废弃物处理项目设定了客户满意度目标。通过提供卓越的产品质量和优质的客户服务，固体废弃物处理项目追求赢得客户的信任和忠诚度，确保他们的满意度达到行业领先水平。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固体废弃物处理项目注重社会责任和可持续发展。通过实施环保、社会责任固体废弃物处理项目，固体废弃物处理项目致力于在经济发展的同时保护环境，促进社会公平，实现可持续经营。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固体废弃物处理项目的团队是实现目标的核心驱动力。因此，固体废弃物处理项目设定了团队发展目标，包括提升团队成员的专业技能、培养领导力，以及搭建协同高效的团队工作氛围。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0149"/>
      <w:r>
        <w:rPr>
          <w:rFonts w:ascii="仿宋" w:eastAsia="仿宋" w:hAnsi="仿宋" w:cs="仿宋" w:hint="eastAsia"/>
          <w:sz w:val="28"/>
          <w:lang w:eastAsia="zh-CN"/>
        </w:rPr>
        <w:t>(三)、固体废弃物处理项目提出的理由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固体废弃物处理项目提出的理由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提出源于对市场机遇的深刻洞察。当前市场中存在的需求缺口和行业发展趋势表明，有巨大的商业机会等待被开发。通过准确捕捉市场机遇，固体废弃物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理念基于对技术创新的信仰。通过持续的研发和技术投入，固体废弃物处理项目有望推出更具创新性的产品或服务。在科技飞速发展的当下，固体废弃物处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提出是为了增强企业的行业竞争力。通过提升产品或服务的质量和独特性，固体废弃物处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响应了消费者需求的变化。随着社会和科技的不断发展，消费者对产品和服务的需求也在发生变化。通过深入了解并及时回应消费者的新需求，固体废弃物处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提出是企业战略发展规划的一部分。在面对日益激烈的市场竞争和不断变化的商业环境中，固体废弃物处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提出不仅仅是基于商业考量，还注重社会责任。通过推出环保、社会责任等方面的固体废弃物处理项目，固体废弃物处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固体废弃物处理项目的提出反映了对利益相关者期望的关注。包括客户、员工、投资者等利益相关者在企业发展中都有着各自的期望，固体废弃物处理项目力求在满足这些期望的同时，取得更大的共赢。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6915"/>
      <w:r>
        <w:rPr>
          <w:rFonts w:ascii="仿宋" w:eastAsia="仿宋" w:hAnsi="仿宋" w:cs="仿宋" w:hint="eastAsia"/>
          <w:sz w:val="28"/>
          <w:lang w:eastAsia="zh-CN"/>
        </w:rPr>
        <w:t>(四)、固体废弃物处理项目意义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在实施固体废弃物处理项目的过程中，我们不仅仅是在追逐商业成功，更是为企业和社会的多个层面创造了深远的意义。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首要意义在于提升企业的市场竞争力。通过持续的创新和对产品质量的高标准要求，固体废弃物处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固体废弃物处理项目的推进将促使行业技术水平的提升。通过引入先进技术和创新性解决方案，固体废弃物处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固体废弃物处理项目不仅创造了大量就业机会，提高了就业水平，还注重社会责任和环保。通过参与社会公益事业和推动环保固体废弃物处理项目，固体废弃物处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综合而言，固体废弃物处理项目意义重大，不仅推动了企业的发展，也为行业和社会的进步贡献了积极力量。这是一个全面而深刻的影响，将在未来产生可持续的正面效应。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8427"/>
      <w:r>
        <w:rPr>
          <w:rFonts w:ascii="仿宋" w:eastAsia="仿宋" w:hAnsi="仿宋" w:cs="仿宋" w:hint="eastAsia"/>
          <w:sz w:val="28"/>
          <w:lang w:eastAsia="zh-CN"/>
        </w:rPr>
        <w:t>(五)、固体废弃物处理项目背景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https://d.book118.com/507021154036006033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6C0FC6"/>
    <w:rsid w:val="706C0F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2115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2024-01-20T20:38:00Z</dcterms:created>
  <dcterms:modified xsi:type="dcterms:W3CDTF">2024-01-20T20:38:56Z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1A12425DD40749DAA70E6CCAAFB70132_11</vt:lpwstr>
  </property>
  <property fmtid="{D5CDD505-2E9C-101B-9397-08002B2CF9AE}" pid="3" name="KSOProductBuildVer">
    <vt:lpwstr>2052-12.1.0.16120</vt:lpwstr>
  </property>
</Properties>
</file>