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53" w:line="223" w:lineRule="auto"/>
        <w:ind w:left="135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0"/>
          <w:sz w:val="47"/>
          <w:szCs w:val="47"/>
          <w14:textOutline w14:w="8412" w14:cap="sq">
            <w14:solidFill>
              <w14:srgbClr w14:val="000000"/>
            </w14:solidFill>
            <w14:prstDash w14:val="solid"/>
            <w14:bevel/>
          </w14:textOutline>
        </w:rPr>
        <w:t>阿</w:t>
      </w:r>
      <w:r>
        <w:rPr>
          <w:rFonts w:ascii="SimSun" w:eastAsia="SimSun" w:hAnsi="SimSun" w:cs="SimSun"/>
          <w:spacing w:val="-23"/>
          <w:sz w:val="47"/>
          <w:szCs w:val="47"/>
          <w14:textOutline w14:w="8412" w14:cap="sq">
            <w14:solidFill>
              <w14:srgbClr w14:val="000000"/>
            </w14:solidFill>
            <w14:prstDash w14:val="solid"/>
            <w14:bevel/>
          </w14:textOutline>
        </w:rPr>
        <w:t>鲁科尔沁旗巴拉奇如德苏木</w:t>
      </w:r>
    </w:p>
    <w:p>
      <w:pPr>
        <w:spacing w:before="367" w:line="224" w:lineRule="auto"/>
        <w:ind w:left="223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5"/>
          <w:sz w:val="47"/>
          <w:szCs w:val="47"/>
          <w14:textOutline w14:w="8412" w14:cap="sq">
            <w14:solidFill>
              <w14:srgbClr w14:val="000000"/>
            </w14:solidFill>
            <w14:prstDash w14:val="solid"/>
            <w14:bevel/>
          </w14:textOutline>
        </w:rPr>
        <w:t>敦</w:t>
      </w:r>
      <w:r>
        <w:rPr>
          <w:rFonts w:ascii="SimSun" w:eastAsia="SimSun" w:hAnsi="SimSun" w:cs="SimSun"/>
          <w:spacing w:val="-22"/>
          <w:sz w:val="47"/>
          <w:szCs w:val="47"/>
          <w14:textOutline w14:w="8412" w14:cap="sq">
            <w14:solidFill>
              <w14:srgbClr w14:val="000000"/>
            </w14:solidFill>
            <w14:prstDash w14:val="solid"/>
            <w14:bevel/>
          </w14:textOutline>
        </w:rPr>
        <w:t>达诺尔建筑用砂矿</w:t>
      </w:r>
    </w:p>
    <w:p>
      <w:pPr>
        <w:spacing w:before="364" w:line="223" w:lineRule="auto"/>
        <w:ind w:left="16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〇二三年度矿山地质环境治理计划书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1" w:line="224" w:lineRule="auto"/>
        <w:ind w:left="162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阿</w:t>
      </w:r>
      <w:r>
        <w:rPr>
          <w:rFonts w:ascii="SimSun" w:eastAsia="SimSun" w:hAnsi="SimSun" w:cs="SimSun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鲁科尔沁旗永锋建筑工程有限公司</w:t>
      </w:r>
    </w:p>
    <w:p>
      <w:pPr>
        <w:spacing w:before="145" w:line="225" w:lineRule="auto"/>
        <w:ind w:left="306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7"/>
          <w:sz w:val="31"/>
          <w:szCs w:val="31"/>
        </w:rPr>
        <w:t>〇二三年二月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8" w:line="12173" w:lineRule="exact"/>
        <w:ind w:firstLine="14"/>
        <w:textAlignment w:val="center"/>
      </w:pPr>
      <w:r>
        <w:drawing>
          <wp:inline distT="0" distB="0" distL="0" distR="0">
            <wp:extent cx="5271515" cy="7729727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515" cy="772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spacing w:before="8" w:line="12043" w:lineRule="exact"/>
        <w:ind w:firstLine="14"/>
        <w:textAlignment w:val="center"/>
      </w:pPr>
      <w:r>
        <w:drawing>
          <wp:inline distT="0" distB="0" distL="0" distR="0">
            <wp:extent cx="5269991" cy="764743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991" cy="764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5"/>
          <w:szCs w:val="35"/>
        </w:rPr>
        <w:id w:val="195345421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spacing w:before="114" w:line="228" w:lineRule="auto"/>
            <w:ind w:left="3617"/>
            <w:rPr>
              <w:rFonts w:ascii="SimSun" w:eastAsia="SimSun" w:hAnsi="SimSun" w:cs="SimSun"/>
              <w:sz w:val="35"/>
              <w:szCs w:val="35"/>
            </w:rPr>
          </w:pPr>
          <w:r>
            <w:rPr>
              <w:rFonts w:ascii="SimSun" w:eastAsia="SimSun" w:hAnsi="SimSun" w:cs="SimSun"/>
              <w:spacing w:val="-11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8"/>
              <w:sz w:val="35"/>
              <w:szCs w:val="35"/>
            </w:rPr>
            <w:t xml:space="preserve">   </w:t>
          </w:r>
          <w:r>
            <w:rPr>
              <w:rFonts w:ascii="SimSun" w:eastAsia="SimSun" w:hAnsi="SimSun" w:cs="SimSun"/>
              <w:spacing w:val="-8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176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一章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矿山基本情况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1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矿山地质环境治理方案的编制与执行情况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2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方案编制概况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、治理方案规划的近期治理工程内容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2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22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、矿山地质环境治理方案执行情况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3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第三章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本年度矿山生产计划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4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本年度的主要生产指标计划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6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矿山地质环境问题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5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矿山地质环境问题现状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6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矿山地质环境问题预测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10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2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矿山地质环境防治工程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>11</w:t>
            </w:r>
          </w:hyperlink>
        </w:p>
        <w:p>
          <w:pPr>
            <w:spacing w:line="26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11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6" w:line="228" w:lineRule="auto"/>
            <w:ind w:left="447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19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3"/>
                <w:szCs w:val="23"/>
              </w:rPr>
              <w:t>11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8" w:lineRule="auto"/>
            <w:ind w:left="44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矿山地质环境监测工程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11</w:t>
            </w:r>
          </w:hyperlink>
        </w:p>
        <w:p>
          <w:pPr>
            <w:spacing w:line="26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320"/>
            </w:tabs>
            <w:spacing w:before="75" w:line="227" w:lineRule="auto"/>
            <w:ind w:left="23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六章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经费估算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13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71" w:line="225" w:lineRule="auto"/>
        <w:ind w:left="2471"/>
        <w:outlineLvl w:val="0"/>
        <w:rPr>
          <w:rFonts w:ascii="SimSun" w:eastAsia="SimSun" w:hAnsi="SimSun" w:cs="SimSun"/>
          <w:sz w:val="35"/>
          <w:szCs w:val="35"/>
        </w:rPr>
      </w:pPr>
      <w:bookmarkStart w:id="0" w:name="_bookmark1"/>
      <w:bookmarkEnd w:id="0"/>
      <w:r>
        <w:rPr>
          <w:rFonts w:ascii="SimSun" w:eastAsia="SimSun" w:hAnsi="SimSun" w:cs="SimSun"/>
          <w:spacing w:val="9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第一章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矿山基本情</w:t>
      </w:r>
      <w:r>
        <w:rPr>
          <w:rFonts w:ascii="SimSun" w:eastAsia="SimSun" w:hAnsi="SimSun" w:cs="SimSun"/>
          <w:spacing w:val="7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271" w:line="225" w:lineRule="auto"/>
        <w:ind w:left="314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矿</w:t>
      </w:r>
      <w:r>
        <w:rPr>
          <w:rFonts w:ascii="SimSun" w:eastAsia="SimSun" w:hAnsi="SimSun" w:cs="SimSun"/>
          <w:spacing w:val="9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山基本情况表</w:t>
      </w:r>
    </w:p>
    <w:tbl>
      <w:tblPr>
        <w:tblStyle w:val="TableNormal0"/>
        <w:tblW w:w="87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01"/>
        <w:gridCol w:w="1419"/>
        <w:gridCol w:w="2603"/>
        <w:gridCol w:w="1180"/>
        <w:gridCol w:w="688"/>
        <w:gridCol w:w="1333"/>
      </w:tblGrid>
      <w:tr>
        <w:tblPrEx>
          <w:tblW w:w="87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0"/>
        </w:trPr>
        <w:tc>
          <w:tcPr>
            <w:tcW w:w="8724" w:type="dxa"/>
            <w:gridSpan w:val="6"/>
            <w:vAlign w:val="top"/>
          </w:tcPr>
          <w:p>
            <w:pPr>
              <w:spacing w:before="84" w:line="228" w:lineRule="auto"/>
              <w:ind w:left="3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矿山企业基本信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息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1" w:line="228" w:lineRule="auto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223" w:type="dxa"/>
            <w:gridSpan w:val="5"/>
            <w:vAlign w:val="top"/>
          </w:tcPr>
          <w:p>
            <w:pPr>
              <w:spacing w:before="81" w:line="227" w:lineRule="auto"/>
              <w:ind w:left="13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鲁科尔沁旗巴拉奇如德苏木敦达诺尔建筑用砂矿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79" w:line="228" w:lineRule="auto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79" w:line="227" w:lineRule="auto"/>
              <w:ind w:left="3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鲁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科尔沁旗永锋建筑工程有限公司</w:t>
            </w:r>
          </w:p>
        </w:tc>
        <w:tc>
          <w:tcPr>
            <w:tcW w:w="1180" w:type="dxa"/>
            <w:vAlign w:val="top"/>
          </w:tcPr>
          <w:p>
            <w:pPr>
              <w:spacing w:before="79" w:line="227" w:lineRule="auto"/>
              <w:ind w:left="1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0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4" w:type="dxa"/>
          <w:tblInd w:w="2" w:type="dxa"/>
          <w:tblLayout w:type="fixed"/>
        </w:tblPrEx>
        <w:trPr>
          <w:trHeight w:val="375"/>
        </w:trPr>
        <w:tc>
          <w:tcPr>
            <w:tcW w:w="1501" w:type="dxa"/>
            <w:vAlign w:val="top"/>
          </w:tcPr>
          <w:p>
            <w:pPr>
              <w:spacing w:before="79" w:line="228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115" w:line="195" w:lineRule="auto"/>
              <w:ind w:left="7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1504002020097150150537</w:t>
            </w:r>
          </w:p>
        </w:tc>
        <w:tc>
          <w:tcPr>
            <w:tcW w:w="1180" w:type="dxa"/>
            <w:vAlign w:val="top"/>
          </w:tcPr>
          <w:p>
            <w:pPr>
              <w:spacing w:before="79" w:line="228" w:lineRule="auto"/>
              <w:ind w:left="1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021" w:type="dxa"/>
            <w:gridSpan w:val="2"/>
            <w:vAlign w:val="top"/>
          </w:tcPr>
          <w:p>
            <w:pPr>
              <w:spacing w:before="80" w:line="227" w:lineRule="auto"/>
              <w:ind w:left="1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赤峰市自然资源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局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592"/>
        </w:trPr>
        <w:tc>
          <w:tcPr>
            <w:tcW w:w="1501" w:type="dxa"/>
            <w:vAlign w:val="top"/>
          </w:tcPr>
          <w:p>
            <w:pPr>
              <w:spacing w:before="189" w:line="229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52" w:line="274" w:lineRule="exact"/>
              <w:ind w:left="11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4"/>
                <w:sz w:val="20"/>
                <w:szCs w:val="20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position w:val="4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4"/>
                <w:sz w:val="20"/>
                <w:szCs w:val="20"/>
              </w:rPr>
              <w:t>09</w:t>
            </w:r>
            <w:r>
              <w:rPr>
                <w:rFonts w:ascii="Times New Roman" w:eastAsia="Times New Roman" w:hAnsi="Times New Roman" w:cs="Times New Roma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position w:val="4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pacing w:val="1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4"/>
                <w:sz w:val="20"/>
                <w:szCs w:val="20"/>
              </w:rPr>
              <w:t>日</w:t>
            </w:r>
          </w:p>
          <w:p>
            <w:pPr>
              <w:spacing w:line="228" w:lineRule="auto"/>
              <w:ind w:left="1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-2023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  <w:tc>
          <w:tcPr>
            <w:tcW w:w="1180" w:type="dxa"/>
            <w:vAlign w:val="top"/>
          </w:tcPr>
          <w:p>
            <w:pPr>
              <w:spacing w:before="189" w:line="229" w:lineRule="auto"/>
              <w:ind w:left="18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021" w:type="dxa"/>
            <w:gridSpan w:val="2"/>
            <w:vAlign w:val="top"/>
          </w:tcPr>
          <w:p>
            <w:pPr>
              <w:spacing w:before="190" w:line="228" w:lineRule="auto"/>
              <w:ind w:left="1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09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2" w:line="228" w:lineRule="auto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223" w:type="dxa"/>
            <w:gridSpan w:val="5"/>
            <w:vAlign w:val="top"/>
          </w:tcPr>
          <w:p>
            <w:pPr>
              <w:spacing w:before="82" w:line="227" w:lineRule="auto"/>
              <w:ind w:left="17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阿鲁科尔沁旗巴拉奇如德苏木敦达诺尔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村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592"/>
        </w:trPr>
        <w:tc>
          <w:tcPr>
            <w:tcW w:w="1501" w:type="dxa"/>
            <w:vAlign w:val="top"/>
          </w:tcPr>
          <w:p>
            <w:pPr>
              <w:spacing w:before="190" w:line="229" w:lineRule="auto"/>
              <w:ind w:left="2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223" w:type="dxa"/>
            <w:gridSpan w:val="5"/>
            <w:vAlign w:val="top"/>
          </w:tcPr>
          <w:p>
            <w:pPr>
              <w:spacing w:before="54" w:line="228" w:lineRule="auto"/>
              <w:ind w:left="21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东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经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120°13′05″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120°13′23″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；</w:t>
            </w:r>
          </w:p>
          <w:p>
            <w:pPr>
              <w:spacing w:before="23" w:line="229" w:lineRule="auto"/>
              <w:ind w:left="21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北纬：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43°27′20″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~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43°27′39″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。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3" w:line="228" w:lineRule="auto"/>
              <w:ind w:left="3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82" w:line="226" w:lineRule="auto"/>
              <w:ind w:left="138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spacing w:before="83" w:line="228" w:lineRule="auto"/>
              <w:ind w:left="5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1333" w:type="dxa"/>
            <w:vAlign w:val="top"/>
          </w:tcPr>
          <w:p>
            <w:pPr>
              <w:spacing w:before="83" w:line="231" w:lineRule="auto"/>
              <w:ind w:left="4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小型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3" w:line="228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84" w:line="229" w:lineRule="auto"/>
              <w:ind w:left="15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筑用砂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spacing w:before="83" w:line="228" w:lineRule="auto"/>
              <w:ind w:left="5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1333" w:type="dxa"/>
            <w:vAlign w:val="top"/>
          </w:tcPr>
          <w:p>
            <w:pPr>
              <w:spacing w:before="83" w:line="228" w:lineRule="auto"/>
              <w:ind w:left="2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露天开采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2" w:line="228" w:lineRule="auto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51" w:line="274" w:lineRule="exact"/>
              <w:ind w:left="156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0"/>
                <w:szCs w:val="20"/>
              </w:rPr>
              <w:t>1177km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3"/>
                <w:szCs w:val="13"/>
              </w:rPr>
              <w:t>2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spacing w:before="82" w:line="228" w:lineRule="auto"/>
              <w:ind w:left="5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1333" w:type="dxa"/>
            <w:vAlign w:val="top"/>
          </w:tcPr>
          <w:p>
            <w:pPr>
              <w:spacing w:before="82" w:line="228" w:lineRule="auto"/>
              <w:ind w:left="46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停产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3" w:line="228" w:lineRule="auto"/>
              <w:ind w:left="3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83" w:line="228" w:lineRule="auto"/>
              <w:ind w:left="16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020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spacing w:before="83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1333" w:type="dxa"/>
            <w:vAlign w:val="top"/>
          </w:tcPr>
          <w:p>
            <w:pPr>
              <w:spacing w:before="52" w:line="274" w:lineRule="exact"/>
              <w:ind w:left="2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9×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3" w:line="228" w:lineRule="auto"/>
              <w:ind w:left="1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83" w:line="228" w:lineRule="auto"/>
              <w:ind w:left="17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4.2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spacing w:before="83" w:line="225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1333" w:type="dxa"/>
            <w:vAlign w:val="top"/>
          </w:tcPr>
          <w:p>
            <w:pPr>
              <w:spacing w:before="52" w:line="274" w:lineRule="exact"/>
              <w:ind w:left="2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9×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4" w:line="228" w:lineRule="auto"/>
              <w:ind w:left="1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余服务年限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84" w:line="228" w:lineRule="auto"/>
              <w:ind w:left="17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3.2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spacing w:before="83" w:line="228" w:lineRule="auto"/>
              <w:ind w:left="5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1333" w:type="dxa"/>
            <w:vAlign w:val="top"/>
          </w:tcPr>
          <w:p>
            <w:pPr>
              <w:spacing w:before="119" w:line="195" w:lineRule="auto"/>
              <w:ind w:left="1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59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-345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2" w:line="227" w:lineRule="auto"/>
              <w:ind w:left="1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查明资源储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82" w:line="269" w:lineRule="exact"/>
              <w:ind w:left="1620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78129</w:t>
            </w:r>
            <w:r>
              <w:rPr>
                <w:rFonts w:ascii="SimSun" w:eastAsia="SimSun" w:hAnsi="SimSun" w:cs="SimSu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4"/>
                <w:position w:val="10"/>
                <w:sz w:val="10"/>
                <w:szCs w:val="10"/>
              </w:rPr>
              <w:t>3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spacing w:before="82" w:line="227" w:lineRule="auto"/>
              <w:ind w:left="3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余资源储量</w:t>
            </w:r>
          </w:p>
        </w:tc>
        <w:tc>
          <w:tcPr>
            <w:tcW w:w="1333" w:type="dxa"/>
            <w:vAlign w:val="top"/>
          </w:tcPr>
          <w:p>
            <w:pPr>
              <w:spacing w:before="82" w:line="269" w:lineRule="exact"/>
              <w:ind w:left="281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388129</w:t>
            </w:r>
            <w:r>
              <w:rPr>
                <w:rFonts w:ascii="SimSun" w:eastAsia="SimSun" w:hAnsi="SimSun" w:cs="SimSu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3"/>
                <w:position w:val="10"/>
                <w:sz w:val="10"/>
                <w:szCs w:val="10"/>
              </w:rPr>
              <w:t>3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5" w:line="273" w:lineRule="exact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4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4"/>
                <w:sz w:val="20"/>
                <w:szCs w:val="20"/>
              </w:rPr>
              <w:t>区范围</w:t>
            </w:r>
          </w:p>
          <w:p>
            <w:pPr>
              <w:spacing w:line="229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7223" w:type="dxa"/>
            <w:gridSpan w:val="5"/>
            <w:vAlign w:val="top"/>
          </w:tcPr>
          <w:p>
            <w:pPr>
              <w:spacing w:before="82" w:line="229" w:lineRule="auto"/>
              <w:ind w:left="26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83" w:line="228" w:lineRule="auto"/>
              <w:ind w:left="2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拐点编号</w:t>
            </w:r>
          </w:p>
        </w:tc>
        <w:tc>
          <w:tcPr>
            <w:tcW w:w="2603" w:type="dxa"/>
            <w:vAlign w:val="top"/>
          </w:tcPr>
          <w:p>
            <w:pPr>
              <w:spacing w:before="122" w:line="192" w:lineRule="auto"/>
              <w:ind w:left="1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22" w:line="192" w:lineRule="auto"/>
              <w:ind w:left="15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20" w:line="195" w:lineRule="auto"/>
              <w:ind w:left="6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03" w:type="dxa"/>
            <w:vAlign w:val="top"/>
          </w:tcPr>
          <w:p>
            <w:pPr>
              <w:spacing w:before="119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13941.413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19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517795.095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18" w:line="195" w:lineRule="auto"/>
              <w:ind w:left="6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03" w:type="dxa"/>
            <w:vAlign w:val="top"/>
          </w:tcPr>
          <w:p>
            <w:pPr>
              <w:spacing w:before="118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13905.045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18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518007.205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18" w:line="195" w:lineRule="auto"/>
              <w:ind w:left="6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03" w:type="dxa"/>
            <w:vAlign w:val="top"/>
          </w:tcPr>
          <w:p>
            <w:pPr>
              <w:spacing w:before="118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13766.927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19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518055.825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19" w:line="195" w:lineRule="auto"/>
              <w:ind w:left="6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603" w:type="dxa"/>
            <w:vAlign w:val="top"/>
          </w:tcPr>
          <w:p>
            <w:pPr>
              <w:spacing w:before="119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13358.924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19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517756.915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22" w:line="192" w:lineRule="auto"/>
              <w:ind w:left="6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603" w:type="dxa"/>
            <w:vAlign w:val="top"/>
          </w:tcPr>
          <w:p>
            <w:pPr>
              <w:spacing w:before="119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13437.883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19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40517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647.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18" w:line="195" w:lineRule="auto"/>
              <w:ind w:left="6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603" w:type="dxa"/>
            <w:vAlign w:val="top"/>
          </w:tcPr>
          <w:p>
            <w:pPr>
              <w:spacing w:before="118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13572.639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18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517675.555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21" w:line="192" w:lineRule="auto"/>
              <w:ind w:left="6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603" w:type="dxa"/>
            <w:vAlign w:val="top"/>
          </w:tcPr>
          <w:p>
            <w:pPr>
              <w:spacing w:before="119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13558.021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18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517737.535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19" w:line="195" w:lineRule="auto"/>
              <w:ind w:left="6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603" w:type="dxa"/>
            <w:vAlign w:val="top"/>
          </w:tcPr>
          <w:p>
            <w:pPr>
              <w:spacing w:before="119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13678.922</w:t>
            </w:r>
          </w:p>
        </w:tc>
        <w:tc>
          <w:tcPr>
            <w:tcW w:w="3201" w:type="dxa"/>
            <w:gridSpan w:val="3"/>
            <w:vAlign w:val="top"/>
          </w:tcPr>
          <w:p>
            <w:pPr>
              <w:spacing w:before="119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517832.335</w:t>
            </w:r>
          </w:p>
        </w:tc>
      </w:tr>
    </w:tbl>
    <w:p>
      <w:pPr>
        <w:sectPr>
          <w:footerReference w:type="default" r:id="rId6"/>
          <w:pgSz w:w="11906" w:h="16839"/>
          <w:pgMar w:top="1419" w:right="1486" w:bottom="1151" w:left="1690" w:header="0" w:footer="991" w:gutter="0"/>
          <w:pgNumType w:start="6"/>
          <w:cols w:space="708"/>
        </w:sectPr>
      </w:pPr>
    </w:p>
    <w:tbl>
      <w:tblPr>
        <w:tblStyle w:val="TableNormal1"/>
        <w:tblW w:w="87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01"/>
        <w:gridCol w:w="1419"/>
        <w:gridCol w:w="2603"/>
        <w:gridCol w:w="1180"/>
        <w:gridCol w:w="2021"/>
      </w:tblGrid>
      <w:tr>
        <w:tblPrEx>
          <w:tblW w:w="87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76"/>
        </w:trPr>
        <w:tc>
          <w:tcPr>
            <w:tcW w:w="1501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19" w:line="195" w:lineRule="auto"/>
              <w:ind w:left="6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603" w:type="dxa"/>
            <w:vAlign w:val="top"/>
          </w:tcPr>
          <w:p>
            <w:pPr>
              <w:spacing w:before="119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13709.410</w:t>
            </w:r>
          </w:p>
        </w:tc>
        <w:tc>
          <w:tcPr>
            <w:tcW w:w="3201" w:type="dxa"/>
            <w:gridSpan w:val="2"/>
            <w:vAlign w:val="top"/>
          </w:tcPr>
          <w:p>
            <w:pPr>
              <w:spacing w:before="119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517785.735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Align w:val="top"/>
          </w:tcPr>
          <w:p>
            <w:pPr>
              <w:spacing w:before="118" w:line="195" w:lineRule="auto"/>
              <w:ind w:left="6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2603" w:type="dxa"/>
            <w:vAlign w:val="top"/>
          </w:tcPr>
          <w:p>
            <w:pPr>
              <w:spacing w:before="118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13765.614</w:t>
            </w:r>
          </w:p>
        </w:tc>
        <w:tc>
          <w:tcPr>
            <w:tcW w:w="3201" w:type="dxa"/>
            <w:gridSpan w:val="2"/>
            <w:vAlign w:val="top"/>
          </w:tcPr>
          <w:p>
            <w:pPr>
              <w:spacing w:before="118" w:line="195" w:lineRule="auto"/>
              <w:ind w:left="9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517703.235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2" w:line="229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金计提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>
            <w:pPr>
              <w:spacing w:before="83" w:line="228" w:lineRule="auto"/>
              <w:ind w:left="1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021" w:type="dxa"/>
            <w:vAlign w:val="top"/>
          </w:tcPr>
          <w:p>
            <w:pPr>
              <w:spacing w:before="83" w:line="228" w:lineRule="auto"/>
              <w:ind w:left="70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未使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用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8724" w:type="dxa"/>
            <w:gridSpan w:val="5"/>
            <w:vAlign w:val="top"/>
          </w:tcPr>
          <w:p>
            <w:pPr>
              <w:spacing w:before="83" w:line="228" w:lineRule="auto"/>
              <w:ind w:left="35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矿山企业联系方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式</w:t>
            </w:r>
          </w:p>
        </w:tc>
      </w:tr>
      <w:tr>
        <w:tblPrEx>
          <w:tblW w:w="8724" w:type="dxa"/>
          <w:tblInd w:w="2" w:type="dxa"/>
          <w:tblLayout w:type="fixed"/>
        </w:tblPrEx>
        <w:trPr>
          <w:trHeight w:val="375"/>
        </w:trPr>
        <w:tc>
          <w:tcPr>
            <w:tcW w:w="1501" w:type="dxa"/>
            <w:vAlign w:val="top"/>
          </w:tcPr>
          <w:p>
            <w:pPr>
              <w:spacing w:before="83" w:line="231" w:lineRule="auto"/>
              <w:ind w:left="4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>
            <w:pPr>
              <w:spacing w:before="83" w:line="228" w:lineRule="auto"/>
              <w:ind w:left="2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0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4" w:type="dxa"/>
          <w:tblInd w:w="2" w:type="dxa"/>
          <w:tblLayout w:type="fixed"/>
        </w:tblPrEx>
        <w:trPr>
          <w:trHeight w:val="376"/>
        </w:trPr>
        <w:tc>
          <w:tcPr>
            <w:tcW w:w="1501" w:type="dxa"/>
            <w:vAlign w:val="top"/>
          </w:tcPr>
          <w:p>
            <w:pPr>
              <w:spacing w:before="82" w:line="233" w:lineRule="auto"/>
              <w:ind w:left="3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83" w:line="227" w:lineRule="auto"/>
              <w:ind w:left="1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阿鲁科尔沁旗巴拉奇如德苏木敦达诺尔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村</w:t>
            </w:r>
          </w:p>
        </w:tc>
        <w:tc>
          <w:tcPr>
            <w:tcW w:w="1180" w:type="dxa"/>
            <w:vAlign w:val="top"/>
          </w:tcPr>
          <w:p>
            <w:pPr>
              <w:spacing w:before="83" w:line="228" w:lineRule="auto"/>
              <w:ind w:left="4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邮编</w:t>
            </w:r>
          </w:p>
        </w:tc>
        <w:tc>
          <w:tcPr>
            <w:tcW w:w="20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4" w:type="dxa"/>
          <w:tblInd w:w="2" w:type="dxa"/>
          <w:tblLayout w:type="fixed"/>
        </w:tblPrEx>
        <w:trPr>
          <w:trHeight w:val="391"/>
        </w:trPr>
        <w:tc>
          <w:tcPr>
            <w:tcW w:w="1501" w:type="dxa"/>
            <w:vAlign w:val="top"/>
          </w:tcPr>
          <w:p>
            <w:pPr>
              <w:spacing w:before="88" w:line="229" w:lineRule="auto"/>
              <w:ind w:left="3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4022" w:type="dxa"/>
            <w:gridSpan w:val="2"/>
            <w:vAlign w:val="top"/>
          </w:tcPr>
          <w:p>
            <w:pPr>
              <w:spacing w:before="88" w:line="229" w:lineRule="auto"/>
              <w:ind w:left="19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无</w:t>
            </w:r>
          </w:p>
        </w:tc>
        <w:tc>
          <w:tcPr>
            <w:tcW w:w="1180" w:type="dxa"/>
            <w:vAlign w:val="top"/>
          </w:tcPr>
          <w:p>
            <w:pPr>
              <w:spacing w:before="60" w:line="274" w:lineRule="exact"/>
              <w:ind w:left="3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2021" w:type="dxa"/>
            <w:vAlign w:val="top"/>
          </w:tcPr>
          <w:p>
            <w:pPr>
              <w:spacing w:before="88" w:line="229" w:lineRule="auto"/>
              <w:ind w:left="9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无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7"/>
          <w:type w:val="nextPage"/>
          <w:pgSz w:w="11906" w:h="16839"/>
          <w:pgMar w:top="1419" w:right="1486" w:bottom="1151" w:left="1690" w:header="0" w:footer="991" w:gutter="0"/>
          <w:pgNumType w:start="7"/>
          <w:cols w:space="708"/>
          <w:titlePg w:val="0"/>
        </w:sectPr>
      </w:pPr>
    </w:p>
    <w:p>
      <w:pPr>
        <w:spacing w:before="71" w:line="225" w:lineRule="auto"/>
        <w:ind w:left="205"/>
        <w:outlineLvl w:val="0"/>
        <w:rPr>
          <w:rFonts w:ascii="SimSun" w:eastAsia="SimSun" w:hAnsi="SimSun" w:cs="SimSun"/>
          <w:sz w:val="35"/>
          <w:szCs w:val="35"/>
        </w:rPr>
      </w:pPr>
      <w:bookmarkStart w:id="1" w:name="_bookmark2"/>
      <w:bookmarkEnd w:id="1"/>
      <w:r>
        <w:rPr>
          <w:rFonts w:ascii="SimSun" w:eastAsia="SimSun" w:hAnsi="SimSun" w:cs="SimSun"/>
          <w:spacing w:val="1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271" w:line="528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bookmarkStart w:id="2" w:name="_bookmark3"/>
      <w:bookmarkEnd w:id="2"/>
      <w:r>
        <w:rPr>
          <w:rFonts w:ascii="SimSun" w:eastAsia="SimSun" w:hAnsi="SimSun" w:cs="SimSun"/>
          <w:spacing w:val="14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8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、方案编制概况</w:t>
      </w:r>
    </w:p>
    <w:p>
      <w:pPr>
        <w:spacing w:before="81" w:line="375" w:lineRule="auto"/>
        <w:ind w:left="28" w:firstLine="49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</w:t>
      </w:r>
      <w:r>
        <w:rPr>
          <w:rFonts w:ascii="SimSun" w:eastAsia="SimSun" w:hAnsi="SimSun" w:cs="SimSun"/>
          <w:spacing w:val="10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020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月由赤峰冠诚地质勘查有限责任公司及内蒙古赤峰地质矿产勘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查开发有限责任公司编制的《内蒙古自治区阿鲁科尔沁旗巴拉奇如德苏木敦达</w:t>
      </w:r>
      <w:r>
        <w:rPr>
          <w:rFonts w:ascii="SimSun" w:eastAsia="SimSun" w:hAnsi="SimSun" w:cs="SimSun"/>
          <w:spacing w:val="1"/>
          <w:sz w:val="23"/>
          <w:szCs w:val="23"/>
        </w:rPr>
        <w:t>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尔建筑用砂矿开</w:t>
      </w:r>
      <w:r>
        <w:rPr>
          <w:rFonts w:ascii="SimSun" w:eastAsia="SimSun" w:hAnsi="SimSun" w:cs="SimSun"/>
          <w:spacing w:val="3"/>
          <w:sz w:val="23"/>
          <w:szCs w:val="23"/>
        </w:rPr>
        <w:t>发</w:t>
      </w:r>
      <w:r>
        <w:rPr>
          <w:rFonts w:ascii="SimSun" w:eastAsia="SimSun" w:hAnsi="SimSun" w:cs="SimSun"/>
          <w:spacing w:val="2"/>
          <w:sz w:val="23"/>
          <w:szCs w:val="23"/>
        </w:rPr>
        <w:t>与治理综合方案》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2"/>
          <w:sz w:val="23"/>
          <w:szCs w:val="23"/>
        </w:rPr>
        <w:t>(赤自然资综储备字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[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2020</w:t>
      </w:r>
      <w:r>
        <w:rPr>
          <w:rFonts w:ascii="SimSun" w:eastAsia="SimSun" w:hAnsi="SimSun" w:cs="SimSun"/>
          <w:spacing w:val="2"/>
          <w:sz w:val="23"/>
          <w:szCs w:val="23"/>
        </w:rPr>
        <w:t>]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第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003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号)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；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以下简称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(综合方案)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。</w:t>
      </w:r>
    </w:p>
    <w:p>
      <w:pPr>
        <w:spacing w:line="379" w:lineRule="auto"/>
        <w:ind w:left="27" w:right="38" w:firstLine="47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年由阿鲁科尔沁旗永锋建筑工程有限公司编制了《阿鲁科尔沁旗巴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拉奇如</w:t>
      </w:r>
      <w:r>
        <w:rPr>
          <w:rFonts w:ascii="SimSun" w:eastAsia="SimSun" w:hAnsi="SimSun" w:cs="SimSun"/>
          <w:spacing w:val="8"/>
          <w:sz w:val="23"/>
          <w:szCs w:val="23"/>
        </w:rPr>
        <w:t>德</w:t>
      </w:r>
      <w:r>
        <w:rPr>
          <w:rFonts w:ascii="SimSun" w:eastAsia="SimSun" w:hAnsi="SimSun" w:cs="SimSun"/>
          <w:spacing w:val="6"/>
          <w:sz w:val="23"/>
          <w:szCs w:val="23"/>
        </w:rPr>
        <w:t>苏木敦达诺尔建筑用砂矿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年度矿山地质环境治理计划书》；</w:t>
      </w:r>
    </w:p>
    <w:p>
      <w:pPr>
        <w:spacing w:line="419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bookmarkStart w:id="3" w:name="_bookmark4"/>
      <w:bookmarkEnd w:id="3"/>
      <w:r>
        <w:rPr>
          <w:rFonts w:ascii="SimSun" w:eastAsia="SimSun" w:hAnsi="SimSun" w:cs="SimSun"/>
          <w:spacing w:val="12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、治理方案规划的近期治理工程内容</w:t>
      </w:r>
    </w:p>
    <w:p>
      <w:pPr>
        <w:spacing w:before="274" w:line="228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综合方案治理工程内容</w:t>
      </w:r>
    </w:p>
    <w:p>
      <w:pPr>
        <w:spacing w:before="195" w:line="384" w:lineRule="auto"/>
        <w:ind w:left="30" w:right="20" w:firstLine="47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根据《内</w:t>
      </w:r>
      <w:r>
        <w:rPr>
          <w:rFonts w:ascii="SimSun" w:eastAsia="SimSun" w:hAnsi="SimSun" w:cs="SimSun"/>
          <w:spacing w:val="6"/>
          <w:sz w:val="23"/>
          <w:szCs w:val="23"/>
        </w:rPr>
        <w:t>蒙古自治区阿鲁科尔沁旗巴拉奇如德苏木敦达诺尔建筑用砂矿开发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与治理综合方案》近期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-2025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月)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治理工程对象为露天</w:t>
      </w:r>
      <w:r>
        <w:rPr>
          <w:rFonts w:ascii="SimSun" w:eastAsia="SimSun" w:hAnsi="SimSun" w:cs="SimSun"/>
          <w:spacing w:val="2"/>
          <w:sz w:val="23"/>
          <w:szCs w:val="23"/>
        </w:rPr>
        <w:t>采</w:t>
      </w:r>
      <w:r>
        <w:rPr>
          <w:rFonts w:ascii="SimSun" w:eastAsia="SimSun" w:hAnsi="SimSun" w:cs="SimSun"/>
          <w:sz w:val="23"/>
          <w:szCs w:val="23"/>
        </w:rPr>
        <w:t>场、</w:t>
      </w:r>
    </w:p>
    <w:p>
      <w:pPr>
        <w:spacing w:line="227" w:lineRule="auto"/>
        <w:ind w:left="2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拟</w:t>
      </w:r>
      <w:r>
        <w:rPr>
          <w:rFonts w:ascii="SimSun" w:eastAsia="SimSun" w:hAnsi="SimSun" w:cs="SimSun"/>
          <w:spacing w:val="8"/>
          <w:sz w:val="23"/>
          <w:szCs w:val="23"/>
        </w:rPr>
        <w:t>设表土存储场、拟设排渣场。</w:t>
      </w:r>
    </w:p>
    <w:p>
      <w:pPr>
        <w:spacing w:before="110" w:line="229" w:lineRule="auto"/>
        <w:ind w:left="50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各</w:t>
      </w:r>
      <w:r>
        <w:rPr>
          <w:rFonts w:ascii="SimSun" w:eastAsia="SimSun" w:hAnsi="SimSun" w:cs="SimSun"/>
          <w:spacing w:val="8"/>
          <w:sz w:val="23"/>
          <w:szCs w:val="23"/>
        </w:rPr>
        <w:t>单元设计治理工程措施如下：</w:t>
      </w:r>
    </w:p>
    <w:p>
      <w:pPr>
        <w:spacing w:before="268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1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对露天采场最终开采境界外围设立网围栏、警示牌。</w:t>
      </w:r>
    </w:p>
    <w:p>
      <w:pPr>
        <w:spacing w:before="194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2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对拟设表土存储场内堆放表土撒播草籽以保护土壤，防治水土流失。</w:t>
      </w:r>
    </w:p>
    <w:p>
      <w:pPr>
        <w:spacing w:before="198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3</w:t>
      </w:r>
      <w:r>
        <w:rPr>
          <w:rFonts w:ascii="SimSun" w:eastAsia="SimSun" w:hAnsi="SimSun" w:cs="SimSun"/>
          <w:spacing w:val="13"/>
          <w:sz w:val="23"/>
          <w:szCs w:val="23"/>
        </w:rPr>
        <w:t>)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对拟设排渣场覆土播撒草籽，防止水土流失</w:t>
      </w:r>
    </w:p>
    <w:p>
      <w:pPr>
        <w:spacing w:before="194" w:line="225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>4</w:t>
      </w:r>
      <w:r>
        <w:rPr>
          <w:rFonts w:ascii="SimSun" w:eastAsia="SimSun" w:hAnsi="SimSun" w:cs="SimSun"/>
          <w:spacing w:val="11"/>
          <w:sz w:val="23"/>
          <w:szCs w:val="23"/>
        </w:rPr>
        <w:t>)</w:t>
      </w:r>
      <w:r>
        <w:rPr>
          <w:rFonts w:ascii="SimSun" w:eastAsia="SimSun" w:hAnsi="SimSun" w:cs="SimSu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对露天采场西北部拐角回填至圆滑的曲线形状，并垫坡至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25°</w:t>
      </w:r>
      <w:r>
        <w:rPr>
          <w:rFonts w:ascii="SimSun" w:eastAsia="SimSun" w:hAnsi="SimSun" w:cs="SimSun"/>
          <w:spacing w:val="11"/>
          <w:sz w:val="23"/>
          <w:szCs w:val="23"/>
        </w:rPr>
        <w:t>。</w:t>
      </w:r>
    </w:p>
    <w:p>
      <w:pPr>
        <w:spacing w:before="198" w:line="225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>5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对露天采场回填垫坡部分进行覆土、恢复植被。</w:t>
      </w:r>
    </w:p>
    <w:p>
      <w:pPr>
        <w:spacing w:before="199" w:line="225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6</w:t>
      </w:r>
      <w:r>
        <w:rPr>
          <w:rFonts w:ascii="SimSun" w:eastAsia="SimSun" w:hAnsi="SimSun" w:cs="SimSun"/>
          <w:spacing w:val="14"/>
          <w:sz w:val="23"/>
          <w:szCs w:val="23"/>
        </w:rPr>
        <w:t>)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对露天采场西南部夹角回填。</w:t>
      </w:r>
    </w:p>
    <w:p>
      <w:pPr>
        <w:spacing w:before="198" w:line="225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>7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对露天采场回填垫坡部分进行覆土、恢复植被。</w:t>
      </w:r>
    </w:p>
    <w:p>
      <w:pPr>
        <w:spacing w:before="197" w:line="225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8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对拟设排渣场堆放的表层砂清运至露天采场南部用于回填。</w:t>
      </w:r>
    </w:p>
    <w:p>
      <w:pPr>
        <w:spacing w:before="200" w:line="384" w:lineRule="auto"/>
        <w:ind w:left="26" w:right="59" w:firstLine="49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9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对露天采场剩余各拐点回填至圆滑的曲线形状，剩余表层砂从南侧开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始</w:t>
      </w:r>
      <w:r>
        <w:rPr>
          <w:rFonts w:ascii="SimSun" w:eastAsia="SimSun" w:hAnsi="SimSun" w:cs="SimSun"/>
          <w:spacing w:val="7"/>
          <w:sz w:val="23"/>
          <w:szCs w:val="23"/>
        </w:rPr>
        <w:t>向北回填；并垫坡至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25°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before="1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10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拟设表土存储场堆放的表土清运至露天采场、对露天采场覆土</w:t>
      </w:r>
      <w:r>
        <w:rPr>
          <w:rFonts w:ascii="SimSun" w:eastAsia="SimSun" w:hAnsi="SimSun" w:cs="SimSun"/>
          <w:spacing w:val="10"/>
          <w:sz w:val="23"/>
          <w:szCs w:val="23"/>
        </w:rPr>
        <w:t>。</w:t>
      </w:r>
    </w:p>
    <w:p>
      <w:pPr>
        <w:spacing w:before="194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11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对拟设表土存储场、拟设排渣场、拟设矿区道路进行翻耕。</w:t>
      </w:r>
    </w:p>
    <w:p>
      <w:pPr>
        <w:spacing w:before="195" w:line="228" w:lineRule="auto"/>
        <w:ind w:left="517"/>
        <w:rPr>
          <w:rFonts w:ascii="SimSun" w:eastAsia="SimSun" w:hAnsi="SimSun" w:cs="SimSun"/>
          <w:sz w:val="23"/>
          <w:szCs w:val="23"/>
        </w:rPr>
        <w:sectPr>
          <w:footerReference w:type="default" r:id="rId8"/>
          <w:pgSz w:w="11906" w:h="16839"/>
          <w:pgMar w:top="1419" w:right="1763" w:bottom="1151" w:left="1785" w:header="0" w:footer="991" w:gutter="0"/>
          <w:pgNumType w:start="8"/>
          <w:cols w:space="708"/>
        </w:sectPr>
      </w:pPr>
      <w:r>
        <w:rPr>
          <w:rFonts w:ascii="SimSun" w:eastAsia="SimSun" w:hAnsi="SimSun" w:cs="SimSun"/>
          <w:spacing w:val="2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>12</w:t>
      </w:r>
      <w:r>
        <w:rPr>
          <w:rFonts w:ascii="SimSun" w:eastAsia="SimSun" w:hAnsi="SimSun" w:cs="SimSun"/>
          <w:spacing w:val="14"/>
          <w:sz w:val="23"/>
          <w:szCs w:val="23"/>
        </w:rPr>
        <w:t>)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对各场地恢复植被。</w:t>
      </w:r>
    </w:p>
    <w:p>
      <w:pPr>
        <w:spacing w:before="196" w:line="228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>13</w:t>
      </w:r>
      <w:r>
        <w:rPr>
          <w:rFonts w:ascii="SimSun" w:eastAsia="SimSun" w:hAnsi="SimSun" w:cs="SimSun"/>
          <w:spacing w:val="15"/>
          <w:sz w:val="23"/>
          <w:szCs w:val="23"/>
        </w:rPr>
        <w:t>)</w:t>
      </w:r>
      <w:r>
        <w:rPr>
          <w:rFonts w:ascii="SimSun" w:eastAsia="SimSun" w:hAnsi="SimSun" w:cs="SimSun"/>
          <w:spacing w:val="1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</w:rPr>
        <w:t>对植被进行管护</w:t>
      </w:r>
      <w:r>
        <w:rPr>
          <w:rFonts w:ascii="SimSun" w:eastAsia="SimSun" w:hAnsi="SimSun" w:cs="SimSun"/>
          <w:spacing w:val="14"/>
          <w:sz w:val="23"/>
          <w:szCs w:val="23"/>
        </w:rPr>
        <w:t>。</w:t>
      </w:r>
    </w:p>
    <w:p>
      <w:pPr>
        <w:sectPr>
          <w:footerReference w:type="default" r:id="rId9"/>
          <w:type w:val="nextPage"/>
          <w:pgSz w:w="11906" w:h="16839"/>
          <w:pgMar w:top="1419" w:right="1763" w:bottom="1151" w:left="1785" w:header="0" w:footer="991" w:gutter="0"/>
          <w:pgNumType w:start="9"/>
          <w:cols w:space="708"/>
          <w:titlePg w:val="0"/>
        </w:sectPr>
      </w:pPr>
    </w:p>
    <w:p>
      <w:pPr>
        <w:spacing w:before="128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7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>14</w:t>
      </w:r>
      <w:r>
        <w:rPr>
          <w:rFonts w:ascii="SimSun" w:eastAsia="SimSun" w:hAnsi="SimSun" w:cs="SimSun"/>
          <w:spacing w:val="13"/>
          <w:sz w:val="23"/>
          <w:szCs w:val="23"/>
        </w:rPr>
        <w:t>)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对露天采场不稳定边坡进行清除。</w:t>
      </w:r>
    </w:p>
    <w:p>
      <w:pPr>
        <w:spacing w:before="197" w:line="383" w:lineRule="auto"/>
        <w:ind w:left="25" w:right="59" w:firstLine="49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8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5</w:t>
      </w:r>
      <w:r>
        <w:rPr>
          <w:rFonts w:ascii="SimSun" w:eastAsia="SimSun" w:hAnsi="SimSun" w:cs="SimSun"/>
          <w:spacing w:val="9"/>
          <w:sz w:val="23"/>
          <w:szCs w:val="23"/>
        </w:rPr>
        <w:t>)</w:t>
      </w:r>
      <w:r>
        <w:rPr>
          <w:rFonts w:ascii="SimSun" w:eastAsia="SimSun" w:hAnsi="SimSun" w:cs="SimSu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对露天采场及边坡进行地质灾害监测，对矿山地质环境影响范围及土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地</w:t>
      </w:r>
      <w:r>
        <w:rPr>
          <w:rFonts w:ascii="SimSun" w:eastAsia="SimSun" w:hAnsi="SimSun" w:cs="SimSun"/>
          <w:spacing w:val="9"/>
          <w:sz w:val="23"/>
          <w:szCs w:val="23"/>
        </w:rPr>
        <w:t>复垦责任区进行地形地貌景观及土地资源监测。</w:t>
      </w:r>
    </w:p>
    <w:p>
      <w:pPr>
        <w:spacing w:line="228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4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年度治理工程内</w:t>
      </w:r>
      <w:r>
        <w:rPr>
          <w:rFonts w:ascii="SimSun" w:eastAsia="SimSun" w:hAnsi="SimSun" w:cs="SimSun"/>
          <w:spacing w:val="1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容</w:t>
      </w:r>
    </w:p>
    <w:p>
      <w:pPr>
        <w:spacing w:before="195" w:line="228" w:lineRule="auto"/>
        <w:ind w:left="50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根</w:t>
      </w:r>
      <w:r>
        <w:rPr>
          <w:rFonts w:ascii="SimSun" w:eastAsia="SimSun" w:hAnsi="SimSun" w:cs="SimSun"/>
          <w:spacing w:val="7"/>
          <w:sz w:val="23"/>
          <w:szCs w:val="23"/>
        </w:rPr>
        <w:t>据《阿鲁科尔沁旗巴拉奇如德苏木敦达诺尔建筑用砂矿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年度矿山地</w:t>
      </w:r>
    </w:p>
    <w:p>
      <w:pPr>
        <w:spacing w:before="193" w:line="227" w:lineRule="auto"/>
        <w:ind w:left="2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sz w:val="23"/>
          <w:szCs w:val="23"/>
        </w:rPr>
        <w:t>质环</w:t>
      </w:r>
      <w:r>
        <w:rPr>
          <w:rFonts w:ascii="SimSun" w:eastAsia="SimSun" w:hAnsi="SimSun" w:cs="SimSun"/>
          <w:spacing w:val="12"/>
          <w:sz w:val="23"/>
          <w:szCs w:val="23"/>
        </w:rPr>
        <w:t>境</w:t>
      </w:r>
      <w:r>
        <w:rPr>
          <w:rFonts w:ascii="SimSun" w:eastAsia="SimSun" w:hAnsi="SimSun" w:cs="SimSun"/>
          <w:spacing w:val="8"/>
          <w:sz w:val="23"/>
          <w:szCs w:val="23"/>
        </w:rPr>
        <w:t>治理计划书》治理工程对象为露天采场、拟设表土存储场、拟设排渣场。</w:t>
      </w:r>
    </w:p>
    <w:p>
      <w:pPr>
        <w:spacing w:before="113" w:line="227" w:lineRule="auto"/>
        <w:ind w:left="517"/>
        <w:rPr>
          <w:rFonts w:ascii="SimSun" w:eastAsia="SimSun" w:hAnsi="SimSun" w:cs="SimSun"/>
          <w:sz w:val="23"/>
          <w:szCs w:val="23"/>
        </w:rPr>
      </w:pPr>
      <w:bookmarkStart w:id="4" w:name="_bookmark5"/>
      <w:bookmarkEnd w:id="4"/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SimSun" w:eastAsia="SimSun" w:hAnsi="SimSun" w:cs="SimSun"/>
          <w:spacing w:val="17"/>
          <w:sz w:val="23"/>
          <w:szCs w:val="23"/>
        </w:rPr>
        <w:t>1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露天采场：网围栏、警示牌、表土剥离、不稳定边坡清理工程</w:t>
      </w:r>
    </w:p>
    <w:p>
      <w:pPr>
        <w:spacing w:before="183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(</w:t>
      </w:r>
      <w:r>
        <w:rPr>
          <w:rFonts w:ascii="SimSun" w:eastAsia="SimSun" w:hAnsi="SimSun" w:cs="SimSun"/>
          <w:spacing w:val="14"/>
          <w:sz w:val="23"/>
          <w:szCs w:val="23"/>
        </w:rPr>
        <w:t>2)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拟设表土存储场：撒播草籽。</w:t>
      </w:r>
    </w:p>
    <w:p>
      <w:pPr>
        <w:spacing w:before="183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3"/>
          <w:sz w:val="23"/>
          <w:szCs w:val="23"/>
        </w:rPr>
        <w:t>(</w:t>
      </w:r>
      <w:r>
        <w:rPr>
          <w:rFonts w:ascii="SimSun" w:eastAsia="SimSun" w:hAnsi="SimSun" w:cs="SimSun"/>
          <w:spacing w:val="14"/>
          <w:sz w:val="23"/>
          <w:szCs w:val="23"/>
        </w:rPr>
        <w:t>3)</w:t>
      </w:r>
      <w:r>
        <w:rPr>
          <w:rFonts w:ascii="SimSun" w:eastAsia="SimSun" w:hAnsi="SimSun" w:cs="SimSun"/>
          <w:spacing w:val="1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4"/>
          <w:sz w:val="23"/>
          <w:szCs w:val="23"/>
        </w:rPr>
        <w:t>拟设排渣场：播散草籽。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408" w:lineRule="exact"/>
        <w:ind w:left="28"/>
        <w:outlineLvl w:val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5"/>
          <w:position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SimSun" w:eastAsia="SimSun" w:hAnsi="SimSun" w:cs="SimSun"/>
          <w:spacing w:val="10"/>
          <w:position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、矿山地质环境治理方案执行情况</w:t>
      </w:r>
    </w:p>
    <w:p>
      <w:pPr>
        <w:spacing w:before="203"/>
        <w:ind w:left="51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、综合治理方案完成情</w:t>
      </w:r>
      <w:r>
        <w:rPr>
          <w:rFonts w:ascii="SimSun" w:eastAsia="SimSun" w:hAnsi="SimSun" w:cs="SimSun"/>
          <w:spacing w:val="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69" w:line="228" w:lineRule="auto"/>
        <w:ind w:left="50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根</w:t>
      </w:r>
      <w:r>
        <w:rPr>
          <w:rFonts w:ascii="SimSun" w:eastAsia="SimSun" w:hAnsi="SimSun" w:cs="SimSun"/>
          <w:spacing w:val="9"/>
          <w:sz w:val="23"/>
          <w:szCs w:val="23"/>
        </w:rPr>
        <w:t>据现状调查，尚未完成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“</w:t>
      </w:r>
      <w:r>
        <w:rPr>
          <w:rFonts w:ascii="SimSun" w:eastAsia="SimSun" w:hAnsi="SimSun" w:cs="SimSun"/>
          <w:spacing w:val="9"/>
          <w:sz w:val="23"/>
          <w:szCs w:val="23"/>
        </w:rPr>
        <w:t>综合治理方案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”</w:t>
      </w:r>
      <w:r>
        <w:rPr>
          <w:rFonts w:ascii="SimSun" w:eastAsia="SimSun" w:hAnsi="SimSun" w:cs="SimSun"/>
          <w:spacing w:val="9"/>
          <w:sz w:val="23"/>
          <w:szCs w:val="23"/>
        </w:rPr>
        <w:t>首期设计的治理工程内容。</w:t>
      </w:r>
    </w:p>
    <w:p>
      <w:pPr>
        <w:spacing w:before="181" w:line="228" w:lineRule="auto"/>
        <w:ind w:left="502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pacing w:val="4"/>
          <w:sz w:val="23"/>
          <w:szCs w:val="23"/>
        </w:rPr>
        <w:t>2020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年度设计方案完成情况：</w:t>
      </w:r>
    </w:p>
    <w:p>
      <w:pPr>
        <w:spacing w:before="183" w:line="380" w:lineRule="auto"/>
        <w:ind w:left="24" w:right="59" w:firstLine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020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年度治理计划书设计的治理工程及完成的治理工程主要依据《综合方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案》首期设计的治理工程及治理单元。矿山以完成年度治理计划书设计的治理</w:t>
      </w:r>
      <w:r>
        <w:rPr>
          <w:rFonts w:ascii="SimSun" w:eastAsia="SimSun" w:hAnsi="SimSun" w:cs="SimSun"/>
          <w:spacing w:val="5"/>
          <w:sz w:val="23"/>
          <w:szCs w:val="23"/>
        </w:rPr>
        <w:t>工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程</w:t>
      </w:r>
      <w:r>
        <w:rPr>
          <w:rFonts w:ascii="SimSun" w:eastAsia="SimSun" w:hAnsi="SimSun" w:cs="SimSun"/>
          <w:spacing w:val="11"/>
          <w:sz w:val="23"/>
          <w:szCs w:val="23"/>
        </w:rPr>
        <w:t>未</w:t>
      </w:r>
      <w:r>
        <w:rPr>
          <w:rFonts w:ascii="SimSun" w:eastAsia="SimSun" w:hAnsi="SimSun" w:cs="SimSun"/>
          <w:spacing w:val="8"/>
          <w:sz w:val="23"/>
          <w:szCs w:val="23"/>
        </w:rPr>
        <w:t>组织的专家进行的现场核查。</w:t>
      </w:r>
    </w:p>
    <w:p>
      <w:pPr>
        <w:sectPr>
          <w:footerReference w:type="default" r:id="rId10"/>
          <w:pgSz w:w="11906" w:h="16839"/>
          <w:pgMar w:top="1431" w:right="1742" w:bottom="1151" w:left="1785" w:header="0" w:footer="991" w:gutter="0"/>
          <w:pgNumType w:start="10"/>
          <w:cols w:space="708"/>
        </w:sectPr>
      </w:pPr>
    </w:p>
    <w:p>
      <w:pPr>
        <w:spacing w:before="71" w:line="225" w:lineRule="auto"/>
        <w:ind w:left="1832"/>
        <w:outlineLvl w:val="0"/>
        <w:rPr>
          <w:rFonts w:ascii="SimSun" w:eastAsia="SimSun" w:hAnsi="SimSun" w:cs="SimSun"/>
          <w:sz w:val="35"/>
          <w:szCs w:val="35"/>
        </w:rPr>
      </w:pPr>
      <w:bookmarkStart w:id="5" w:name="_bookmark6"/>
      <w:bookmarkEnd w:id="5"/>
      <w:r>
        <w:rPr>
          <w:rFonts w:ascii="SimSun" w:eastAsia="SimSun" w:hAnsi="SimSun" w:cs="SimSun"/>
          <w:spacing w:val="13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271" w:line="528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bookmarkStart w:id="6" w:name="_bookmark7"/>
      <w:bookmarkEnd w:id="6"/>
      <w:r>
        <w:rPr>
          <w:rFonts w:ascii="SimSun" w:eastAsia="SimSun" w:hAnsi="SimSun" w:cs="SimSun"/>
          <w:spacing w:val="10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一、本年度的主要生产指标计</w:t>
      </w:r>
      <w:r>
        <w:rPr>
          <w:rFonts w:ascii="SimSun" w:eastAsia="SimSun" w:hAnsi="SimSun" w:cs="SimSun"/>
          <w:spacing w:val="7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划</w:t>
      </w:r>
    </w:p>
    <w:p>
      <w:pPr>
        <w:spacing w:before="81" w:line="384" w:lineRule="auto"/>
        <w:ind w:left="27" w:right="16" w:firstLine="47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矿山本年</w:t>
      </w:r>
      <w:r>
        <w:rPr>
          <w:rFonts w:ascii="SimSun" w:eastAsia="SimSun" w:hAnsi="SimSun" w:cs="SimSun"/>
          <w:spacing w:val="7"/>
          <w:sz w:val="23"/>
          <w:szCs w:val="23"/>
        </w:rPr>
        <w:t>度</w:t>
      </w:r>
      <w:r>
        <w:rPr>
          <w:rFonts w:ascii="SimSun" w:eastAsia="SimSun" w:hAnsi="SimSun" w:cs="SimSun"/>
          <w:spacing w:val="6"/>
          <w:sz w:val="23"/>
          <w:szCs w:val="23"/>
        </w:rPr>
        <w:t>不计划进行采矿，故本年度不对该矿山做年度采矿计划及其他单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元</w:t>
      </w:r>
      <w:r>
        <w:rPr>
          <w:rFonts w:ascii="SimSun" w:eastAsia="SimSun" w:hAnsi="SimSun" w:cs="SimSun"/>
          <w:spacing w:val="4"/>
          <w:sz w:val="23"/>
          <w:szCs w:val="23"/>
        </w:rPr>
        <w:t>建设。</w:t>
      </w:r>
    </w:p>
    <w:p>
      <w:pPr>
        <w:sectPr>
          <w:footerReference w:type="default" r:id="rId11"/>
          <w:pgSz w:w="11906" w:h="16839"/>
          <w:pgMar w:top="1419" w:right="1785" w:bottom="1151" w:left="1785" w:header="0" w:footer="991" w:gutter="0"/>
          <w:pgNumType w:start="11"/>
          <w:cols w:space="708"/>
        </w:sectPr>
      </w:pPr>
    </w:p>
    <w:p>
      <w:pPr>
        <w:spacing w:before="71" w:line="225" w:lineRule="auto"/>
        <w:ind w:left="2012"/>
        <w:outlineLvl w:val="0"/>
        <w:rPr>
          <w:rFonts w:ascii="SimSun" w:eastAsia="SimSun" w:hAnsi="SimSun" w:cs="SimSun"/>
          <w:sz w:val="35"/>
          <w:szCs w:val="35"/>
        </w:rPr>
      </w:pPr>
      <w:bookmarkStart w:id="7" w:name="_bookmark8"/>
      <w:bookmarkEnd w:id="7"/>
      <w:r>
        <w:rPr>
          <w:rFonts w:ascii="SimSun" w:eastAsia="SimSun" w:hAnsi="SimSun" w:cs="SimSun"/>
          <w:spacing w:val="12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矿山地质环境问题</w:t>
      </w:r>
    </w:p>
    <w:p>
      <w:pPr>
        <w:spacing w:before="271" w:line="528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bookmarkStart w:id="8" w:name="_bookmark9"/>
      <w:bookmarkEnd w:id="8"/>
      <w:r>
        <w:rPr>
          <w:rFonts w:ascii="SimSun" w:eastAsia="SimSun" w:hAnsi="SimSun" w:cs="SimSun"/>
          <w:spacing w:val="17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9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、矿山地质环境问题现状</w:t>
      </w:r>
    </w:p>
    <w:p>
      <w:pPr>
        <w:spacing w:before="80" w:line="375" w:lineRule="auto"/>
        <w:ind w:left="27" w:firstLine="47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"/>
          <w:sz w:val="23"/>
          <w:szCs w:val="23"/>
        </w:rPr>
        <w:t>矿山已</w:t>
      </w:r>
      <w:r>
        <w:rPr>
          <w:rFonts w:ascii="SimSun" w:eastAsia="SimSun" w:hAnsi="SimSun" w:cs="SimSun"/>
          <w:spacing w:val="-1"/>
          <w:sz w:val="23"/>
          <w:szCs w:val="23"/>
        </w:rPr>
        <w:t>形成的破坏单元有：露天采场、料堆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、料堆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、办公室和矿区道路。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现对各破坏单元矿山地质环境现状，从矿山地质灾害现状、含水层破坏现状、</w:t>
      </w:r>
      <w:r>
        <w:rPr>
          <w:rFonts w:ascii="SimSun" w:eastAsia="SimSun" w:hAnsi="SimSun" w:cs="SimSun"/>
          <w:spacing w:val="2"/>
          <w:sz w:val="23"/>
          <w:szCs w:val="23"/>
        </w:rPr>
        <w:t>地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形地貌景观影响现状及土地资源影响现状四个方面进行叙述，详见矿区航卫片</w:t>
      </w:r>
      <w:r>
        <w:rPr>
          <w:rFonts w:ascii="SimSun" w:eastAsia="SimSun" w:hAnsi="SimSun" w:cs="SimSun"/>
          <w:spacing w:val="2"/>
          <w:sz w:val="23"/>
          <w:szCs w:val="23"/>
        </w:rPr>
        <w:t>影</w:t>
      </w:r>
    </w:p>
    <w:p>
      <w:pPr>
        <w:spacing w:line="228" w:lineRule="auto"/>
        <w:ind w:left="2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3"/>
          <w:sz w:val="23"/>
          <w:szCs w:val="23"/>
        </w:rPr>
        <w:t>像</w:t>
      </w:r>
      <w:r>
        <w:rPr>
          <w:rFonts w:ascii="SimSun" w:eastAsia="SimSun" w:hAnsi="SimSun" w:cs="SimSun"/>
          <w:spacing w:val="-11"/>
          <w:sz w:val="23"/>
          <w:szCs w:val="23"/>
        </w:rPr>
        <w:t>图</w:t>
      </w:r>
      <w:r>
        <w:rPr>
          <w:rFonts w:ascii="SimSun" w:eastAsia="SimSun" w:hAnsi="SimSun" w:cs="SimSu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1</w:t>
      </w:r>
      <w:r>
        <w:rPr>
          <w:rFonts w:ascii="SimSun" w:eastAsia="SimSun" w:hAnsi="SimSun" w:cs="SimSun"/>
          <w:spacing w:val="-11"/>
          <w:sz w:val="23"/>
          <w:szCs w:val="23"/>
        </w:rPr>
        <w:t>。</w:t>
      </w:r>
    </w:p>
    <w:p>
      <w:pPr>
        <w:spacing w:before="146" w:line="6516" w:lineRule="exact"/>
        <w:ind w:firstLine="16"/>
        <w:textAlignment w:val="center"/>
      </w:pPr>
      <w:r>
        <w:drawing>
          <wp:inline distT="0" distB="0" distL="0" distR="0">
            <wp:extent cx="5263895" cy="4137659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3895" cy="4137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8" w:line="229" w:lineRule="auto"/>
        <w:ind w:left="280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2"/>
          <w:sz w:val="23"/>
          <w:szCs w:val="23"/>
        </w:rPr>
        <w:t>图</w:t>
      </w:r>
      <w:r>
        <w:rPr>
          <w:rFonts w:ascii="SimHei" w:eastAsia="SimHei" w:hAnsi="SimHei" w:cs="SimHei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   </w:t>
      </w:r>
      <w:r>
        <w:rPr>
          <w:rFonts w:ascii="SimHei" w:eastAsia="SimHei" w:hAnsi="SimHei" w:cs="SimHei"/>
          <w:spacing w:val="-1"/>
          <w:sz w:val="23"/>
          <w:szCs w:val="23"/>
        </w:rPr>
        <w:t>矿区航卫片影像图</w:t>
      </w:r>
    </w:p>
    <w:p>
      <w:pPr>
        <w:spacing w:before="183" w:line="227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</w:rPr>
        <w:t>(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一)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露天采场</w:t>
      </w:r>
    </w:p>
    <w:p>
      <w:pPr>
        <w:spacing w:before="182"/>
        <w:ind w:left="52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、地质灾害现状</w:t>
      </w:r>
    </w:p>
    <w:p>
      <w:pPr>
        <w:spacing w:before="167" w:line="379" w:lineRule="auto"/>
        <w:ind w:left="25" w:right="81" w:firstLine="48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露天采场现</w:t>
      </w:r>
      <w:r>
        <w:rPr>
          <w:rFonts w:ascii="SimSun" w:eastAsia="SimSun" w:hAnsi="SimSun" w:cs="SimSun"/>
          <w:spacing w:val="5"/>
          <w:sz w:val="23"/>
          <w:szCs w:val="23"/>
        </w:rPr>
        <w:t>状</w:t>
      </w:r>
      <w:r>
        <w:rPr>
          <w:rFonts w:ascii="SimSun" w:eastAsia="SimSun" w:hAnsi="SimSun" w:cs="SimSun"/>
          <w:spacing w:val="3"/>
          <w:sz w:val="23"/>
          <w:szCs w:val="23"/>
        </w:rPr>
        <w:t>开采标高为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354-345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，底部开采水平为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345</w:t>
      </w:r>
      <w:r>
        <w:rPr>
          <w:rFonts w:ascii="Times New Roman" w:eastAsia="Times New Roman" w:hAnsi="Times New Roman" w:cs="Times New Roman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水平；采场边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坡角约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70°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，采场长</w:t>
      </w:r>
      <w:r>
        <w:rPr>
          <w:rFonts w:ascii="SimSun" w:eastAsia="SimSun" w:hAnsi="SimSun" w:cs="SimSun"/>
          <w:sz w:val="23"/>
          <w:szCs w:val="23"/>
        </w:rPr>
        <w:t>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250m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，宽约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70m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，矿山采用露天开采。现状调查边坡较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稳定，无崩塌、滑坡等地质灾害发生，露天采场现状地质灾害不发育。露天采</w:t>
      </w:r>
      <w:r>
        <w:rPr>
          <w:rFonts w:ascii="SimSun" w:eastAsia="SimSun" w:hAnsi="SimSun" w:cs="SimSun"/>
          <w:spacing w:val="4"/>
          <w:sz w:val="23"/>
          <w:szCs w:val="23"/>
        </w:rPr>
        <w:t>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见照片</w:t>
      </w:r>
      <w:r>
        <w:rPr>
          <w:rFonts w:ascii="SimSun" w:eastAsia="SimSun" w:hAnsi="SimSun" w:cs="SimSu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4-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1</w:t>
      </w:r>
      <w:r>
        <w:rPr>
          <w:rFonts w:ascii="SimSun" w:eastAsia="SimSun" w:hAnsi="SimSun" w:cs="SimSun"/>
          <w:spacing w:val="-8"/>
          <w:sz w:val="23"/>
          <w:szCs w:val="23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https://d.book118.com/507106131165006024</w:t>
        </w:r>
      </w:hyperlink>
    </w:p>
    <w:p/>
    <w:sectPr>
      <w:footerReference w:type="default" r:id="rId14"/>
      <w:pgSz w:w="11906" w:h="16839"/>
      <w:pgMar w:top="1419" w:right="1720" w:bottom="1149" w:left="1785" w:header="0" w:footer="991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3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3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3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2"/>
        <w:sz w:val="17"/>
        <w:szCs w:val="1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4131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jpeg" /><Relationship Id="rId13" Type="http://schemas.openxmlformats.org/officeDocument/2006/relationships/hyperlink" Target="https://d.book118.com/507106131165006024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2023-04-01T13:00:12Z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2023-06-04T10:18:05Z</vt:filetime>
  </property>
  <property fmtid="{D5CDD505-2E9C-101B-9397-08002B2CF9AE}" pid="3" name="CRO">
    <vt:lpwstr>wqlLaW5nc29mdCBQREYgdG8gV1BTIDgw</vt:lpwstr>
  </property>
</Properties>
</file>