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>
      <w:pPr>
        <w:pStyle w:val="Heading2"/>
      </w:pPr>
      <w:bookmarkStart w:id="0" w:name="_Toc20987_WPSOffice_Level1"/>
      <w:r>
        <w:rPr>
          <w:rFonts w:hint="eastAsia"/>
        </w:rPr>
        <w:t>附表2：                现场检查汇总表</w:t>
      </w:r>
      <w:bookmarkEnd w:id="0"/>
    </w:p>
    <w:tbl>
      <w:tblPr>
        <w:tblStyle w:val="TableNormal"/>
        <w:tblW w:w="896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2"/>
        <w:gridCol w:w="1185"/>
        <w:gridCol w:w="3272"/>
        <w:gridCol w:w="1647"/>
        <w:gridCol w:w="2034"/>
      </w:tblGrid>
      <w:tr>
        <w:tblPrEx>
          <w:tblW w:w="8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类别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项目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检查内容</w:t>
            </w:r>
          </w:p>
        </w:tc>
        <w:tc>
          <w:tcPr>
            <w:tcW w:w="164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满分值</w:t>
            </w:r>
          </w:p>
        </w:tc>
        <w:tc>
          <w:tcPr>
            <w:tcW w:w="203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实得分</w:t>
            </w:r>
          </w:p>
        </w:tc>
      </w:tr>
      <w:tr>
        <w:tblPrEx>
          <w:tblW w:w="8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/>
        </w:trPr>
        <w:tc>
          <w:tcPr>
            <w:tcW w:w="822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项目部建设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办公环境</w:t>
            </w:r>
          </w:p>
        </w:tc>
        <w:tc>
          <w:tcPr>
            <w:tcW w:w="3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自觉保持环境卫生，办公室内物品整洁有序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W w:w="8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/>
        </w:trPr>
        <w:tc>
          <w:tcPr>
            <w:tcW w:w="822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办公设施</w:t>
            </w:r>
          </w:p>
        </w:tc>
        <w:tc>
          <w:tcPr>
            <w:tcW w:w="3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项目部企业标识、上墙资料齐全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W w:w="8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/>
        </w:trPr>
        <w:tc>
          <w:tcPr>
            <w:tcW w:w="822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3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妥善使用办公或检测设备，档案资料规范整齐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W w:w="8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/>
        </w:trPr>
        <w:tc>
          <w:tcPr>
            <w:tcW w:w="822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学习</w:t>
            </w:r>
          </w:p>
        </w:tc>
        <w:tc>
          <w:tcPr>
            <w:tcW w:w="3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每周不少于一次，有学习计划和学习记录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W w:w="8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/>
        </w:trPr>
        <w:tc>
          <w:tcPr>
            <w:tcW w:w="822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工作成果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监理资料</w:t>
            </w:r>
          </w:p>
        </w:tc>
        <w:tc>
          <w:tcPr>
            <w:tcW w:w="3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按公司规定整理、归档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W w:w="8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/>
        </w:trPr>
        <w:tc>
          <w:tcPr>
            <w:tcW w:w="822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实体质量</w:t>
            </w:r>
          </w:p>
        </w:tc>
        <w:tc>
          <w:tcPr>
            <w:tcW w:w="3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实体质量控制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W w:w="8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/>
        </w:trPr>
        <w:tc>
          <w:tcPr>
            <w:tcW w:w="822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安全文明施工</w:t>
            </w:r>
          </w:p>
        </w:tc>
        <w:tc>
          <w:tcPr>
            <w:tcW w:w="3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现场安全文明施工状况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W w:w="8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/>
        </w:trPr>
        <w:tc>
          <w:tcPr>
            <w:tcW w:w="5279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>
      <w:pPr>
        <w:pStyle w:val="Heading2"/>
      </w:pPr>
      <w:bookmarkStart w:id="1" w:name="_Toc32089_WPSOffice_Level1"/>
      <w:r>
        <w:rPr>
          <w:rFonts w:hint="eastAsia"/>
        </w:rPr>
        <w:t>附表3：                    个人工作</w:t>
      </w:r>
    </w:p>
    <w:tbl>
      <w:tblPr>
        <w:tblStyle w:val="TableNormal"/>
        <w:tblW w:w="878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0"/>
        <w:gridCol w:w="892"/>
        <w:gridCol w:w="3172"/>
        <w:gridCol w:w="1180"/>
        <w:gridCol w:w="1180"/>
        <w:gridCol w:w="1180"/>
      </w:tblGrid>
      <w:tr>
        <w:tblPrEx>
          <w:tblW w:w="8784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/>
        </w:trPr>
        <w:tc>
          <w:tcPr>
            <w:tcW w:w="207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317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姓名：</w:t>
            </w:r>
          </w:p>
        </w:tc>
      </w:tr>
      <w:tr>
        <w:tblPrEx>
          <w:tblW w:w="8784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/>
        </w:trPr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考核项目</w:t>
            </w:r>
          </w:p>
        </w:tc>
        <w:tc>
          <w:tcPr>
            <w:tcW w:w="4064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考核内容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应得分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实得分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W w:w="8784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/>
        </w:trPr>
        <w:tc>
          <w:tcPr>
            <w:tcW w:w="1180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工作状态</w:t>
            </w:r>
          </w:p>
        </w:tc>
        <w:tc>
          <w:tcPr>
            <w:tcW w:w="8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工作纪律</w:t>
            </w:r>
          </w:p>
        </w:tc>
        <w:tc>
          <w:tcPr>
            <w:tcW w:w="3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午间严禁饮酒，因公事喝酒后不得上岗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W w:w="8784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/>
        </w:trPr>
        <w:tc>
          <w:tcPr>
            <w:tcW w:w="118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3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上班时间禁止在办公室玩游戏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W w:w="8784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/>
        </w:trPr>
        <w:tc>
          <w:tcPr>
            <w:tcW w:w="118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3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严格作息制度，不得擅离岗位处理私事。严禁考勤作弊。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W w:w="8784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/>
        </w:trPr>
        <w:tc>
          <w:tcPr>
            <w:tcW w:w="118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着装</w:t>
            </w:r>
          </w:p>
        </w:tc>
        <w:tc>
          <w:tcPr>
            <w:tcW w:w="3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工作场所穿戴整齐、穿工作服、挂牌上岗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W w:w="8784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/>
        </w:trPr>
        <w:tc>
          <w:tcPr>
            <w:tcW w:w="118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3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工作场所不穿短裤、拖鞋；进入工地佩戴安全帽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W w:w="8784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/>
        </w:trPr>
        <w:tc>
          <w:tcPr>
            <w:tcW w:w="11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工作成果</w:t>
            </w:r>
          </w:p>
        </w:tc>
        <w:tc>
          <w:tcPr>
            <w:tcW w:w="4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监理日志/日记编写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>
      <w:pPr>
        <w:sectPr>
          <w:headerReference w:type="default" r:id="rId5"/>
          <w:footerReference w:type="default" r:id="rId6"/>
          <w:pgSz w:w="11906" w:h="16838"/>
          <w:pgMar w:top="1134" w:right="1134" w:bottom="1134" w:left="1417" w:header="851" w:footer="992" w:gutter="0"/>
          <w:pgNumType w:start="1"/>
          <w:cols w:num="1" w:space="720"/>
          <w:docGrid w:type="lines" w:linePitch="312" w:charSpace="0"/>
        </w:sectPr>
      </w:pPr>
    </w:p>
    <w:tbl>
      <w:tblPr>
        <w:tblStyle w:val="TableNormal"/>
        <w:tblW w:w="878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0"/>
        <w:gridCol w:w="4064"/>
        <w:gridCol w:w="1180"/>
        <w:gridCol w:w="1180"/>
        <w:gridCol w:w="1180"/>
      </w:tblGrid>
      <w:tr>
        <w:tblPrEx>
          <w:tblW w:w="8784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/>
        </w:trPr>
        <w:tc>
          <w:tcPr>
            <w:tcW w:w="11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其他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W w:w="8784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/>
        </w:trPr>
        <w:tc>
          <w:tcPr>
            <w:tcW w:w="5244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W w:w="8784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5"/>
        </w:trPr>
        <w:tc>
          <w:tcPr>
            <w:tcW w:w="8784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Style w:val="font11"/>
                <w:rFonts w:hint="default"/>
              </w:rPr>
              <w:t>注</w:t>
            </w:r>
            <w:r>
              <w:rPr>
                <w:rStyle w:val="font01"/>
                <w:rFonts w:hint="default"/>
              </w:rPr>
              <w:t>：“工作成果”以监理人员平日工作中编制、审核、签署、记录的相关文件及书面资料质量情况，作为考核主要依据。近期以监理日记/日志编写作为检查切入点，发现其他工作明显不负责任或有失误的，同样扣分。每发现一次扣2—5分，最多扣30分(个人工作按100分计）。</w:t>
            </w:r>
          </w:p>
        </w:tc>
      </w:tr>
      <w:bookmarkEnd w:id="1"/>
    </w:tbl>
    <w:p>
      <w:pPr>
        <w:ind w:firstLine="180" w:firstLineChars="75"/>
        <w:rPr>
          <w:sz w:val="24"/>
        </w:rPr>
      </w:pPr>
    </w:p>
    <w:p>
      <w:pPr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附表5：                    安全检查表</w:t>
      </w:r>
    </w:p>
    <w:tbl>
      <w:tblPr>
        <w:tblStyle w:val="TableNormal"/>
        <w:tblW w:w="996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3"/>
        <w:gridCol w:w="1206"/>
        <w:gridCol w:w="2383"/>
        <w:gridCol w:w="482"/>
        <w:gridCol w:w="924"/>
        <w:gridCol w:w="924"/>
        <w:gridCol w:w="927"/>
        <w:gridCol w:w="2511"/>
      </w:tblGrid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/>
        </w:trPr>
        <w:tc>
          <w:tcPr>
            <w:tcW w:w="419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8"/>
              </w:rPr>
              <w:t>项目名称：</w:t>
            </w:r>
          </w:p>
        </w:tc>
        <w:tc>
          <w:tcPr>
            <w:tcW w:w="5768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日期：</w:t>
            </w: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/>
        </w:trPr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20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检查项目</w:t>
            </w:r>
          </w:p>
        </w:tc>
        <w:tc>
          <w:tcPr>
            <w:tcW w:w="2865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检查内容</w:t>
            </w:r>
          </w:p>
        </w:tc>
        <w:tc>
          <w:tcPr>
            <w:tcW w:w="92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分值</w:t>
            </w:r>
          </w:p>
        </w:tc>
        <w:tc>
          <w:tcPr>
            <w:tcW w:w="92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应得分</w:t>
            </w:r>
          </w:p>
        </w:tc>
        <w:tc>
          <w:tcPr>
            <w:tcW w:w="92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实得分</w:t>
            </w:r>
          </w:p>
        </w:tc>
        <w:tc>
          <w:tcPr>
            <w:tcW w:w="251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存在问题项及扣分情况</w:t>
            </w: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/>
        </w:trPr>
        <w:tc>
          <w:tcPr>
            <w:tcW w:w="60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现场围档</w:t>
            </w:r>
          </w:p>
        </w:tc>
        <w:tc>
          <w:tcPr>
            <w:tcW w:w="2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①、围挡高度：市区主要路段高于2.5m；一般路段高于1.8m 。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/>
        </w:trPr>
        <w:tc>
          <w:tcPr>
            <w:tcW w:w="60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②、是否设置工地大门，是否有企业名称和标识及门卫制度；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/>
        </w:trPr>
        <w:tc>
          <w:tcPr>
            <w:tcW w:w="60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施工现场办公区生活区</w:t>
            </w:r>
          </w:p>
        </w:tc>
        <w:tc>
          <w:tcPr>
            <w:tcW w:w="2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①、主要道路和材料加工区是否硬化；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/>
        </w:trPr>
        <w:tc>
          <w:tcPr>
            <w:tcW w:w="60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Style w:val="font81"/>
                <w:rFonts w:ascii="宋体" w:eastAsia="宋体" w:hAnsi="宋体" w:cs="宋体" w:hint="default"/>
              </w:rPr>
              <w:t>②、</w:t>
            </w:r>
            <w:r>
              <w:rPr>
                <w:rStyle w:val="font181"/>
                <w:rFonts w:ascii="宋体" w:eastAsia="宋体" w:hAnsi="宋体" w:cs="宋体" w:hint="default"/>
              </w:rPr>
              <w:t>未设置吸烟处，现场存在随意吸烟情况；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/>
        </w:trPr>
        <w:tc>
          <w:tcPr>
            <w:tcW w:w="60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③、施工区、办公区、生活区划分明确，有隔离措施；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/>
        </w:trPr>
        <w:tc>
          <w:tcPr>
            <w:tcW w:w="60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Style w:val="font81"/>
                <w:rFonts w:ascii="宋体" w:eastAsia="宋体" w:hAnsi="宋体" w:cs="宋体" w:hint="default"/>
              </w:rPr>
              <w:t>④、</w:t>
            </w:r>
            <w:r>
              <w:rPr>
                <w:rStyle w:val="font181"/>
                <w:rFonts w:ascii="宋体" w:eastAsia="宋体" w:hAnsi="宋体" w:cs="宋体" w:hint="default"/>
              </w:rPr>
              <w:t>施工现场是否设置消防水源，灭火器材保证有效；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/>
        </w:trPr>
        <w:tc>
          <w:tcPr>
            <w:tcW w:w="60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材料堆放</w:t>
            </w:r>
          </w:p>
        </w:tc>
        <w:tc>
          <w:tcPr>
            <w:tcW w:w="2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Style w:val="font81"/>
                <w:rFonts w:ascii="宋体" w:eastAsia="宋体" w:hAnsi="宋体" w:cs="宋体" w:hint="default"/>
              </w:rPr>
              <w:t>①、施工材料无标识牌、</w:t>
            </w:r>
            <w:r>
              <w:rPr>
                <w:rStyle w:val="font181"/>
                <w:rFonts w:ascii="宋体" w:eastAsia="宋体" w:hAnsi="宋体" w:cs="宋体" w:hint="default"/>
              </w:rPr>
              <w:t>堆放过高、混乱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/>
        </w:trPr>
        <w:tc>
          <w:tcPr>
            <w:tcW w:w="60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②、楼层内未做到工完场地清、建筑物内垃圾随意抛洒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/>
        </w:trPr>
        <w:tc>
          <w:tcPr>
            <w:tcW w:w="60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Style w:val="font81"/>
                <w:rFonts w:ascii="宋体" w:eastAsia="宋体" w:hAnsi="宋体" w:cs="宋体" w:hint="default"/>
              </w:rPr>
              <w:t>③、</w:t>
            </w:r>
            <w:r>
              <w:rPr>
                <w:rStyle w:val="font181"/>
                <w:rFonts w:ascii="宋体" w:eastAsia="宋体" w:hAnsi="宋体" w:cs="宋体" w:hint="default"/>
              </w:rPr>
              <w:t>易燃、易爆危险品是否分类存放，不得在现场随意摆放；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/>
        </w:trPr>
        <w:tc>
          <w:tcPr>
            <w:tcW w:w="6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施工现场标牌</w:t>
            </w:r>
          </w:p>
        </w:tc>
        <w:tc>
          <w:tcPr>
            <w:tcW w:w="2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①、七牌两图内容不全；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</w:tbl>
    <w:p>
      <w:pPr>
        <w:sectPr>
          <w:headerReference w:type="default" r:id="rId7"/>
          <w:footerReference w:type="default" r:id="rId8"/>
          <w:type w:val="nextPage"/>
          <w:pgSz w:w="11906" w:h="16838"/>
          <w:pgMar w:top="1134" w:right="1134" w:bottom="1134" w:left="1417" w:header="851" w:footer="992" w:gutter="0"/>
          <w:pgNumType w:start="2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996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3"/>
        <w:gridCol w:w="1206"/>
        <w:gridCol w:w="2865"/>
        <w:gridCol w:w="924"/>
        <w:gridCol w:w="924"/>
        <w:gridCol w:w="927"/>
        <w:gridCol w:w="2511"/>
      </w:tblGrid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/>
        </w:trPr>
        <w:tc>
          <w:tcPr>
            <w:tcW w:w="60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②、现场未设重大危险源公示牌；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/>
        </w:trPr>
        <w:tc>
          <w:tcPr>
            <w:tcW w:w="60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Style w:val="font81"/>
                <w:rFonts w:ascii="宋体" w:eastAsia="宋体" w:hAnsi="宋体" w:cs="宋体" w:hint="default"/>
              </w:rPr>
              <w:t>③、</w:t>
            </w:r>
            <w:r>
              <w:rPr>
                <w:rStyle w:val="font181"/>
                <w:rFonts w:ascii="宋体" w:eastAsia="宋体" w:hAnsi="宋体" w:cs="宋体" w:hint="default"/>
              </w:rPr>
              <w:t>无安全警示标志或不全;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/>
        </w:trPr>
        <w:tc>
          <w:tcPr>
            <w:tcW w:w="60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接地与接零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保护</w:t>
            </w: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①、工作接地与重复接地不符合要求;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/>
        </w:trPr>
        <w:tc>
          <w:tcPr>
            <w:tcW w:w="60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Style w:val="font81"/>
                <w:rFonts w:ascii="宋体" w:eastAsia="宋体" w:hAnsi="宋体" w:cs="宋体" w:hint="default"/>
              </w:rPr>
              <w:t>②、</w:t>
            </w:r>
            <w:r>
              <w:rPr>
                <w:rStyle w:val="font181"/>
                <w:rFonts w:ascii="宋体" w:eastAsia="宋体" w:hAnsi="宋体" w:cs="宋体" w:hint="default"/>
              </w:rPr>
              <w:t>未采用</w:t>
            </w:r>
            <w:r>
              <w:rPr>
                <w:rStyle w:val="font171"/>
                <w:rFonts w:ascii="宋体" w:eastAsia="宋体" w:hAnsi="宋体" w:cs="宋体" w:hint="eastAsia"/>
              </w:rPr>
              <w:t>TN—S</w:t>
            </w:r>
            <w:r>
              <w:rPr>
                <w:rStyle w:val="font181"/>
                <w:rFonts w:ascii="宋体" w:eastAsia="宋体" w:hAnsi="宋体" w:cs="宋体" w:hint="default"/>
              </w:rPr>
              <w:t>系统;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/>
        </w:trPr>
        <w:tc>
          <w:tcPr>
            <w:tcW w:w="60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③、专用保护零线设置不符合要求;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/>
        </w:trPr>
        <w:tc>
          <w:tcPr>
            <w:tcW w:w="60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④、保护零线与工作零线混接;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/>
        </w:trPr>
        <w:tc>
          <w:tcPr>
            <w:tcW w:w="60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配电箱开关箱</w:t>
            </w: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Style w:val="font81"/>
                <w:rFonts w:ascii="宋体" w:eastAsia="宋体" w:hAnsi="宋体" w:cs="宋体" w:hint="default"/>
              </w:rPr>
              <w:t>①、</w:t>
            </w:r>
            <w:r>
              <w:rPr>
                <w:rStyle w:val="font181"/>
                <w:rFonts w:ascii="宋体" w:eastAsia="宋体" w:hAnsi="宋体" w:cs="宋体" w:hint="default"/>
              </w:rPr>
              <w:t>不符合</w:t>
            </w:r>
            <w:r>
              <w:rPr>
                <w:rStyle w:val="font171"/>
                <w:rFonts w:ascii="宋体" w:eastAsia="宋体" w:hAnsi="宋体" w:cs="宋体" w:hint="eastAsia"/>
              </w:rPr>
              <w:t>“</w:t>
            </w:r>
            <w:r>
              <w:rPr>
                <w:rStyle w:val="font181"/>
                <w:rFonts w:ascii="宋体" w:eastAsia="宋体" w:hAnsi="宋体" w:cs="宋体" w:hint="default"/>
              </w:rPr>
              <w:t>三级配</w:t>
            </w:r>
            <w:bookmarkStart w:id="2" w:name="_Toc2284_WPSOffice_Level1"/>
            <w:r>
              <w:rPr>
                <w:rStyle w:val="font181"/>
                <w:rFonts w:ascii="宋体" w:eastAsia="宋体" w:hAnsi="宋体" w:cs="宋体" w:hint="default"/>
              </w:rPr>
              <w:t>电，两级保护</w:t>
            </w:r>
            <w:r>
              <w:rPr>
                <w:rStyle w:val="font171"/>
                <w:rFonts w:ascii="宋体" w:eastAsia="宋体" w:hAnsi="宋体" w:cs="宋体" w:hint="eastAsia"/>
              </w:rPr>
              <w:t>“</w:t>
            </w:r>
            <w:r>
              <w:rPr>
                <w:rStyle w:val="font181"/>
                <w:rFonts w:ascii="宋体" w:eastAsia="宋体" w:hAnsi="宋体" w:cs="宋体" w:hint="default"/>
              </w:rPr>
              <w:t>要求;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/>
        </w:trPr>
        <w:tc>
          <w:tcPr>
            <w:tcW w:w="60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Style w:val="font81"/>
                <w:rFonts w:ascii="宋体" w:eastAsia="宋体" w:hAnsi="宋体" w:cs="宋体" w:hint="default"/>
              </w:rPr>
              <w:t>②、</w:t>
            </w:r>
            <w:r>
              <w:rPr>
                <w:rStyle w:val="font181"/>
                <w:rFonts w:ascii="宋体" w:eastAsia="宋体" w:hAnsi="宋体" w:cs="宋体" w:hint="default"/>
              </w:rPr>
              <w:t>总箱、开关箱无漏电保护</w:t>
            </w:r>
            <w:bookmarkEnd w:id="2"/>
            <w:r>
              <w:rPr>
                <w:rStyle w:val="font181"/>
                <w:rFonts w:ascii="宋体" w:eastAsia="宋体" w:hAnsi="宋体" w:cs="宋体" w:hint="default"/>
              </w:rPr>
              <w:t>器或保护器失灵;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/>
        </w:trPr>
        <w:tc>
          <w:tcPr>
            <w:tcW w:w="60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Style w:val="font81"/>
                <w:rFonts w:ascii="宋体" w:eastAsia="宋体" w:hAnsi="宋体" w:cs="宋体" w:hint="default"/>
              </w:rPr>
              <w:t>③、</w:t>
            </w:r>
            <w:r>
              <w:rPr>
                <w:rStyle w:val="font181"/>
                <w:rFonts w:ascii="宋体" w:eastAsia="宋体" w:hAnsi="宋体" w:cs="宋体" w:hint="default"/>
              </w:rPr>
              <w:t>违反</w:t>
            </w:r>
            <w:r>
              <w:rPr>
                <w:rStyle w:val="font171"/>
                <w:rFonts w:ascii="宋体" w:eastAsia="宋体" w:hAnsi="宋体" w:cs="宋体" w:hint="eastAsia"/>
              </w:rPr>
              <w:t>“</w:t>
            </w:r>
            <w:r>
              <w:rPr>
                <w:rStyle w:val="font181"/>
                <w:rFonts w:ascii="宋体" w:eastAsia="宋体" w:hAnsi="宋体" w:cs="宋体" w:hint="default"/>
              </w:rPr>
              <w:t>一机、一闸、一漏、一箱</w:t>
            </w:r>
            <w:r>
              <w:rPr>
                <w:rStyle w:val="font171"/>
                <w:rFonts w:ascii="宋体" w:eastAsia="宋体" w:hAnsi="宋体" w:cs="宋体" w:hint="eastAsia"/>
              </w:rPr>
              <w:t>“</w:t>
            </w:r>
            <w:r>
              <w:rPr>
                <w:rStyle w:val="font181"/>
                <w:rFonts w:ascii="宋体" w:eastAsia="宋体" w:hAnsi="宋体" w:cs="宋体" w:hint="default"/>
              </w:rPr>
              <w:t>规定;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/>
        </w:trPr>
        <w:tc>
          <w:tcPr>
            <w:tcW w:w="60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④、安装位置不当，周围杂物多等不便操作;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/>
        </w:trPr>
        <w:tc>
          <w:tcPr>
            <w:tcW w:w="60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⑤、闸具损坏、闸具不符合要求;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/>
        </w:trPr>
        <w:tc>
          <w:tcPr>
            <w:tcW w:w="60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⑥、电闸箱无棚、无门、无锁、无防雨措施的;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/>
        </w:trPr>
        <w:tc>
          <w:tcPr>
            <w:tcW w:w="60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现场照明</w:t>
            </w: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Style w:val="font81"/>
                <w:rFonts w:ascii="宋体" w:eastAsia="宋体" w:hAnsi="宋体" w:cs="宋体" w:hint="default"/>
              </w:rPr>
              <w:t>①、</w:t>
            </w:r>
            <w:r>
              <w:rPr>
                <w:rStyle w:val="font181"/>
                <w:rFonts w:ascii="宋体" w:eastAsia="宋体" w:hAnsi="宋体" w:cs="宋体" w:hint="default"/>
              </w:rPr>
              <w:t>照明用电与动力用电混用</w:t>
            </w:r>
            <w:r>
              <w:rPr>
                <w:rStyle w:val="font81"/>
                <w:rFonts w:ascii="宋体" w:eastAsia="宋体" w:hAnsi="宋体" w:cs="宋体" w:hint="default"/>
              </w:rPr>
              <w:t>；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/>
        </w:trPr>
        <w:tc>
          <w:tcPr>
            <w:tcW w:w="60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②、特殊场所未使用36V及以下安全电压；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/>
        </w:trPr>
        <w:tc>
          <w:tcPr>
            <w:tcW w:w="60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③、灯具与地面或易燃物小于安全距离；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/>
        </w:trPr>
        <w:tc>
          <w:tcPr>
            <w:tcW w:w="60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配电线路</w:t>
            </w: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Style w:val="font81"/>
                <w:rFonts w:ascii="宋体" w:eastAsia="宋体" w:hAnsi="宋体" w:cs="宋体" w:hint="default"/>
              </w:rPr>
              <w:t>①、</w:t>
            </w:r>
            <w:r>
              <w:rPr>
                <w:rStyle w:val="font181"/>
                <w:rFonts w:ascii="宋体" w:eastAsia="宋体" w:hAnsi="宋体" w:cs="宋体" w:hint="default"/>
              </w:rPr>
              <w:t>线路及接头不能保证机械强度和绝缘强度的；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/>
        </w:trPr>
        <w:tc>
          <w:tcPr>
            <w:tcW w:w="60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Style w:val="font81"/>
                <w:rFonts w:ascii="宋体" w:eastAsia="宋体" w:hAnsi="宋体" w:cs="宋体" w:hint="default"/>
              </w:rPr>
              <w:t>②、</w:t>
            </w:r>
            <w:r>
              <w:rPr>
                <w:rStyle w:val="font181"/>
                <w:rFonts w:ascii="宋体" w:eastAsia="宋体" w:hAnsi="宋体" w:cs="宋体" w:hint="default"/>
              </w:rPr>
              <w:t>线路未设短路、过载保护的;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/>
        </w:trPr>
        <w:tc>
          <w:tcPr>
            <w:tcW w:w="60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③、电线老化、破皮未包扎的；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/>
        </w:trPr>
        <w:tc>
          <w:tcPr>
            <w:tcW w:w="60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④、电缆架设或埋设不符合要求;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/>
        </w:trPr>
        <w:tc>
          <w:tcPr>
            <w:tcW w:w="6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三宝四口临边防护</w:t>
            </w: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Style w:val="font81"/>
                <w:rFonts w:ascii="宋体" w:eastAsia="宋体" w:hAnsi="宋体" w:cs="宋体" w:hint="default"/>
              </w:rPr>
              <w:t>①、</w:t>
            </w:r>
            <w:r>
              <w:rPr>
                <w:rStyle w:val="font181"/>
                <w:rFonts w:ascii="宋体" w:eastAsia="宋体" w:hAnsi="宋体" w:cs="宋体" w:hint="default"/>
              </w:rPr>
              <w:t>工人是否按要求佩戴好安全带、安全帽；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</w:tbl>
    <w:p>
      <w:pPr>
        <w:sectPr>
          <w:headerReference w:type="default" r:id="rId9"/>
          <w:footerReference w:type="default" r:id="rId10"/>
          <w:type w:val="nextPage"/>
          <w:pgSz w:w="11906" w:h="16838"/>
          <w:pgMar w:top="1134" w:right="1134" w:bottom="1134" w:left="1417" w:header="851" w:footer="992" w:gutter="0"/>
          <w:pgNumType w:start="3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996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3"/>
        <w:gridCol w:w="1206"/>
        <w:gridCol w:w="2865"/>
        <w:gridCol w:w="924"/>
        <w:gridCol w:w="924"/>
        <w:gridCol w:w="927"/>
        <w:gridCol w:w="2511"/>
      </w:tblGrid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/>
        </w:trPr>
        <w:tc>
          <w:tcPr>
            <w:tcW w:w="60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②、是否按规范要求搭设施工安全通道；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/>
        </w:trPr>
        <w:tc>
          <w:tcPr>
            <w:tcW w:w="60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Style w:val="font81"/>
                <w:rFonts w:ascii="宋体" w:eastAsia="宋体" w:hAnsi="宋体" w:cs="宋体" w:hint="default"/>
              </w:rPr>
              <w:t>③、</w:t>
            </w:r>
            <w:r>
              <w:rPr>
                <w:rStyle w:val="font181"/>
                <w:rFonts w:ascii="宋体" w:eastAsia="宋体" w:hAnsi="宋体" w:cs="宋体" w:hint="default"/>
              </w:rPr>
              <w:t>“四口防护”（ 预留洞口、电梯井口、通道口、楼梯口）是否到位；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/>
        </w:trPr>
        <w:tc>
          <w:tcPr>
            <w:tcW w:w="60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Style w:val="font81"/>
                <w:rFonts w:ascii="宋体" w:eastAsia="宋体" w:hAnsi="宋体" w:cs="宋体" w:hint="default"/>
              </w:rPr>
              <w:t>④、“</w:t>
            </w:r>
            <w:r>
              <w:rPr>
                <w:rStyle w:val="font181"/>
                <w:rFonts w:ascii="宋体" w:eastAsia="宋体" w:hAnsi="宋体" w:cs="宋体" w:hint="default"/>
              </w:rPr>
              <w:t>五临边防护</w:t>
            </w:r>
            <w:r>
              <w:rPr>
                <w:rStyle w:val="font81"/>
                <w:rFonts w:ascii="宋体" w:eastAsia="宋体" w:hAnsi="宋体" w:cs="宋体" w:hint="default"/>
              </w:rPr>
              <w:t>”</w:t>
            </w:r>
            <w:r>
              <w:rPr>
                <w:rStyle w:val="font181"/>
                <w:rFonts w:ascii="宋体" w:eastAsia="宋体" w:hAnsi="宋体" w:cs="宋体" w:hint="default"/>
              </w:rPr>
              <w:t>（ 楼层临边、屋面临边、阳台临边、升降口临边、基坑临边）是否到位；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/>
        </w:trPr>
        <w:tc>
          <w:tcPr>
            <w:tcW w:w="60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Style w:val="font81"/>
                <w:rFonts w:ascii="宋体" w:eastAsia="宋体" w:hAnsi="宋体" w:cs="宋体" w:hint="default"/>
              </w:rPr>
              <w:t>⑤、</w:t>
            </w:r>
            <w:r>
              <w:rPr>
                <w:rStyle w:val="font181"/>
                <w:rFonts w:ascii="宋体" w:eastAsia="宋体" w:hAnsi="宋体" w:cs="宋体" w:hint="default"/>
              </w:rPr>
              <w:t>电梯井道内每隔2层且不大于10m挂设安全平网是否到位；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/>
        </w:trPr>
        <w:tc>
          <w:tcPr>
            <w:tcW w:w="60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模板工程</w:t>
            </w: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Style w:val="font81"/>
                <w:rFonts w:ascii="宋体" w:eastAsia="宋体" w:hAnsi="宋体" w:cs="宋体" w:hint="default"/>
              </w:rPr>
              <w:t>①、</w:t>
            </w:r>
            <w:r>
              <w:rPr>
                <w:rStyle w:val="font181"/>
                <w:rFonts w:ascii="宋体" w:eastAsia="宋体" w:hAnsi="宋体" w:cs="宋体" w:hint="default"/>
              </w:rPr>
              <w:t>模板施工方案是否经过审批，并按方案落实；需经专家论证的高大支模方案是否已通过审查;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/>
        </w:trPr>
        <w:tc>
          <w:tcPr>
            <w:tcW w:w="60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②、模板支架是否设置扫地杆;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/>
        </w:trPr>
        <w:tc>
          <w:tcPr>
            <w:tcW w:w="60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③、是否设置两道横杆;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/>
        </w:trPr>
        <w:tc>
          <w:tcPr>
            <w:tcW w:w="60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④、是否存在上下顶撑;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/>
        </w:trPr>
        <w:tc>
          <w:tcPr>
            <w:tcW w:w="60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⑤、立杆是否设置垫板；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/>
        </w:trPr>
        <w:tc>
          <w:tcPr>
            <w:tcW w:w="60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脚手架</w:t>
            </w: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Style w:val="font81"/>
                <w:rFonts w:ascii="宋体" w:eastAsia="宋体" w:hAnsi="宋体" w:cs="宋体" w:hint="default"/>
              </w:rPr>
              <w:t>①、</w:t>
            </w:r>
            <w:r>
              <w:rPr>
                <w:rStyle w:val="font181"/>
                <w:rFonts w:ascii="宋体" w:eastAsia="宋体" w:hAnsi="宋体" w:cs="宋体" w:hint="default"/>
              </w:rPr>
              <w:t>专项施工方案是否经企业技术负责人和总监审批，并按方案落实；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/>
        </w:trPr>
        <w:tc>
          <w:tcPr>
            <w:tcW w:w="60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②、基础平实，是否按规定设垫板、底座、扫地杆，排水设施是否有效;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/>
        </w:trPr>
        <w:tc>
          <w:tcPr>
            <w:tcW w:w="60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Style w:val="font81"/>
                <w:rFonts w:ascii="宋体" w:eastAsia="宋体" w:hAnsi="宋体" w:cs="宋体" w:hint="default"/>
              </w:rPr>
              <w:t>③、</w:t>
            </w:r>
            <w:r>
              <w:rPr>
                <w:rStyle w:val="font181"/>
                <w:rFonts w:ascii="宋体" w:eastAsia="宋体" w:hAnsi="宋体" w:cs="宋体" w:hint="default"/>
              </w:rPr>
              <w:t>立杆、水平杆、剪刀撑的搭设是否符合要求;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/>
        </w:trPr>
        <w:tc>
          <w:tcPr>
            <w:tcW w:w="60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Style w:val="font81"/>
                <w:rFonts w:ascii="宋体" w:eastAsia="宋体" w:hAnsi="宋体" w:cs="宋体" w:hint="default"/>
              </w:rPr>
              <w:t>④、</w:t>
            </w:r>
            <w:r>
              <w:rPr>
                <w:rStyle w:val="font181"/>
                <w:rFonts w:ascii="宋体" w:eastAsia="宋体" w:hAnsi="宋体" w:cs="宋体" w:hint="default"/>
              </w:rPr>
              <w:t>现场架体搭设是否跟上施工进度;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/>
        </w:trPr>
        <w:tc>
          <w:tcPr>
            <w:tcW w:w="60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Style w:val="font81"/>
                <w:rFonts w:ascii="宋体" w:eastAsia="宋体" w:hAnsi="宋体" w:cs="宋体" w:hint="default"/>
              </w:rPr>
              <w:t>⑤、</w:t>
            </w:r>
            <w:r>
              <w:rPr>
                <w:rStyle w:val="font181"/>
                <w:rFonts w:ascii="宋体" w:eastAsia="宋体" w:hAnsi="宋体" w:cs="宋体" w:hint="default"/>
              </w:rPr>
              <w:t>连墙件数量满足规范要求、是否刚性;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/>
        </w:trPr>
        <w:tc>
          <w:tcPr>
            <w:tcW w:w="60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⑥、首层和作业层脚手板是否满铺;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/>
        </w:trPr>
        <w:tc>
          <w:tcPr>
            <w:tcW w:w="60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⑦、平网的设置和立网的封闭是否及时、严密;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/>
        </w:trPr>
        <w:tc>
          <w:tcPr>
            <w:tcW w:w="60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Style w:val="font81"/>
                <w:rFonts w:ascii="宋体" w:eastAsia="宋体" w:hAnsi="宋体" w:cs="宋体" w:hint="default"/>
              </w:rPr>
              <w:t>⑧、</w:t>
            </w:r>
            <w:r>
              <w:rPr>
                <w:rStyle w:val="font181"/>
                <w:rFonts w:ascii="宋体" w:eastAsia="宋体" w:hAnsi="宋体" w:cs="宋体" w:hint="default"/>
              </w:rPr>
              <w:t>悬挑式脚手架槽钢和斜拉钢丝绳设置是否符合规范要求；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</w:tbl>
    <w:p>
      <w:pPr>
        <w:sectPr>
          <w:headerReference w:type="default" r:id="rId11"/>
          <w:footerReference w:type="default" r:id="rId12"/>
          <w:type w:val="nextPage"/>
          <w:pgSz w:w="11906" w:h="16838"/>
          <w:pgMar w:top="1134" w:right="1134" w:bottom="1134" w:left="1417" w:header="851" w:footer="992" w:gutter="0"/>
          <w:pgNumType w:start="4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996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3"/>
        <w:gridCol w:w="1206"/>
        <w:gridCol w:w="2865"/>
        <w:gridCol w:w="924"/>
        <w:gridCol w:w="924"/>
        <w:gridCol w:w="927"/>
        <w:gridCol w:w="2511"/>
      </w:tblGrid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/>
        </w:trPr>
        <w:tc>
          <w:tcPr>
            <w:tcW w:w="60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⑨、卸料平台是否符合要求；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/>
        </w:trPr>
        <w:tc>
          <w:tcPr>
            <w:tcW w:w="60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起重机械</w:t>
            </w: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Style w:val="font81"/>
                <w:rFonts w:ascii="宋体" w:eastAsia="宋体" w:hAnsi="宋体" w:cs="宋体" w:hint="default"/>
              </w:rPr>
              <w:t>①、</w:t>
            </w:r>
            <w:r>
              <w:rPr>
                <w:rStyle w:val="font181"/>
                <w:rFonts w:ascii="宋体" w:eastAsia="宋体" w:hAnsi="宋体" w:cs="宋体" w:hint="default"/>
              </w:rPr>
              <w:t>起重机械设备安、拆施工方案是否经施工企业技术负责人和总监审批，并按方案落实</w:t>
            </w:r>
            <w:r>
              <w:rPr>
                <w:rStyle w:val="font81"/>
                <w:rFonts w:ascii="宋体" w:eastAsia="宋体" w:hAnsi="宋体" w:cs="宋体" w:hint="default"/>
              </w:rPr>
              <w:t>;</w:t>
            </w:r>
            <w:r>
              <w:rPr>
                <w:rStyle w:val="font181"/>
                <w:rFonts w:ascii="宋体" w:eastAsia="宋体" w:hAnsi="宋体" w:cs="宋体" w:hint="default"/>
              </w:rPr>
              <w:t>；安拆单位是否有相关资质；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/>
        </w:trPr>
        <w:tc>
          <w:tcPr>
            <w:tcW w:w="60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Style w:val="font81"/>
                <w:rFonts w:ascii="宋体" w:eastAsia="宋体" w:hAnsi="宋体" w:cs="宋体" w:hint="default"/>
              </w:rPr>
              <w:t>②、施工升降机进料口是否设置安全防护棚；上料平台是否设置工具化安全门；安全门是否及时关闭；</w:t>
            </w:r>
            <w:r>
              <w:rPr>
                <w:rStyle w:val="font181"/>
                <w:rFonts w:ascii="宋体" w:eastAsia="宋体" w:hAnsi="宋体" w:cs="宋体" w:hint="default"/>
              </w:rPr>
              <w:t>塔吊、升降机是否由持证人员操作。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/>
        </w:trPr>
        <w:tc>
          <w:tcPr>
            <w:tcW w:w="60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Style w:val="font81"/>
                <w:rFonts w:ascii="宋体" w:eastAsia="宋体" w:hAnsi="宋体" w:cs="宋体" w:hint="default"/>
              </w:rPr>
              <w:t>③、</w:t>
            </w:r>
            <w:r>
              <w:rPr>
                <w:rStyle w:val="font181"/>
                <w:rFonts w:ascii="宋体" w:eastAsia="宋体" w:hAnsi="宋体" w:cs="宋体" w:hint="default"/>
              </w:rPr>
              <w:t>塔吊（升降机、施工吊篮）是否取得准用证；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/>
        </w:trPr>
        <w:tc>
          <w:tcPr>
            <w:tcW w:w="60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Style w:val="font81"/>
                <w:rFonts w:ascii="宋体" w:eastAsia="宋体" w:hAnsi="宋体" w:cs="宋体" w:hint="default"/>
              </w:rPr>
              <w:t>④、</w:t>
            </w:r>
            <w:r>
              <w:rPr>
                <w:rStyle w:val="font181"/>
                <w:rFonts w:ascii="宋体" w:eastAsia="宋体" w:hAnsi="宋体" w:cs="宋体" w:hint="default"/>
              </w:rPr>
              <w:t>监理人员是否对起重设备安全运行情况定期进行检查并形成记录；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/>
        </w:trPr>
        <w:tc>
          <w:tcPr>
            <w:tcW w:w="60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安全监理履职情况</w:t>
            </w: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①、监理部是否每周组织安全检查并形成记录；安全检查记录是否与现场存在的安全问题有关联；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/>
        </w:trPr>
        <w:tc>
          <w:tcPr>
            <w:tcW w:w="60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②、安全检查记录中的安全隐患跟踪落实整改情况；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/>
        </w:trPr>
        <w:tc>
          <w:tcPr>
            <w:tcW w:w="60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Style w:val="font81"/>
                <w:rFonts w:ascii="宋体" w:eastAsia="宋体" w:hAnsi="宋体" w:cs="宋体" w:hint="default"/>
              </w:rPr>
              <w:t>③、现场存在的</w:t>
            </w:r>
            <w:r>
              <w:rPr>
                <w:rStyle w:val="font181"/>
                <w:rFonts w:ascii="宋体" w:eastAsia="宋体" w:hAnsi="宋体" w:cs="宋体" w:hint="default"/>
              </w:rPr>
              <w:t>严重安全隐患是否签发监理通知单；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/>
        </w:trPr>
        <w:tc>
          <w:tcPr>
            <w:tcW w:w="60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④、是否有定期审查施工单位安全资料的记录；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/>
        </w:trPr>
        <w:tc>
          <w:tcPr>
            <w:tcW w:w="603" w:type="dxa"/>
            <w:vMerge w:val="restart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扬尘治理情况</w:t>
            </w: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 w:hint="default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eastAsia="zh-CN"/>
              </w:rPr>
              <w:t>施工工地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en-US" w:eastAsia="zh-CN"/>
              </w:rPr>
              <w:t>100%围挡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/>
        </w:trPr>
        <w:tc>
          <w:tcPr>
            <w:tcW w:w="603" w:type="dxa"/>
            <w:vMerge/>
            <w:tcBorders>
              <w:left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散装物料堆放是否100%覆盖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/>
        </w:trPr>
        <w:tc>
          <w:tcPr>
            <w:tcW w:w="603" w:type="dxa"/>
            <w:vMerge/>
            <w:tcBorders>
              <w:left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出入车辆是否100%冲洗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/>
        </w:trPr>
        <w:tc>
          <w:tcPr>
            <w:tcW w:w="603" w:type="dxa"/>
            <w:vMerge/>
            <w:tcBorders>
              <w:left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渣土车辆是否100%封闭运输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/>
        </w:trPr>
        <w:tc>
          <w:tcPr>
            <w:tcW w:w="603" w:type="dxa"/>
            <w:vMerge/>
            <w:tcBorders>
              <w:left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 w:hint="default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  <w:lang w:val="en-US" w:eastAsia="zh-CN"/>
              </w:rPr>
              <w:t>施工场地路面100%硬化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/>
        </w:trPr>
        <w:tc>
          <w:tcPr>
            <w:tcW w:w="603" w:type="dxa"/>
            <w:vMerge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场地是否100%洒水清扫保洁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/>
        </w:trPr>
        <w:tc>
          <w:tcPr>
            <w:tcW w:w="4674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  <w:t>合计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/>
        </w:trPr>
        <w:tc>
          <w:tcPr>
            <w:tcW w:w="5598" w:type="dxa"/>
            <w:gridSpan w:val="4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折算得分</w:t>
            </w:r>
          </w:p>
        </w:tc>
        <w:tc>
          <w:tcPr>
            <w:tcW w:w="4362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>
      <w:pPr>
        <w:sectPr>
          <w:headerReference w:type="default" r:id="rId13"/>
          <w:footerReference w:type="default" r:id="rId14"/>
          <w:type w:val="nextPage"/>
          <w:pgSz w:w="11906" w:h="16838"/>
          <w:pgMar w:top="1134" w:right="1134" w:bottom="1134" w:left="1417" w:header="851" w:footer="992" w:gutter="0"/>
          <w:pgNumType w:start="5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996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98"/>
        <w:gridCol w:w="4362"/>
      </w:tblGrid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/>
        </w:trPr>
        <w:tc>
          <w:tcPr>
            <w:tcW w:w="559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现场安全状况整体评价：</w:t>
            </w:r>
          </w:p>
        </w:tc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/>
        </w:trPr>
        <w:tc>
          <w:tcPr>
            <w:tcW w:w="99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Style w:val="font21"/>
                <w:rFonts w:ascii="宋体" w:eastAsia="宋体" w:hAnsi="宋体" w:cs="宋体" w:hint="default"/>
              </w:rPr>
              <w:t>说明：</w:t>
            </w:r>
            <w:r>
              <w:rPr>
                <w:rStyle w:val="font161"/>
                <w:rFonts w:ascii="宋体" w:eastAsia="宋体" w:hAnsi="宋体" w:cs="宋体" w:hint="eastAsia"/>
              </w:rPr>
              <w:t>1</w:t>
            </w:r>
            <w:r>
              <w:rPr>
                <w:rStyle w:val="font21"/>
                <w:rFonts w:ascii="宋体" w:eastAsia="宋体" w:hAnsi="宋体" w:cs="宋体" w:hint="default"/>
              </w:rPr>
              <w:t>、本表格中黑体字项目属于</w:t>
            </w:r>
            <w:r>
              <w:rPr>
                <w:rStyle w:val="font191"/>
                <w:rFonts w:ascii="宋体" w:eastAsia="宋体" w:hAnsi="宋体" w:cs="宋体" w:hint="default"/>
              </w:rPr>
              <w:t>严重安全隐患</w:t>
            </w:r>
            <w:r>
              <w:rPr>
                <w:rStyle w:val="font21"/>
                <w:rFonts w:ascii="宋体" w:eastAsia="宋体" w:hAnsi="宋体" w:cs="宋体" w:hint="default"/>
              </w:rPr>
              <w:t>，应立即签发监理通知单或工程暂停令督促整改；</w:t>
            </w: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</w:trPr>
        <w:tc>
          <w:tcPr>
            <w:tcW w:w="99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200" w:firstLineChars="100"/>
              <w:jc w:val="lef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2、本表满分为100分，分数低于70分的应停工整改；</w:t>
            </w: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</w:trPr>
        <w:tc>
          <w:tcPr>
            <w:tcW w:w="99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3、整改完后，项目监理部应以书面形式回复巡检组复查；整改时限：黑体字项不超过5d，其它不超过7d。</w:t>
            </w:r>
          </w:p>
        </w:tc>
      </w:tr>
      <w:tr>
        <w:tblPrEx>
          <w:tblW w:w="996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</w:trPr>
        <w:tc>
          <w:tcPr>
            <w:tcW w:w="99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检查组安全工程师（签字）：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        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项目专业工程师（签字）：</w:t>
            </w:r>
          </w:p>
        </w:tc>
      </w:tr>
    </w:tbl>
    <w:p>
      <w:pPr>
        <w:pStyle w:val="Heading2"/>
      </w:pPr>
      <w:r>
        <w:rPr>
          <w:rFonts w:hint="eastAsia"/>
        </w:rPr>
        <w:t>附表6 ：               工程质量检查表（安装）</w:t>
      </w:r>
    </w:p>
    <w:tbl>
      <w:tblPr>
        <w:tblStyle w:val="TableNormal"/>
        <w:tblW w:w="1004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8"/>
        <w:gridCol w:w="1267"/>
        <w:gridCol w:w="4033"/>
        <w:gridCol w:w="468"/>
        <w:gridCol w:w="714"/>
        <w:gridCol w:w="738"/>
        <w:gridCol w:w="2222"/>
      </w:tblGrid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"/>
        </w:trPr>
        <w:tc>
          <w:tcPr>
            <w:tcW w:w="7080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29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日期：</w:t>
            </w: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1"/>
                <w:szCs w:val="21"/>
              </w:rPr>
              <w:t>分部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1"/>
                <w:szCs w:val="21"/>
              </w:rPr>
              <w:t>检查项目</w:t>
            </w: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1"/>
                <w:szCs w:val="21"/>
              </w:rPr>
              <w:t>检查内容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1"/>
                <w:szCs w:val="21"/>
              </w:rPr>
              <w:t>分值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1"/>
                <w:szCs w:val="21"/>
              </w:rPr>
              <w:t>应得分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1"/>
                <w:szCs w:val="21"/>
              </w:rPr>
              <w:t>实得分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1"/>
                <w:szCs w:val="21"/>
              </w:rPr>
              <w:t>存在问题及扣分情况</w:t>
            </w: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5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对施工现场及图纸的熟悉情况[三个问题，每题一分]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5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 xml:space="preserve">成品保护是否到位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进场材料及设备是否符合设备及规范要求</w:t>
            </w: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电气材料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给排水材料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暖通材料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1"/>
                <w:szCs w:val="21"/>
              </w:rPr>
              <w:t>建筑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1"/>
                <w:szCs w:val="21"/>
              </w:rPr>
              <w:t>电气</w:t>
            </w:r>
          </w:p>
        </w:tc>
        <w:tc>
          <w:tcPr>
            <w:tcW w:w="1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接地装置安装</w:t>
            </w: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1）接地钢材搭接倍数是否满足规范要求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2）混凝土外的焊接接头是否有防腐措施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3）避雷引下线及等电位是否按设计要求施工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电线导管、电缆导管和线槽敷设</w:t>
            </w: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1）导管及线槽安装是否符合设计及规范要求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2）暗配导管的保护层厚度是否满足规范要求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3）金属、非金属柔性导管敷设长度是否符合规范要求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4）主体阶段墙体剔槽是否符合规范要求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>电线、缆穿管和线槽敷线</w:t>
            </w: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1）电线、电缆敷设是否符合规范要求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2）桥架内电缆是否绑扎牢固并做标识牌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</w:tbl>
    <w:p>
      <w:pPr>
        <w:sectPr>
          <w:headerReference w:type="default" r:id="rId15"/>
          <w:footerReference w:type="default" r:id="rId16"/>
          <w:type w:val="nextPage"/>
          <w:pgSz w:w="11906" w:h="16838"/>
          <w:pgMar w:top="1134" w:right="1134" w:bottom="1134" w:left="1417" w:header="851" w:footer="992" w:gutter="0"/>
          <w:pgNumType w:start="6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1004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8"/>
        <w:gridCol w:w="1267"/>
        <w:gridCol w:w="4033"/>
        <w:gridCol w:w="468"/>
        <w:gridCol w:w="714"/>
        <w:gridCol w:w="738"/>
        <w:gridCol w:w="2222"/>
      </w:tblGrid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/>
        </w:trPr>
        <w:tc>
          <w:tcPr>
            <w:tcW w:w="5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电缆头制作、接线和线路绝缘测试       </w:t>
            </w: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1）多股铜芯线是否搪锡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开关、插座安装       </w:t>
            </w: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1）插座接线是否正确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2）开关、插座安装高度是否正确、美观    </w:t>
            </w:r>
            <w:bookmarkStart w:id="3" w:name="_Toc4538_WPSOffice_Level1"/>
            <w:r>
              <w:rPr>
                <w:rStyle w:val="font61"/>
                <w:rFonts w:hint="default"/>
                <w:sz w:val="21"/>
                <w:szCs w:val="21"/>
              </w:rPr>
              <w:t xml:space="preserve">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配电箱安装</w:t>
            </w: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1）箱内回路是否有标识  </w:t>
            </w:r>
            <w:bookmarkEnd w:id="3"/>
            <w:r>
              <w:rPr>
                <w:rStyle w:val="font61"/>
                <w:rFonts w:hint="default"/>
                <w:sz w:val="21"/>
                <w:szCs w:val="21"/>
              </w:rPr>
              <w:t xml:space="preserve">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2）箱内开关及漏电保护装置动作是否灵活、可靠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3）箱内配线整齐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4）配电箱垂直度是否符合要求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灯具安装       </w:t>
            </w: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>高度小于</w:t>
            </w: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2.4m</w:t>
            </w:r>
            <w:r>
              <w:rPr>
                <w:rStyle w:val="font61"/>
                <w:rFonts w:hint="default"/>
                <w:sz w:val="21"/>
                <w:szCs w:val="21"/>
              </w:rPr>
              <w:t xml:space="preserve">灯具必须接地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接闪器       </w:t>
            </w: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1）屋面避雷引下线数量是否与图纸一致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2）避雷带焊接，避雷支持件固定是否正确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3）屋面金属设备是否接地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5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 xml:space="preserve">设备机房内金属设备外壳是否接地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/>
        </w:trPr>
        <w:tc>
          <w:tcPr>
            <w:tcW w:w="5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1"/>
                <w:szCs w:val="21"/>
              </w:rPr>
              <w:t>通风与空调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风管系统安装</w:t>
            </w: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1）风管及部件安装是否符合规定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>通风与空调设备安装</w:t>
            </w: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1）通风机的安装是否符合要求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2）空调机组的安装是否符合要求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空调管道安装</w:t>
            </w: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1）空调管道及阀门安装是否正确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2）支吊架安装是否正确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5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 xml:space="preserve">保温：风管管道和保温施工是否符合要求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1"/>
                <w:szCs w:val="21"/>
              </w:rPr>
              <w:t>给排水及采暖</w:t>
            </w:r>
          </w:p>
        </w:tc>
        <w:tc>
          <w:tcPr>
            <w:tcW w:w="5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 xml:space="preserve">给排水管道预留洞口、套管是否符合设计要求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>给水管道、管件安装</w:t>
            </w: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1）管道安装是否符合设计和规范要求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2）固定支、吊架是否符合要求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3）阀门安装是否正确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1）管道安装是否符合设计及规范要求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</w:tbl>
    <w:p>
      <w:pPr>
        <w:sectPr>
          <w:headerReference w:type="default" r:id="rId17"/>
          <w:footerReference w:type="default" r:id="rId18"/>
          <w:type w:val="nextPage"/>
          <w:pgSz w:w="11906" w:h="16838"/>
          <w:pgMar w:top="1134" w:right="1134" w:bottom="1134" w:left="1417" w:header="851" w:footer="992" w:gutter="0"/>
          <w:pgNumType w:start="7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1004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8"/>
        <w:gridCol w:w="1267"/>
        <w:gridCol w:w="4033"/>
        <w:gridCol w:w="468"/>
        <w:gridCol w:w="714"/>
        <w:gridCol w:w="738"/>
        <w:gridCol w:w="2222"/>
      </w:tblGrid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  <w:tc>
          <w:tcPr>
            <w:tcW w:w="1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="0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>排水管道、管件安装</w:t>
            </w: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  <w:tc>
          <w:tcPr>
            <w:tcW w:w="22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2）排水坡度是否符合要求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3）固定支、吊架是否符合要求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4）伸缩节的设置是否正确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>5）高层建筑明设塑料排水管是否按要求设置阻火圈或防火套管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给水设备安装</w:t>
            </w: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1）设备基础是否符合设计要求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2）水箱溢流管、泄放管不得与排水管直接连接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3）水泵减震装置安装是否正确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4）设备及管道保温是否正确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消防管道安装</w:t>
            </w: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1）消火栓及喷淋管道、阀门安装是否正确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2）管道支、吊架安装是否正确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3）箱式消火栓安装是否正确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4）喷淋头间距是否符合要求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卫生器具安装</w:t>
            </w: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1）卫生器具安装是否符合设计及规范要求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2）卫生器具给水配件的安装高度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采暖系统安装</w:t>
            </w: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1）采暖管道安装是否符合设计及规范要求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2）阀门及补偿器安装是否符合设计及规范要求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3）采暖管道支、吊架安装是否符合要求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4）散热器固定是否牢固、是否在允许偏差内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5）地暖盘管、埋地部分不应有接头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6）盘管弯曲部分不得出现硬折弯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7）盘管、管径、间距、长度应符合设计要求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8）分、集水器型号、规格及安装位置是否符合设计要求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9）管道保温是否是否符合设计要求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</w:tbl>
    <w:p>
      <w:pPr>
        <w:sectPr>
          <w:headerReference w:type="default" r:id="rId19"/>
          <w:footerReference w:type="default" r:id="rId20"/>
          <w:type w:val="nextPage"/>
          <w:pgSz w:w="11906" w:h="16838"/>
          <w:pgMar w:top="1134" w:right="1134" w:bottom="1134" w:left="1417" w:header="851" w:footer="992" w:gutter="0"/>
          <w:pgNumType w:start="8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1004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8"/>
        <w:gridCol w:w="1267"/>
        <w:gridCol w:w="4033"/>
        <w:gridCol w:w="468"/>
        <w:gridCol w:w="714"/>
        <w:gridCol w:w="738"/>
        <w:gridCol w:w="2222"/>
      </w:tblGrid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>室外管网</w:t>
            </w: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管道标高及坡度是否符合设计要求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管道及阀门安装是否符合设计及规范要求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font61"/>
                <w:rFonts w:hint="default"/>
                <w:sz w:val="21"/>
                <w:szCs w:val="21"/>
              </w:rPr>
              <w:t xml:space="preserve">管道的防腐及保温是否符合设计及规范要求      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合计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100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折算分值</w:t>
            </w:r>
          </w:p>
        </w:tc>
        <w:tc>
          <w:tcPr>
            <w:tcW w:w="41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5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安装质量问题汇总</w:t>
            </w:r>
          </w:p>
        </w:tc>
        <w:tc>
          <w:tcPr>
            <w:tcW w:w="41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W w:w="1004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/>
        </w:trPr>
        <w:tc>
          <w:tcPr>
            <w:tcW w:w="1004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检查组专业工程师（签字）：                项目安装工程师（签字）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：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</w:p>
          <w:p>
            <w:pPr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</w:tbl>
    <w:p>
      <w:pPr>
        <w:pStyle w:val="Heading2"/>
      </w:pPr>
      <w:r>
        <w:rPr>
          <w:rFonts w:hint="eastAsia"/>
        </w:rPr>
        <w:t>附表7：                工程质量检查表（土建）</w:t>
      </w:r>
    </w:p>
    <w:tbl>
      <w:tblPr>
        <w:tblStyle w:val="TableNormal"/>
        <w:tblW w:w="9398" w:type="dxa"/>
        <w:tblInd w:w="0" w:type="dxa"/>
        <w:shd w:val="clear" w:color="auto" w:fill="auto"/>
        <w:tblCellMar>
          <w:top w:w="0" w:type="dxa"/>
          <w:left w:w="0" w:type="dxa"/>
          <w:bottom w:w="0" w:type="dxa"/>
          <w:right w:w="0" w:type="dxa"/>
        </w:tblCellMar>
      </w:tblPr>
      <w:tblGrid>
        <w:gridCol w:w="432"/>
        <w:gridCol w:w="1132"/>
        <w:gridCol w:w="894"/>
        <w:gridCol w:w="4585"/>
        <w:gridCol w:w="432"/>
        <w:gridCol w:w="513"/>
        <w:gridCol w:w="513"/>
        <w:gridCol w:w="897"/>
      </w:tblGrid>
      <w:tr>
        <w:tblPrEx>
          <w:tblW w:w="9398" w:type="dxa"/>
          <w:tblInd w:w="0" w:type="dxa"/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hAnsi="宋体" w:cs="宋体" w:hint="eastAsia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hAnsi="宋体" w:cs="宋体" w:hint="eastAsia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日期：</w:t>
            </w:r>
          </w:p>
        </w:tc>
      </w:tr>
      <w:tr>
        <w:tblPrEx>
          <w:tblW w:w="9398" w:type="dxa"/>
          <w:tblInd w:w="0" w:type="dxa"/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hAnsi="宋体" w:cs="宋体" w:hint="eastAsia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13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hAnsi="宋体" w:cs="宋体" w:hint="eastAsia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分部工程</w:t>
            </w:r>
          </w:p>
        </w:tc>
        <w:tc>
          <w:tcPr>
            <w:tcW w:w="89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hAnsi="宋体" w:cs="宋体" w:hint="eastAsia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分项工程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hAnsi="宋体" w:cs="宋体" w:hint="eastAsia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检查内容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hAnsi="宋体" w:cs="宋体" w:hint="eastAsia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hAnsi="宋体" w:cs="宋体" w:hint="eastAsia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应得分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hAnsi="宋体" w:cs="宋体" w:hint="eastAsia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实得分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hAnsi="宋体" w:cs="宋体" w:hint="eastAsia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存在问题及扣分</w:t>
            </w:r>
          </w:p>
        </w:tc>
      </w:tr>
      <w:tr>
        <w:tblPrEx>
          <w:tblW w:w="9398" w:type="dxa"/>
          <w:tblInd w:w="0" w:type="dxa"/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hAnsi="宋体" w:cs="宋体" w:hint="eastAsia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hAnsi="宋体" w:cs="宋体" w:hint="eastAsia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地基</w:t>
            </w:r>
          </w:p>
        </w:tc>
        <w:tc>
          <w:tcPr>
            <w:tcW w:w="8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hAnsi="宋体" w:cs="宋体" w:hint="eastAsia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土方地基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ascii="宋体" w:hAnsi="宋体" w:cs="宋体" w:hint="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hAnsi="宋体" w:cs="宋体" w:hint="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1基坑支护方案编制及审批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 w:hint="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hAnsi="宋体" w:cs="宋体" w:hint="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W w:w="9398" w:type="dxa"/>
          <w:tblInd w:w="0" w:type="dxa"/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ascii="宋体" w:hAnsi="宋体" w:cs="宋体" w:hint="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hAnsi="宋体" w:cs="宋体" w:hint="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2土方开挖边坡、基底标高、土质符合设计、方案要求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 w:hint="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hAnsi="宋体" w:cs="宋体" w:hint="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W w:w="9398" w:type="dxa"/>
          <w:tblInd w:w="0" w:type="dxa"/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ascii="宋体" w:hAnsi="宋体" w:cs="宋体" w:hint="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hAnsi="宋体" w:cs="宋体" w:hint="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3基底排水降水情况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 w:hint="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hAnsi="宋体" w:cs="宋体" w:hint="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W w:w="9398" w:type="dxa"/>
          <w:tblInd w:w="0" w:type="dxa"/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ascii="宋体" w:hAnsi="宋体" w:cs="宋体" w:hint="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hAnsi="宋体" w:cs="宋体" w:hint="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4桩基础桩位偏差、桩头标高及处理符合规范要求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 w:hint="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hAnsi="宋体" w:cs="宋体" w:hint="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W w:w="9398" w:type="dxa"/>
          <w:tblInd w:w="0" w:type="dxa"/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ascii="宋体" w:hAnsi="宋体" w:cs="宋体" w:hint="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hAnsi="宋体" w:cs="宋体" w:hint="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5土方回填前基层状况、土质及压实度符合规范要求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 w:hint="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hAnsi="宋体" w:cs="宋体" w:hint="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W w:w="9398" w:type="dxa"/>
          <w:tblInd w:w="0" w:type="dxa"/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hAnsi="宋体" w:cs="宋体" w:hint="eastAsia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hAnsi="宋体" w:cs="宋体" w:hint="eastAsia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基础与主体混凝土结构</w:t>
            </w:r>
          </w:p>
        </w:tc>
        <w:tc>
          <w:tcPr>
            <w:tcW w:w="8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hAnsi="宋体" w:cs="宋体" w:hint="eastAsia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ascii="宋体" w:hAnsi="宋体" w:cs="宋体" w:hint="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hAnsi="宋体" w:cs="宋体" w:hint="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1钢筋原材料外观质量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 w:hint="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hAnsi="宋体" w:cs="宋体" w:hint="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W w:w="9398" w:type="dxa"/>
          <w:tblInd w:w="0" w:type="dxa"/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ascii="宋体" w:hAnsi="宋体" w:cs="宋体" w:hint="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hAnsi="宋体" w:cs="宋体" w:hint="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2钢筋加工符合规范要求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 w:hint="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hAnsi="宋体" w:cs="宋体" w:hint="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W w:w="9398" w:type="dxa"/>
          <w:tblInd w:w="0" w:type="dxa"/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ascii="宋体" w:hAnsi="宋体" w:cs="宋体" w:hint="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hAnsi="宋体" w:cs="宋体" w:hint="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3受力钢筋的品种级别、规格、数量符合设计要求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 w:hint="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hAnsi="宋体" w:cs="宋体" w:hint="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W w:w="9398" w:type="dxa"/>
          <w:tblInd w:w="0" w:type="dxa"/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ascii="宋体" w:hAnsi="宋体" w:cs="宋体" w:hint="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hAnsi="宋体" w:cs="宋体" w:hint="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4连接方式符合设计及规范要求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 w:hint="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hAnsi="宋体" w:cs="宋体" w:hint="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W w:w="9398" w:type="dxa"/>
          <w:tblInd w:w="0" w:type="dxa"/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ascii="宋体" w:hAnsi="宋体" w:cs="宋体" w:hint="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hAnsi="宋体" w:cs="宋体" w:hint="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5焊接、机械连接外观质量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 w:hint="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hAnsi="宋体" w:cs="宋体" w:hint="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W w:w="9398" w:type="dxa"/>
          <w:tblInd w:w="0" w:type="dxa"/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ascii="宋体" w:hAnsi="宋体" w:cs="宋体" w:hint="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hAnsi="宋体" w:cs="宋体" w:hint="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6搭接连接长度符合规范及设计要求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 w:hint="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hAnsi="宋体" w:cs="宋体" w:hint="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W w:w="9398" w:type="dxa"/>
          <w:tblInd w:w="0" w:type="dxa"/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ascii="宋体" w:hAnsi="宋体" w:cs="宋体" w:hint="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hAnsi="宋体" w:cs="宋体" w:hint="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7接头位置符合规范要求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 w:hint="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hAnsi="宋体" w:cs="宋体" w:hint="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 w:hint="eastAsia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https://d.book118.com/507151056062006026</w:t>
        </w:r>
      </w:hyperlink>
    </w:p>
    <w:p/>
    <w:sectPr>
      <w:headerReference w:type="default" r:id="rId22"/>
      <w:footerReference w:type="default" r:id="rId23"/>
      <w:type w:val="nextPage"/>
      <w:pgSz w:w="11906" w:h="16838"/>
      <w:pgMar w:top="1134" w:right="1134" w:bottom="1134" w:left="1417" w:header="851" w:footer="992" w:gutter="0"/>
      <w:pgNumType w:start="9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Î¢ÈíÑÅºÚ Western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2049" type="#_x0000_t202" style="width:2in;height:2in;margin-top:0;margin-left:0;mso-height-relative:page;mso-position-horizontal:center;mso-position-horizontal-relative:margin;mso-width-relative:page;mso-wrap-style:none;position:absolute;z-index:251658240" coordsize="21600,21600" filled="f" stroked="f">
          <v:stroke joinstyle="miter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2050" type="#_x0000_t202" style="width:2in;height:2in;margin-top:0;margin-left:0;mso-height-relative:page;mso-position-horizontal:center;mso-position-horizontal-relative:margin;mso-width-relative:page;mso-wrap-style:none;position:absolute;z-index:251659264" coordsize="21600,21600" filled="f" stroked="f">
          <v:stroke joinstyle="miter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2051" type="#_x0000_t202" style="width:2in;height:2in;margin-top:0;margin-left:0;mso-height-relative:page;mso-position-horizontal:center;mso-position-horizontal-relative:margin;mso-width-relative:page;mso-wrap-style:none;position:absolute;z-index:251660288" coordsize="21600,21600" filled="f" stroked="f">
          <v:stroke joinstyle="miter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2052" type="#_x0000_t202" style="width:2in;height:2in;margin-top:0;margin-left:0;mso-height-relative:page;mso-position-horizontal:center;mso-position-horizontal-relative:margin;mso-width-relative:page;mso-wrap-style:none;position:absolute;z-index:251661312" coordsize="21600,21600" filled="f" stroked="f">
          <v:stroke joinstyle="miter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2053" type="#_x0000_t202" style="width:2in;height:2in;margin-top:0;margin-left:0;mso-height-relative:page;mso-position-horizontal:center;mso-position-horizontal-relative:margin;mso-width-relative:page;mso-wrap-style:none;position:absolute;z-index:251662336" coordsize="21600,21600" filled="f" stroked="f">
          <v:stroke joinstyle="miter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5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2054" type="#_x0000_t202" style="width:2in;height:2in;margin-top:0;margin-left:0;mso-height-relative:page;mso-position-horizontal:center;mso-position-horizontal-relative:margin;mso-width-relative:page;mso-wrap-style:none;position:absolute;z-index:251663360" coordsize="21600,21600" filled="f" stroked="f">
          <v:stroke joinstyle="miter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6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2055" type="#_x0000_t202" style="width:2in;height:2in;margin-top:0;margin-left:0;mso-height-relative:page;mso-position-horizontal:center;mso-position-horizontal-relative:margin;mso-width-relative:page;mso-wrap-style:none;position:absolute;z-index:251664384" coordsize="21600,21600" filled="f" stroked="f">
          <v:stroke joinstyle="miter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7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2056" type="#_x0000_t202" style="width:2in;height:2in;margin-top:0;margin-left:0;mso-height-relative:page;mso-position-horizontal:center;mso-position-horizontal-relative:margin;mso-width-relative:page;mso-wrap-style:none;position:absolute;z-index:251665408" coordsize="21600,21600" filled="f" stroked="f">
          <v:stroke joinstyle="miter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9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2057" type="#_x0000_t202" style="width:2in;height:2in;margin-top:0;margin-left:0;mso-height-relative:page;mso-position-horizontal:center;mso-position-horizontal-relative:margin;mso-width-relative:page;mso-wrap-style:none;position:absolute;z-index:251666432" coordsize="21600,21600" filled="f" stroked="f">
          <v:stroke joinstyle="miter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single" w:sz="4" w:space="0" w:color="auto"/>
      </w:pBdr>
    </w:pPr>
    <w:r>
      <w:rPr>
        <w:rFonts w:ascii="宋体" w:hAnsi="宋体" w:hint="eastAsia"/>
      </w:rPr>
      <w:drawing>
        <wp:inline distT="0" distB="0" distL="114300" distR="114300">
          <wp:extent cx="1295400" cy="393700"/>
          <wp:effectExtent l="0" t="0" r="0" b="6350"/>
          <wp:docPr id="2" name="图片 1" descr="QQ截图201709211102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QQ截图20170921110212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95400" cy="393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宋体" w:hAnsi="宋体" w:hint="eastAsia"/>
      </w:rPr>
      <w:t xml:space="preserve">                                           </w:t>
    </w:r>
    <w:r>
      <w:rPr>
        <w:rFonts w:hint="eastAsia"/>
        <w:b/>
        <w:bCs/>
        <w:sz w:val="21"/>
        <w:szCs w:val="21"/>
      </w:rPr>
      <w:t>现场监理人员绩效考核管理制度</w:t>
    </w:r>
    <w:r>
      <w:rPr>
        <w:rFonts w:ascii="宋体" w:hAnsi="宋体" w:hint="eastAsia"/>
        <w:b/>
        <w:bCs/>
        <w:sz w:val="21"/>
        <w:szCs w:val="21"/>
      </w:rPr>
      <w:t xml:space="preserve"> </w:t>
    </w:r>
    <w:r>
      <w:rPr>
        <w:rFonts w:ascii="宋体" w:hAnsi="宋体" w:hint="eastAsia"/>
        <w:sz w:val="21"/>
        <w:szCs w:val="21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single" w:sz="4" w:space="0" w:color="auto"/>
      </w:pBdr>
    </w:pPr>
    <w:r>
      <w:rPr>
        <w:rFonts w:ascii="宋体" w:hAnsi="宋体" w:hint="eastAsia"/>
      </w:rPr>
      <w:drawing>
        <wp:inline distT="0" distB="0" distL="114300" distR="114300">
          <wp:extent cx="1295400" cy="393700"/>
          <wp:effectExtent l="0" t="0" r="0" b="6350"/>
          <wp:docPr id="815112669" name="图片 1" descr="QQ截图201709211102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5112669" name="图片 1" descr="QQ截图20170921110212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95400" cy="393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宋体" w:hAnsi="宋体" w:hint="eastAsia"/>
      </w:rPr>
      <w:t xml:space="preserve">                                           </w:t>
    </w:r>
    <w:r>
      <w:rPr>
        <w:rFonts w:hint="eastAsia"/>
        <w:b/>
        <w:bCs/>
        <w:sz w:val="21"/>
        <w:szCs w:val="21"/>
      </w:rPr>
      <w:t>现场监理人员绩效考核管理制度</w:t>
    </w:r>
    <w:r>
      <w:rPr>
        <w:rFonts w:ascii="宋体" w:hAnsi="宋体" w:hint="eastAsia"/>
        <w:b/>
        <w:bCs/>
        <w:sz w:val="21"/>
        <w:szCs w:val="21"/>
      </w:rPr>
      <w:t xml:space="preserve"> </w:t>
    </w:r>
    <w:r>
      <w:rPr>
        <w:rFonts w:ascii="宋体" w:hAnsi="宋体" w:hint="eastAsia"/>
        <w:sz w:val="21"/>
        <w:szCs w:val="21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single" w:sz="4" w:space="0" w:color="auto"/>
      </w:pBdr>
    </w:pPr>
    <w:r>
      <w:rPr>
        <w:rFonts w:ascii="宋体" w:hAnsi="宋体" w:hint="eastAsia"/>
      </w:rPr>
      <w:drawing>
        <wp:inline distT="0" distB="0" distL="114300" distR="114300">
          <wp:extent cx="1295400" cy="393700"/>
          <wp:effectExtent l="0" t="0" r="0" b="6350"/>
          <wp:docPr id="1112261788" name="图片 1" descr="QQ截图201709211102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2261788" name="图片 1" descr="QQ截图20170921110212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95400" cy="393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宋体" w:hAnsi="宋体" w:hint="eastAsia"/>
      </w:rPr>
      <w:t xml:space="preserve">                                           </w:t>
    </w:r>
    <w:r>
      <w:rPr>
        <w:rFonts w:hint="eastAsia"/>
        <w:b/>
        <w:bCs/>
        <w:sz w:val="21"/>
        <w:szCs w:val="21"/>
      </w:rPr>
      <w:t>现场监理人员绩效考核管理制度</w:t>
    </w:r>
    <w:r>
      <w:rPr>
        <w:rFonts w:ascii="宋体" w:hAnsi="宋体" w:hint="eastAsia"/>
        <w:b/>
        <w:bCs/>
        <w:sz w:val="21"/>
        <w:szCs w:val="21"/>
      </w:rPr>
      <w:t xml:space="preserve"> </w:t>
    </w:r>
    <w:r>
      <w:rPr>
        <w:rFonts w:ascii="宋体" w:hAnsi="宋体" w:hint="eastAsia"/>
        <w:sz w:val="21"/>
        <w:szCs w:val="21"/>
      </w:rPr>
      <w:t xml:space="preserve">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single" w:sz="4" w:space="0" w:color="auto"/>
      </w:pBdr>
    </w:pPr>
    <w:r>
      <w:rPr>
        <w:rFonts w:ascii="宋体" w:hAnsi="宋体" w:hint="eastAsia"/>
      </w:rPr>
      <w:drawing>
        <wp:inline distT="0" distB="0" distL="114300" distR="114300">
          <wp:extent cx="1295400" cy="393700"/>
          <wp:effectExtent l="0" t="0" r="0" b="6350"/>
          <wp:docPr id="1090386917" name="图片 1" descr="QQ截图201709211102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0386917" name="图片 1" descr="QQ截图20170921110212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95400" cy="393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宋体" w:hAnsi="宋体" w:hint="eastAsia"/>
      </w:rPr>
      <w:t xml:space="preserve">                                           </w:t>
    </w:r>
    <w:r>
      <w:rPr>
        <w:rFonts w:hint="eastAsia"/>
        <w:b/>
        <w:bCs/>
        <w:sz w:val="21"/>
        <w:szCs w:val="21"/>
      </w:rPr>
      <w:t>现场监理人员绩效考核管理制度</w:t>
    </w:r>
    <w:r>
      <w:rPr>
        <w:rFonts w:ascii="宋体" w:hAnsi="宋体" w:hint="eastAsia"/>
        <w:b/>
        <w:bCs/>
        <w:sz w:val="21"/>
        <w:szCs w:val="21"/>
      </w:rPr>
      <w:t xml:space="preserve"> </w:t>
    </w:r>
    <w:r>
      <w:rPr>
        <w:rFonts w:ascii="宋体" w:hAnsi="宋体" w:hint="eastAsia"/>
        <w:sz w:val="21"/>
        <w:szCs w:val="21"/>
      </w:rPr>
      <w:t xml:space="preserve">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single" w:sz="4" w:space="0" w:color="auto"/>
      </w:pBdr>
    </w:pPr>
    <w:r>
      <w:rPr>
        <w:rFonts w:ascii="宋体" w:hAnsi="宋体" w:hint="eastAsia"/>
      </w:rPr>
      <w:drawing>
        <wp:inline distT="0" distB="0" distL="114300" distR="114300">
          <wp:extent cx="1295400" cy="393700"/>
          <wp:effectExtent l="0" t="0" r="0" b="6350"/>
          <wp:docPr id="733950545" name="图片 1" descr="QQ截图201709211102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950545" name="图片 1" descr="QQ截图20170921110212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95400" cy="393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宋体" w:hAnsi="宋体" w:hint="eastAsia"/>
      </w:rPr>
      <w:t xml:space="preserve">                                           </w:t>
    </w:r>
    <w:r>
      <w:rPr>
        <w:rFonts w:hint="eastAsia"/>
        <w:b/>
        <w:bCs/>
        <w:sz w:val="21"/>
        <w:szCs w:val="21"/>
      </w:rPr>
      <w:t>现场监理人员绩效考核管理制度</w:t>
    </w:r>
    <w:r>
      <w:rPr>
        <w:rFonts w:ascii="宋体" w:hAnsi="宋体" w:hint="eastAsia"/>
        <w:b/>
        <w:bCs/>
        <w:sz w:val="21"/>
        <w:szCs w:val="21"/>
      </w:rPr>
      <w:t xml:space="preserve"> </w:t>
    </w:r>
    <w:r>
      <w:rPr>
        <w:rFonts w:ascii="宋体" w:hAnsi="宋体" w:hint="eastAsia"/>
        <w:sz w:val="21"/>
        <w:szCs w:val="21"/>
      </w:rPr>
      <w:t xml:space="preserve">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single" w:sz="4" w:space="0" w:color="auto"/>
      </w:pBdr>
    </w:pPr>
    <w:r>
      <w:rPr>
        <w:rFonts w:ascii="宋体" w:hAnsi="宋体" w:hint="eastAsia"/>
      </w:rPr>
      <w:drawing>
        <wp:inline distT="0" distB="0" distL="114300" distR="114300">
          <wp:extent cx="1295400" cy="393700"/>
          <wp:effectExtent l="0" t="0" r="0" b="6350"/>
          <wp:docPr id="230655926" name="图片 1" descr="QQ截图201709211102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0655926" name="图片 1" descr="QQ截图20170921110212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95400" cy="393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宋体" w:hAnsi="宋体" w:hint="eastAsia"/>
      </w:rPr>
      <w:t xml:space="preserve">                                           </w:t>
    </w:r>
    <w:r>
      <w:rPr>
        <w:rFonts w:hint="eastAsia"/>
        <w:b/>
        <w:bCs/>
        <w:sz w:val="21"/>
        <w:szCs w:val="21"/>
      </w:rPr>
      <w:t>现场监理人员绩效考核管理制度</w:t>
    </w:r>
    <w:r>
      <w:rPr>
        <w:rFonts w:ascii="宋体" w:hAnsi="宋体" w:hint="eastAsia"/>
        <w:b/>
        <w:bCs/>
        <w:sz w:val="21"/>
        <w:szCs w:val="21"/>
      </w:rPr>
      <w:t xml:space="preserve"> </w:t>
    </w:r>
    <w:r>
      <w:rPr>
        <w:rFonts w:ascii="宋体" w:hAnsi="宋体" w:hint="eastAsia"/>
        <w:sz w:val="21"/>
        <w:szCs w:val="21"/>
      </w:rPr>
      <w:t xml:space="preserve"> 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single" w:sz="4" w:space="0" w:color="auto"/>
      </w:pBdr>
    </w:pPr>
    <w:r>
      <w:rPr>
        <w:rFonts w:ascii="宋体" w:hAnsi="宋体" w:hint="eastAsia"/>
      </w:rPr>
      <w:drawing>
        <wp:inline distT="0" distB="0" distL="114300" distR="114300">
          <wp:extent cx="1295400" cy="393700"/>
          <wp:effectExtent l="0" t="0" r="0" b="6350"/>
          <wp:docPr id="809867828" name="图片 1" descr="QQ截图201709211102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9867828" name="图片 1" descr="QQ截图20170921110212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95400" cy="393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宋体" w:hAnsi="宋体" w:hint="eastAsia"/>
      </w:rPr>
      <w:t xml:space="preserve">                                           </w:t>
    </w:r>
    <w:r>
      <w:rPr>
        <w:rFonts w:hint="eastAsia"/>
        <w:b/>
        <w:bCs/>
        <w:sz w:val="21"/>
        <w:szCs w:val="21"/>
      </w:rPr>
      <w:t>现场监理人员绩效考核管理制度</w:t>
    </w:r>
    <w:r>
      <w:rPr>
        <w:rFonts w:ascii="宋体" w:hAnsi="宋体" w:hint="eastAsia"/>
        <w:b/>
        <w:bCs/>
        <w:sz w:val="21"/>
        <w:szCs w:val="21"/>
      </w:rPr>
      <w:t xml:space="preserve"> </w:t>
    </w:r>
    <w:r>
      <w:rPr>
        <w:rFonts w:ascii="宋体" w:hAnsi="宋体" w:hint="eastAsia"/>
        <w:sz w:val="21"/>
        <w:szCs w:val="21"/>
      </w:rPr>
      <w:t xml:space="preserve"> 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single" w:sz="4" w:space="0" w:color="auto"/>
      </w:pBdr>
    </w:pPr>
    <w:r>
      <w:rPr>
        <w:rFonts w:ascii="宋体" w:hAnsi="宋体" w:hint="eastAsia"/>
      </w:rPr>
      <w:drawing>
        <wp:inline distT="0" distB="0" distL="114300" distR="114300">
          <wp:extent cx="1295400" cy="393700"/>
          <wp:effectExtent l="0" t="0" r="0" b="6350"/>
          <wp:docPr id="1428492281" name="图片 1" descr="QQ截图201709211102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8492281" name="图片 1" descr="QQ截图20170921110212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95400" cy="393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宋体" w:hAnsi="宋体" w:hint="eastAsia"/>
      </w:rPr>
      <w:t xml:space="preserve">                                           </w:t>
    </w:r>
    <w:r>
      <w:rPr>
        <w:rFonts w:hint="eastAsia"/>
        <w:b/>
        <w:bCs/>
        <w:sz w:val="21"/>
        <w:szCs w:val="21"/>
      </w:rPr>
      <w:t>现场监理人员绩效考核管理制度</w:t>
    </w:r>
    <w:r>
      <w:rPr>
        <w:rFonts w:ascii="宋体" w:hAnsi="宋体" w:hint="eastAsia"/>
        <w:b/>
        <w:bCs/>
        <w:sz w:val="21"/>
        <w:szCs w:val="21"/>
      </w:rPr>
      <w:t xml:space="preserve"> </w:t>
    </w:r>
    <w:r>
      <w:rPr>
        <w:rFonts w:ascii="宋体" w:hAnsi="宋体" w:hint="eastAsia"/>
        <w:sz w:val="21"/>
        <w:szCs w:val="21"/>
      </w:rPr>
      <w:t xml:space="preserve">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single" w:sz="4" w:space="0" w:color="auto"/>
      </w:pBdr>
    </w:pPr>
    <w:r>
      <w:rPr>
        <w:rFonts w:ascii="宋体" w:hAnsi="宋体" w:hint="eastAsia"/>
      </w:rPr>
      <w:drawing>
        <wp:inline distT="0" distB="0" distL="114300" distR="114300">
          <wp:extent cx="1295400" cy="393700"/>
          <wp:effectExtent l="0" t="0" r="0" b="6350"/>
          <wp:docPr id="468517932" name="图片 1" descr="QQ截图201709211102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8517932" name="图片 1" descr="QQ截图20170921110212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95400" cy="393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宋体" w:hAnsi="宋体" w:hint="eastAsia"/>
      </w:rPr>
      <w:t xml:space="preserve">                                           </w:t>
    </w:r>
    <w:r>
      <w:rPr>
        <w:rFonts w:hint="eastAsia"/>
        <w:b/>
        <w:bCs/>
        <w:sz w:val="21"/>
        <w:szCs w:val="21"/>
      </w:rPr>
      <w:t>现场监理人员绩效考核管理制度</w:t>
    </w:r>
    <w:r>
      <w:rPr>
        <w:rFonts w:ascii="宋体" w:hAnsi="宋体" w:hint="eastAsia"/>
        <w:b/>
        <w:bCs/>
        <w:sz w:val="21"/>
        <w:szCs w:val="21"/>
      </w:rPr>
      <w:t xml:space="preserve"> </w:t>
    </w:r>
    <w:r>
      <w:rPr>
        <w:rFonts w:ascii="宋体" w:hAnsi="宋体" w:hint="eastAsia"/>
        <w:sz w:val="21"/>
        <w:szCs w:val="21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drawingGridHorizontalSpacing w:val="2"/>
  <w:drawingGridVerticalSpacing w:val="3"/>
  <w:noPunctuationKerning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21D0E"/>
    <w:rsid w:val="00022BDF"/>
    <w:rsid w:val="00024DA0"/>
    <w:rsid w:val="00043C03"/>
    <w:rsid w:val="000813B9"/>
    <w:rsid w:val="00085F8E"/>
    <w:rsid w:val="00087D6E"/>
    <w:rsid w:val="000A23DC"/>
    <w:rsid w:val="00165212"/>
    <w:rsid w:val="00172A27"/>
    <w:rsid w:val="00186D20"/>
    <w:rsid w:val="001C32BE"/>
    <w:rsid w:val="001D6FCD"/>
    <w:rsid w:val="002364F9"/>
    <w:rsid w:val="002560D4"/>
    <w:rsid w:val="00262374"/>
    <w:rsid w:val="00291817"/>
    <w:rsid w:val="0029199F"/>
    <w:rsid w:val="002C41FB"/>
    <w:rsid w:val="002C5FEC"/>
    <w:rsid w:val="002C6386"/>
    <w:rsid w:val="0030740D"/>
    <w:rsid w:val="003135AF"/>
    <w:rsid w:val="003212A8"/>
    <w:rsid w:val="00337C87"/>
    <w:rsid w:val="00383A5F"/>
    <w:rsid w:val="00396AC6"/>
    <w:rsid w:val="003A1BFF"/>
    <w:rsid w:val="003E2979"/>
    <w:rsid w:val="00415BFB"/>
    <w:rsid w:val="00427D17"/>
    <w:rsid w:val="00460848"/>
    <w:rsid w:val="0047507D"/>
    <w:rsid w:val="0047704D"/>
    <w:rsid w:val="004E2A65"/>
    <w:rsid w:val="004F0078"/>
    <w:rsid w:val="00501E53"/>
    <w:rsid w:val="00504030"/>
    <w:rsid w:val="005153AA"/>
    <w:rsid w:val="00554639"/>
    <w:rsid w:val="00561FC0"/>
    <w:rsid w:val="005A0016"/>
    <w:rsid w:val="005B2F2C"/>
    <w:rsid w:val="00607B59"/>
    <w:rsid w:val="0063114C"/>
    <w:rsid w:val="0063478E"/>
    <w:rsid w:val="00642623"/>
    <w:rsid w:val="00660319"/>
    <w:rsid w:val="006610E3"/>
    <w:rsid w:val="00664316"/>
    <w:rsid w:val="006834BB"/>
    <w:rsid w:val="00694BB2"/>
    <w:rsid w:val="006D50F0"/>
    <w:rsid w:val="0071139E"/>
    <w:rsid w:val="0072179C"/>
    <w:rsid w:val="00746143"/>
    <w:rsid w:val="0075612E"/>
    <w:rsid w:val="00762F3F"/>
    <w:rsid w:val="00791331"/>
    <w:rsid w:val="007C27E2"/>
    <w:rsid w:val="007E54D4"/>
    <w:rsid w:val="00802BEC"/>
    <w:rsid w:val="00825918"/>
    <w:rsid w:val="00843EF2"/>
    <w:rsid w:val="0085061C"/>
    <w:rsid w:val="008575F2"/>
    <w:rsid w:val="00891EC1"/>
    <w:rsid w:val="008F508B"/>
    <w:rsid w:val="0090194E"/>
    <w:rsid w:val="00920D2B"/>
    <w:rsid w:val="00980B79"/>
    <w:rsid w:val="0098205E"/>
    <w:rsid w:val="009B1802"/>
    <w:rsid w:val="009C4F4E"/>
    <w:rsid w:val="009D6979"/>
    <w:rsid w:val="009E24F5"/>
    <w:rsid w:val="009F036C"/>
    <w:rsid w:val="00A2506B"/>
    <w:rsid w:val="00A7469B"/>
    <w:rsid w:val="00AD1333"/>
    <w:rsid w:val="00AE240D"/>
    <w:rsid w:val="00AF343F"/>
    <w:rsid w:val="00B007EC"/>
    <w:rsid w:val="00B2351B"/>
    <w:rsid w:val="00B26B76"/>
    <w:rsid w:val="00B27A24"/>
    <w:rsid w:val="00B30BC4"/>
    <w:rsid w:val="00B32491"/>
    <w:rsid w:val="00B6713F"/>
    <w:rsid w:val="00B93744"/>
    <w:rsid w:val="00BA016F"/>
    <w:rsid w:val="00BB1901"/>
    <w:rsid w:val="00BC0AE3"/>
    <w:rsid w:val="00BF4094"/>
    <w:rsid w:val="00BF78EC"/>
    <w:rsid w:val="00C10005"/>
    <w:rsid w:val="00C162F5"/>
    <w:rsid w:val="00C75798"/>
    <w:rsid w:val="00C853E7"/>
    <w:rsid w:val="00C9186B"/>
    <w:rsid w:val="00CB6436"/>
    <w:rsid w:val="00CE5F26"/>
    <w:rsid w:val="00D910F9"/>
    <w:rsid w:val="00DE3631"/>
    <w:rsid w:val="00DF7A3A"/>
    <w:rsid w:val="00E10C96"/>
    <w:rsid w:val="00E40C20"/>
    <w:rsid w:val="00E514DC"/>
    <w:rsid w:val="00E73144"/>
    <w:rsid w:val="00E7319C"/>
    <w:rsid w:val="00E77A30"/>
    <w:rsid w:val="00E90EFE"/>
    <w:rsid w:val="00EB4A83"/>
    <w:rsid w:val="00EE4C33"/>
    <w:rsid w:val="00EE75B7"/>
    <w:rsid w:val="00F12E55"/>
    <w:rsid w:val="00F359D2"/>
    <w:rsid w:val="00FC5C1F"/>
    <w:rsid w:val="00FD6750"/>
    <w:rsid w:val="00FD692C"/>
    <w:rsid w:val="019F4F56"/>
    <w:rsid w:val="0A2D3A0B"/>
    <w:rsid w:val="0BE43210"/>
    <w:rsid w:val="114D030D"/>
    <w:rsid w:val="124616FC"/>
    <w:rsid w:val="170D3A7F"/>
    <w:rsid w:val="17E91B30"/>
    <w:rsid w:val="1AA71D21"/>
    <w:rsid w:val="203A226E"/>
    <w:rsid w:val="22EE5AD9"/>
    <w:rsid w:val="239C2C5C"/>
    <w:rsid w:val="258E41F2"/>
    <w:rsid w:val="25AD6996"/>
    <w:rsid w:val="261003A0"/>
    <w:rsid w:val="267E26E9"/>
    <w:rsid w:val="2A6B4C8D"/>
    <w:rsid w:val="2A9A0B91"/>
    <w:rsid w:val="2BC27B4C"/>
    <w:rsid w:val="2C116BC1"/>
    <w:rsid w:val="32480939"/>
    <w:rsid w:val="337C22D5"/>
    <w:rsid w:val="35F234C5"/>
    <w:rsid w:val="3AEC3598"/>
    <w:rsid w:val="3BFF07E1"/>
    <w:rsid w:val="3C65784E"/>
    <w:rsid w:val="3EB40937"/>
    <w:rsid w:val="3EF82DE8"/>
    <w:rsid w:val="4549314B"/>
    <w:rsid w:val="4A8A63CE"/>
    <w:rsid w:val="4B65780E"/>
    <w:rsid w:val="4D0625C8"/>
    <w:rsid w:val="4DA62B92"/>
    <w:rsid w:val="4DFC63A9"/>
    <w:rsid w:val="4F0B575E"/>
    <w:rsid w:val="50B956BB"/>
    <w:rsid w:val="52526C9C"/>
    <w:rsid w:val="525F4470"/>
    <w:rsid w:val="549F1CD5"/>
    <w:rsid w:val="54DE76F9"/>
    <w:rsid w:val="551B7888"/>
    <w:rsid w:val="5CFB5B46"/>
    <w:rsid w:val="5DDB19CA"/>
    <w:rsid w:val="5E1E50BB"/>
    <w:rsid w:val="62335772"/>
    <w:rsid w:val="62D15A27"/>
    <w:rsid w:val="63AF53CE"/>
    <w:rsid w:val="63BC061B"/>
    <w:rsid w:val="6D690CC2"/>
    <w:rsid w:val="6DFB4FBD"/>
    <w:rsid w:val="6E600C79"/>
    <w:rsid w:val="6E907098"/>
    <w:rsid w:val="6F795886"/>
    <w:rsid w:val="6FA0623D"/>
    <w:rsid w:val="724B7161"/>
    <w:rsid w:val="72C56402"/>
    <w:rsid w:val="72D61B43"/>
    <w:rsid w:val="732818CF"/>
    <w:rsid w:val="75935226"/>
    <w:rsid w:val="7760200A"/>
    <w:rsid w:val="777D1511"/>
    <w:rsid w:val="79C810EA"/>
    <w:rsid w:val="7BE111D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/>
    <w:lsdException w:name="heading 6" w:semiHidden="0" w:uiPriority="0" w:unhideWhenUsed="0"/>
    <w:lsdException w:name="heading 7" w:semiHidden="0" w:uiPriority="0" w:unhideWhenUsed="0"/>
    <w:lsdException w:name="heading 8" w:semiHidden="0" w:uiPriority="0" w:unhideWhenUsed="0"/>
    <w:lsdException w:name="heading 9" w:semiHidden="0" w:uiPriority="0" w:unhideWhenUsed="0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semiHidden="0" w:uiPriority="0" w:unhideWhenUsed="0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 w:qFormat="1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 w:qFormat="1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/>
    <w:lsdException w:name="Emphasis" w:semiHidden="0" w:uiPriority="0" w:unhideWhenUsed="0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 w:qFormat="1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uiPriority="0" w:unhideWhenUsed="0" w:qFormat="1"/>
    <w:lsdException w:name="Table Grid" w:semiHidden="0" w:uiPriority="0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8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line="576" w:lineRule="auto"/>
      <w:outlineLvl w:val="0"/>
    </w:pPr>
    <w:rPr>
      <w:b/>
      <w:kern w:val="44"/>
    </w:rPr>
  </w:style>
  <w:style w:type="paragraph" w:styleId="Heading2">
    <w:name w:val="heading 2"/>
    <w:basedOn w:val="Normal"/>
    <w:next w:val="Normal"/>
    <w:qFormat/>
    <w:pPr>
      <w:keepNext/>
      <w:keepLines/>
      <w:spacing w:line="413" w:lineRule="auto"/>
      <w:outlineLvl w:val="1"/>
    </w:pPr>
    <w:rPr>
      <w:rFonts w:ascii="Arial" w:hAnsi="Arial"/>
      <w:b/>
      <w:sz w:val="32"/>
    </w:rPr>
  </w:style>
  <w:style w:type="paragraph" w:styleId="Heading3">
    <w:name w:val="heading 3"/>
    <w:basedOn w:val="Normal"/>
    <w:next w:val="Normal"/>
    <w:link w:val="3Char"/>
    <w:qFormat/>
    <w:pPr>
      <w:keepNext/>
      <w:keepLines/>
      <w:spacing w:line="413" w:lineRule="auto"/>
      <w:outlineLvl w:val="2"/>
    </w:pPr>
    <w:rPr>
      <w:b/>
      <w:sz w:val="32"/>
    </w:rPr>
  </w:style>
  <w:style w:type="paragraph" w:styleId="Heading4">
    <w:name w:val="heading 4"/>
    <w:basedOn w:val="Normal"/>
    <w:next w:val="Normal"/>
    <w:qFormat/>
    <w:pPr>
      <w:keepNext/>
      <w:keepLines/>
      <w:spacing w:line="372" w:lineRule="auto"/>
      <w:outlineLvl w:val="3"/>
    </w:pPr>
    <w:rPr>
      <w:rFonts w:ascii="Arial" w:eastAsia="黑体" w:hAnsi="Arial"/>
      <w:b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"/>
    <w:qFormat/>
    <w:pPr>
      <w:jc w:val="left"/>
    </w:pPr>
  </w:style>
  <w:style w:type="paragraph" w:styleId="BalloonText">
    <w:name w:val="Balloon Text"/>
    <w:basedOn w:val="Normal"/>
    <w:semiHidden/>
    <w:qFormat/>
    <w:rPr>
      <w:sz w:val="18"/>
      <w:szCs w:val="18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Normal"/>
    <w:next w:val="Normal"/>
    <w:qFormat/>
  </w:style>
  <w:style w:type="paragraph" w:styleId="TOC2">
    <w:name w:val="toc 2"/>
    <w:basedOn w:val="Normal"/>
    <w:next w:val="Normal"/>
    <w:qFormat/>
    <w:pPr>
      <w:ind w:left="420" w:leftChars="200"/>
    </w:pPr>
  </w:style>
  <w:style w:type="paragraph" w:styleId="BodyText2">
    <w:name w:val="Body Text 2"/>
    <w:basedOn w:val="Normal"/>
    <w:qFormat/>
    <w:pPr>
      <w:spacing w:line="360" w:lineRule="auto"/>
    </w:pPr>
    <w:rPr>
      <w:rFonts w:ascii="宋体" w:hAnsi="宋体"/>
      <w:sz w:val="24"/>
    </w:rPr>
  </w:style>
  <w:style w:type="paragraph" w:styleId="NormalWeb">
    <w:name w:val="Normal (Web)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CommentSubject">
    <w:name w:val="annotation subject"/>
    <w:basedOn w:val="CommentText"/>
    <w:next w:val="CommentText"/>
    <w:link w:val="Char0"/>
    <w:qFormat/>
    <w:rPr>
      <w:b/>
      <w:bCs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qFormat/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character" w:styleId="CommentReference">
    <w:name w:val="annotation reference"/>
    <w:basedOn w:val="DefaultParagraphFont"/>
    <w:qFormat/>
    <w:rPr>
      <w:sz w:val="21"/>
      <w:szCs w:val="21"/>
    </w:rPr>
  </w:style>
  <w:style w:type="paragraph" w:customStyle="1" w:styleId="3">
    <w:name w:val="样式3"/>
    <w:basedOn w:val="Normal"/>
    <w:qFormat/>
    <w:rPr>
      <w:b/>
    </w:rPr>
  </w:style>
  <w:style w:type="paragraph" w:customStyle="1" w:styleId="5">
    <w:name w:val="样式5"/>
    <w:basedOn w:val="Heading1"/>
    <w:next w:val="3"/>
    <w:qFormat/>
  </w:style>
  <w:style w:type="paragraph" w:customStyle="1" w:styleId="2">
    <w:name w:val="样式2"/>
    <w:basedOn w:val="TOC1"/>
    <w:next w:val="TOC2"/>
    <w:qFormat/>
  </w:style>
  <w:style w:type="paragraph" w:customStyle="1" w:styleId="1">
    <w:name w:val="样式1"/>
    <w:basedOn w:val="Heading1"/>
    <w:next w:val="Normal"/>
    <w:qFormat/>
    <w:pPr>
      <w:spacing w:before="140" w:after="140"/>
    </w:pPr>
  </w:style>
  <w:style w:type="paragraph" w:customStyle="1" w:styleId="WPSOffice1">
    <w:name w:val="WPSOffice手动目录 1"/>
    <w:qFormat/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2">
    <w:name w:val="WPSOffice手动目录 2"/>
    <w:qFormat/>
    <w:pPr>
      <w:ind w:left="200" w:leftChars="200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4">
    <w:name w:val="样式4"/>
    <w:basedOn w:val="Normal"/>
    <w:qFormat/>
    <w:rPr>
      <w:b/>
    </w:rPr>
  </w:style>
  <w:style w:type="character" w:customStyle="1" w:styleId="font81">
    <w:name w:val="font81"/>
    <w:basedOn w:val="DefaultParagraphFont"/>
    <w:qFormat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161">
    <w:name w:val="font161"/>
    <w:basedOn w:val="DefaultParagraphFont"/>
    <w:qFormat/>
    <w:rPr>
      <w:rFonts w:ascii="Tahoma" w:eastAsia="Tahoma" w:hAnsi="Tahoma" w:cs="Tahoma"/>
      <w:color w:val="000000"/>
      <w:sz w:val="20"/>
      <w:szCs w:val="20"/>
      <w:u w:val="none"/>
    </w:rPr>
  </w:style>
  <w:style w:type="character" w:customStyle="1" w:styleId="font191">
    <w:name w:val="font191"/>
    <w:basedOn w:val="DefaultParagraphFont"/>
    <w:qFormat/>
    <w:rPr>
      <w:rFonts w:ascii="微软雅黑" w:eastAsia="微软雅黑" w:hAnsi="微软雅黑" w:cs="微软雅黑" w:hint="eastAsia"/>
      <w:b/>
      <w:i/>
      <w:color w:val="000000"/>
      <w:sz w:val="20"/>
      <w:szCs w:val="20"/>
      <w:u w:val="single"/>
    </w:rPr>
  </w:style>
  <w:style w:type="character" w:customStyle="1" w:styleId="font01">
    <w:name w:val="font01"/>
    <w:basedOn w:val="DefaultParagraphFont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81">
    <w:name w:val="font181"/>
    <w:basedOn w:val="DefaultParagraphFont"/>
    <w:qFormat/>
    <w:rPr>
      <w:rFonts w:ascii="微软雅黑" w:eastAsia="微软雅黑" w:hAnsi="微软雅黑" w:cs="微软雅黑" w:hint="eastAsia"/>
      <w:b/>
      <w:i/>
      <w:color w:val="000000"/>
      <w:sz w:val="18"/>
      <w:szCs w:val="18"/>
      <w:u w:val="none"/>
    </w:rPr>
  </w:style>
  <w:style w:type="character" w:customStyle="1" w:styleId="font21">
    <w:name w:val="font21"/>
    <w:basedOn w:val="DefaultParagraphFont"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character" w:customStyle="1" w:styleId="font61">
    <w:name w:val="font61"/>
    <w:basedOn w:val="DefaultParagraphFont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3Char">
    <w:name w:val="标题 3 Char"/>
    <w:link w:val="Heading3"/>
    <w:qFormat/>
    <w:rPr>
      <w:b/>
      <w:sz w:val="32"/>
    </w:rPr>
  </w:style>
  <w:style w:type="character" w:customStyle="1" w:styleId="font11">
    <w:name w:val="font11"/>
    <w:basedOn w:val="DefaultParagraphFont"/>
    <w:qFormat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font171">
    <w:name w:val="font171"/>
    <w:basedOn w:val="DefaultParagraphFont"/>
    <w:qFormat/>
    <w:rPr>
      <w:rFonts w:ascii="Î¢ÈíÑÅºÚ Western" w:eastAsia="Î¢ÈíÑÅºÚ Western" w:hAnsi="Î¢ÈíÑÅºÚ Western" w:cs="Î¢ÈíÑÅºÚ Western"/>
      <w:b/>
      <w:i/>
      <w:color w:val="000000"/>
      <w:sz w:val="18"/>
      <w:szCs w:val="18"/>
      <w:u w:val="none"/>
    </w:rPr>
  </w:style>
  <w:style w:type="character" w:customStyle="1" w:styleId="Char">
    <w:name w:val="批注文字 Char"/>
    <w:basedOn w:val="DefaultParagraphFont"/>
    <w:link w:val="CommentText"/>
    <w:qFormat/>
    <w:rPr>
      <w:kern w:val="2"/>
      <w:sz w:val="28"/>
    </w:rPr>
  </w:style>
  <w:style w:type="character" w:customStyle="1" w:styleId="Char0">
    <w:name w:val="批注主题 Char"/>
    <w:basedOn w:val="Char"/>
    <w:link w:val="CommentSubject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yperlink" Target="https://d.book118.com/507151056062006026" TargetMode="External" /><Relationship Id="rId22" Type="http://schemas.openxmlformats.org/officeDocument/2006/relationships/header" Target="header9.xml" /><Relationship Id="rId23" Type="http://schemas.openxmlformats.org/officeDocument/2006/relationships/footer" Target="footer9.xm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11</Pages>
  <Words>2422</Words>
  <Characters>13807</Characters>
  <Application>Microsoft Office Word</Application>
  <DocSecurity>0</DocSecurity>
  <Lines>115</Lines>
  <Paragraphs>32</Paragraphs>
  <ScaleCrop>false</ScaleCrop>
  <Company/>
  <LinksUpToDate>false</LinksUpToDate>
  <CharactersWithSpaces>16197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员工绩效工资考核制度</dc:title>
  <dc:creator>国栋</dc:creator>
  <cp:lastModifiedBy>国栋</cp:lastModifiedBy>
  <cp:revision>27</cp:revision>
  <cp:lastPrinted>2019-11-18T06:57:07Z</cp:lastPrinted>
  <dcterms:created xsi:type="dcterms:W3CDTF">2011-10-27T05:44:00Z</dcterms:created>
  <dcterms:modified xsi:type="dcterms:W3CDTF">2019-11-18T06:59:25Z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