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466640586"/>
      <w:bookmarkStart w:id="1" w:name="_Toc466640615"/>
      <w:bookmarkStart w:id="2" w:name="_Toc15078"/>
    </w:p>
    <w:p>
      <w:pPr>
        <w:spacing w:line="240" w:lineRule="auto"/>
        <w:ind w:firstLine="0" w:firstLineChars="0"/>
        <w:outlineLvl w:val="0"/>
        <w:rPr>
          <w:rFonts w:asciiTheme="minorHAnsi" w:eastAsiaTheme="minorEastAsia" w:hAnsiTheme="minorHAnsi"/>
          <w:b/>
          <w:sz w:val="32"/>
          <w:szCs w:val="30"/>
        </w:rPr>
      </w:pPr>
      <w:bookmarkStart w:id="3" w:name="_Toc21767"/>
      <w:bookmarkStart w:id="4" w:name="_Toc3230"/>
      <w:bookmarkStart w:id="5" w:name="_Toc6497"/>
      <w:bookmarkStart w:id="6" w:name="_Toc3621"/>
      <w:bookmarkStart w:id="7" w:name="_Toc8137"/>
      <w:bookmarkStart w:id="8" w:name="_Toc21915"/>
      <w:bookmarkStart w:id="9" w:name="_Toc12624"/>
      <w:bookmarkStart w:id="10" w:name="_Toc21156"/>
      <w:bookmarkStart w:id="11" w:name="_Toc27862"/>
      <w:bookmarkStart w:id="12" w:name="_Toc3773"/>
      <w:bookmarkStart w:id="13" w:name="_Toc30632"/>
      <w:bookmarkStart w:id="14" w:name="_Toc17462"/>
      <w:bookmarkStart w:id="15" w:name="_Toc18615"/>
      <w:bookmarkStart w:id="16" w:name="_Toc4114"/>
      <w:bookmarkStart w:id="17" w:name="_Toc13164"/>
      <w:bookmarkStart w:id="18" w:name="_Toc16666"/>
      <w:bookmarkStart w:id="19" w:name="_Toc30582"/>
      <w:bookmarkStart w:id="20" w:name="_Toc12324"/>
      <w:bookmarkStart w:id="21" w:name="_Toc21451"/>
      <w:bookmarkStart w:id="22" w:name="_Toc32686"/>
      <w:bookmarkStart w:id="23" w:name="_Toc2064"/>
      <w:bookmarkStart w:id="24" w:name="_Toc21004"/>
      <w:bookmarkStart w:id="25" w:name="_Toc2439"/>
      <w:bookmarkStart w:id="26" w:name="_Toc27764"/>
      <w:bookmarkStart w:id="27" w:name="_Toc12779"/>
      <w:bookmarkStart w:id="28" w:name="_Toc32069"/>
      <w:bookmarkStart w:id="29" w:name="_Toc27095"/>
      <w:bookmarkStart w:id="30" w:name="_Toc13888"/>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spacing w:line="240" w:lineRule="auto"/>
        <w:ind w:firstLine="0" w:firstLineChars="0"/>
        <w:jc w:val="center"/>
        <w:outlineLvl w:val="0"/>
        <w:rPr>
          <w:rFonts w:asciiTheme="minorHAnsi" w:eastAsiaTheme="minorEastAsia" w:hAnsiTheme="minorHAnsi"/>
          <w:sz w:val="32"/>
          <w:szCs w:val="32"/>
        </w:rPr>
      </w:pPr>
      <w:bookmarkStart w:id="31" w:name="_Toc12327"/>
      <w:bookmarkStart w:id="32" w:name="_Toc10763"/>
      <w:bookmarkStart w:id="33" w:name="_Toc21016"/>
      <w:bookmarkStart w:id="34" w:name="_Toc29738"/>
      <w:bookmarkStart w:id="35" w:name="_Toc32041"/>
      <w:bookmarkStart w:id="36" w:name="_Toc13193"/>
      <w:bookmarkStart w:id="37" w:name="_Toc31652"/>
      <w:bookmarkStart w:id="38" w:name="_Toc26423"/>
      <w:bookmarkStart w:id="39" w:name="_Toc16213"/>
      <w:bookmarkStart w:id="40" w:name="_Toc23933"/>
      <w:bookmarkStart w:id="41" w:name="_Toc8531"/>
      <w:bookmarkStart w:id="42" w:name="_Toc15094"/>
      <w:bookmarkStart w:id="43" w:name="_Toc2586"/>
      <w:bookmarkStart w:id="44" w:name="_Toc30442"/>
      <w:bookmarkStart w:id="45" w:name="_Toc14646"/>
      <w:bookmarkStart w:id="46" w:name="_Toc3200"/>
      <w:bookmarkStart w:id="47" w:name="_Toc10920"/>
      <w:bookmarkStart w:id="48" w:name="_Toc32664"/>
      <w:bookmarkStart w:id="49" w:name="_Toc31608"/>
      <w:bookmarkStart w:id="50" w:name="_Toc15051"/>
      <w:bookmarkStart w:id="51" w:name="_Toc24792"/>
      <w:bookmarkStart w:id="52" w:name="_Toc19966"/>
      <w:bookmarkStart w:id="53" w:name="_Toc22572"/>
      <w:bookmarkStart w:id="54" w:name="_Toc28817"/>
      <w:bookmarkStart w:id="55" w:name="_Toc30430"/>
      <w:bookmarkStart w:id="56" w:name="_Toc10986"/>
      <w:bookmarkStart w:id="57" w:name="_Toc18434"/>
      <w:bookmarkStart w:id="58" w:name="_Toc10076"/>
      <w:r>
        <w:rPr>
          <w:rFonts w:asciiTheme="minorHAnsi" w:eastAsiaTheme="minorEastAsia" w:hAnsiTheme="minorHAnsi"/>
          <w:color w:val="00B050"/>
          <w:sz w:val="32"/>
          <w:szCs w:val="32"/>
        </w:rPr>
        <w:t>Southwest University of Science and Technology</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楷体_GB2312" w:asciiTheme="minorHAnsi" w:hAnsiTheme="minorHAnsi" w:hint="default"/>
          <w:sz w:val="44"/>
          <w:u w:val="single"/>
        </w:rPr>
      </w:pPr>
      <w:r>
        <w:rPr>
          <w:rFonts w:eastAsia="黑体" w:asciiTheme="minorHAnsi" w:hAnsiTheme="minorHAnsi" w:hint="eastAsia"/>
          <w:sz w:val="44"/>
        </w:rPr>
        <w:t>题目名称：</w:t>
      </w:r>
      <w:r>
        <w:rPr>
          <w:rFonts w:ascii="楷体_GB2312" w:eastAsia="楷体_GB2312" w:hAnsiTheme="minorHAnsi" w:hint="eastAsia"/>
          <w:sz w:val="44"/>
          <w:u w:val="single"/>
          <w:lang w:val="en-US" w:eastAsia="zh-CN"/>
        </w:rPr>
        <w:t xml:space="preserve">   </w:t>
      </w:r>
      <w:r>
        <w:rPr>
          <w:rFonts w:ascii="楷体_GB2312" w:eastAsia="楷体_GB2312" w:hAnsiTheme="minorHAnsi" w:hint="eastAsia"/>
          <w:sz w:val="44"/>
          <w:u w:val="single"/>
          <w:lang w:eastAsia="zh-CN"/>
        </w:rPr>
        <w:t>城市空巢老人社区居家养老服务问题研究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default"/>
                <w:sz w:val="30"/>
                <w:szCs w:val="30"/>
              </w:rPr>
            </w:pPr>
            <w:r>
              <w:rPr>
                <w:rFonts w:ascii="Times New Roman" w:eastAsia="黑体" w:hAnsi="Times New Roman" w:cs="Times New Roman" w:hint="default"/>
                <w:sz w:val="30"/>
                <w:szCs w:val="30"/>
                <w:lang w:val="en-US" w:eastAsia="zh-CN"/>
              </w:rPr>
              <w:t>西南科技大学继续教育学院</w:t>
            </w:r>
          </w:p>
          <w:p>
            <w:pPr>
              <w:spacing w:line="600" w:lineRule="exact"/>
              <w:ind w:firstLine="0" w:firstLineChars="0"/>
              <w:jc w:val="center"/>
              <w:rPr>
                <w:rFonts w:eastAsia="黑体" w:asciiTheme="minorHAnsi" w:hAnsiTheme="minorHAnsi"/>
                <w:spacing w:val="30"/>
                <w:kern w:val="10"/>
                <w:sz w:val="30"/>
              </w:rPr>
            </w:pPr>
            <w:r>
              <w:rPr>
                <w:rFonts w:ascii="Times New Roman" w:eastAsia="黑体" w:hAnsi="Times New Roman" w:cs="Times New Roman" w:hint="eastAsia"/>
                <w:sz w:val="30"/>
                <w:szCs w:val="30"/>
                <w:lang w:val="en-US" w:eastAsia="zh-CN"/>
              </w:rPr>
              <w:t>（</w:t>
            </w:r>
            <w:r>
              <w:rPr>
                <w:rFonts w:eastAsia="黑体" w:cs="Times New Roman" w:hint="eastAsia"/>
                <w:sz w:val="30"/>
                <w:szCs w:val="30"/>
                <w:lang w:val="en-US" w:eastAsia="zh-CN"/>
              </w:rPr>
              <w:t>372新余学习中心</w:t>
            </w:r>
            <w:r>
              <w:rPr>
                <w:rFonts w:ascii="Times New Roman" w:eastAsia="黑体" w:hAnsi="Times New Roman" w:cs="Times New Roman" w:hint="eastAsia"/>
                <w:sz w:val="30"/>
                <w:szCs w:val="30"/>
                <w:lang w:val="en-US" w:eastAsia="zh-CN"/>
              </w:rPr>
              <w:t>）</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asciiTheme="minorHAnsi" w:hAnsiTheme="minorHAnsi" w:hint="eastAsia"/>
                <w:spacing w:val="30"/>
                <w:kern w:val="10"/>
                <w:sz w:val="30"/>
              </w:rPr>
            </w:pPr>
            <w:r>
              <w:rPr>
                <w:rFonts w:eastAsia="黑体" w:asciiTheme="minorHAnsi" w:hAnsiTheme="minorHAnsi" w:hint="eastAsia"/>
                <w:spacing w:val="30"/>
                <w:kern w:val="10"/>
                <w:sz w:val="30"/>
                <w:lang w:eastAsia="zh-CN"/>
              </w:rPr>
              <w:t>公共事业管理</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asciiTheme="minorHAnsi" w:hAnsiTheme="minorHAnsi" w:hint="eastAsia"/>
                <w:spacing w:val="30"/>
                <w:kern w:val="10"/>
                <w:sz w:val="30"/>
              </w:rPr>
            </w:pPr>
            <w:r>
              <w:rPr>
                <w:rFonts w:eastAsia="黑体" w:asciiTheme="minorHAnsi" w:hAnsiTheme="minorHAnsi" w:hint="eastAsia"/>
                <w:spacing w:val="30"/>
                <w:kern w:val="10"/>
                <w:sz w:val="30"/>
                <w:lang w:eastAsia="zh-CN"/>
              </w:rPr>
              <w:t>张凡</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ascii="宋体" w:hAnsi="宋体" w:eastAsiaTheme="minorEastAsia" w:hint="eastAsia"/>
                <w:spacing w:val="30"/>
                <w:kern w:val="10"/>
                <w:sz w:val="28"/>
                <w:szCs w:val="28"/>
              </w:rPr>
            </w:pPr>
            <w:r>
              <w:rPr>
                <w:rFonts w:eastAsia="黑体" w:cs="Times New Roman" w:hint="eastAsia"/>
                <w:spacing w:val="28"/>
                <w:kern w:val="10"/>
                <w:sz w:val="30"/>
                <w:szCs w:val="30"/>
                <w:lang w:eastAsia="zh-CN"/>
              </w:rPr>
              <w:t>217913720002</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asciiTheme="minorHAnsi" w:hAnsiTheme="minorHAnsi" w:hint="eastAsia"/>
                <w:spacing w:val="30"/>
                <w:kern w:val="10"/>
                <w:sz w:val="30"/>
              </w:rPr>
            </w:pPr>
            <w:r>
              <w:rPr>
                <w:rFonts w:eastAsia="黑体" w:asciiTheme="minorHAnsi" w:hAnsiTheme="minorHAnsi" w:hint="eastAsia"/>
                <w:spacing w:val="30"/>
                <w:kern w:val="10"/>
                <w:sz w:val="30"/>
                <w:lang w:eastAsia="zh-CN"/>
              </w:rPr>
              <w:t>邹攀</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val="en-US" w:eastAsia="zh-CN"/>
        </w:rPr>
        <w:t>十</w:t>
      </w:r>
      <w:r>
        <w:rPr>
          <w:rFonts w:ascii="黑体" w:eastAsia="黑体" w:hAnsiTheme="minorHAnsi" w:hint="eastAsia"/>
          <w:sz w:val="30"/>
          <w:szCs w:val="30"/>
        </w:rPr>
        <w:t>月</w:t>
      </w:r>
    </w:p>
    <w:p>
      <w:pPr>
        <w:spacing w:line="480" w:lineRule="auto"/>
        <w:ind w:firstLine="0" w:firstLineChars="0"/>
        <w:rPr>
          <w:rFonts w:eastAsia="黑体" w:asciiTheme="minorHAnsi" w:hAnsiTheme="minorHAnsi"/>
          <w:b/>
          <w:sz w:val="28"/>
        </w:rPr>
      </w:pPr>
    </w:p>
    <w:p>
      <w:pPr>
        <w:spacing w:line="480" w:lineRule="auto"/>
        <w:ind w:firstLine="0" w:firstLineChars="0"/>
        <w:rPr>
          <w:rFonts w:eastAsia="黑体" w:asciiTheme="minorHAnsi" w:hAnsiTheme="minorHAnsi"/>
          <w:b/>
          <w:sz w:val="28"/>
        </w:rPr>
      </w:pPr>
    </w:p>
    <w:p>
      <w:pPr>
        <w:spacing w:line="360" w:lineRule="auto"/>
        <w:ind w:firstLine="510" w:firstLineChars="0"/>
        <w:jc w:val="center"/>
        <w:rPr>
          <w:rFonts w:eastAsia="黑体" w:asciiTheme="minorHAnsi" w:hAnsiTheme="minorHAnsi"/>
          <w:b/>
          <w:sz w:val="36"/>
        </w:rPr>
      </w:pPr>
      <w:r>
        <w:rPr>
          <w:rFonts w:eastAsia="黑体" w:asciiTheme="minorHAnsi" w:hAnsiTheme="minorHAnsi" w:hint="eastAsia"/>
          <w:b/>
          <w:sz w:val="36"/>
        </w:rPr>
        <w:t>西南科技大学</w:t>
      </w:r>
    </w:p>
    <w:p>
      <w:pPr>
        <w:spacing w:line="360" w:lineRule="auto"/>
        <w:ind w:firstLine="510" w:firstLineChars="0"/>
        <w:jc w:val="center"/>
        <w:rPr>
          <w:rFonts w:eastAsia="黑体" w:asciiTheme="minorHAnsi" w:hAnsiTheme="minorHAnsi"/>
          <w:b/>
          <w:sz w:val="36"/>
        </w:rPr>
      </w:pPr>
      <w:r>
        <w:rPr>
          <w:rFonts w:eastAsia="黑体" w:asciiTheme="minorHAnsi" w:hAnsiTheme="minorHAnsi" w:hint="eastAsia"/>
          <w:b/>
          <w:sz w:val="36"/>
        </w:rPr>
        <w:t>本科毕业设计（论文）学术诚信声明</w:t>
      </w:r>
    </w:p>
    <w:p>
      <w:pPr>
        <w:spacing w:line="480" w:lineRule="auto"/>
        <w:ind w:firstLine="0" w:firstLineChars="0"/>
        <w:rPr>
          <w:rFonts w:asciiTheme="minorHAnsi" w:eastAsiaTheme="minorEastAsia" w:hAnsiTheme="minorHAnsi"/>
        </w:rPr>
      </w:pPr>
    </w:p>
    <w:p>
      <w:pPr>
        <w:widowControl w:val="0"/>
        <w:adjustRightInd w:val="0"/>
        <w:spacing w:line="480" w:lineRule="auto"/>
        <w:ind w:firstLine="630"/>
        <w:jc w:val="both"/>
        <w:textAlignment w:val="baseline"/>
        <w:rPr>
          <w:rFonts w:cs="Times New Roman"/>
          <w:kern w:val="0"/>
          <w:sz w:val="28"/>
          <w:szCs w:val="20"/>
        </w:rPr>
      </w:pPr>
      <w:r>
        <w:rPr>
          <w:rFonts w:ascii="Times New Roman" w:eastAsia="宋体" w:hAnsi="Times New Roman" w:cs="Times New Roman" w:hint="eastAsia"/>
          <w:kern w:val="0"/>
          <w:sz w:val="28"/>
          <w:szCs w:val="20"/>
          <w:lang w:val="en-US" w:eastAsia="zh-CN" w:bidi="ar-SA"/>
        </w:rP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ind w:firstLine="0" w:firstLineChars="0"/>
        <w:rPr>
          <w:rFonts w:asciiTheme="minorHAnsi" w:eastAsiaTheme="minorEastAsia" w:hAnsiTheme="minorHAnsi"/>
        </w:rPr>
      </w:pPr>
    </w:p>
    <w:p>
      <w:pPr>
        <w:spacing w:line="480" w:lineRule="auto"/>
        <w:ind w:firstLine="0" w:firstLineChars="0"/>
        <w:rPr>
          <w:rFonts w:asciiTheme="minorHAnsi" w:eastAsiaTheme="minorEastAsia" w:hAnsiTheme="minorHAnsi"/>
        </w:rPr>
      </w:pPr>
    </w:p>
    <w:p>
      <w:pPr>
        <w:spacing w:line="480" w:lineRule="auto"/>
        <w:ind w:firstLine="0" w:firstLineChars="0"/>
        <w:rPr>
          <w:rFonts w:asciiTheme="minorHAnsi" w:eastAsiaTheme="minorEastAsia" w:hAnsiTheme="minorHAnsi"/>
        </w:rPr>
      </w:pPr>
    </w:p>
    <w:p>
      <w:pPr>
        <w:spacing w:line="480" w:lineRule="auto"/>
        <w:ind w:firstLine="0" w:firstLineChars="0"/>
        <w:jc w:val="right"/>
        <w:rPr>
          <w:rFonts w:ascii="宋体" w:hAnsi="宋体"/>
          <w:sz w:val="28"/>
        </w:rPr>
      </w:pPr>
      <w:r>
        <w:rPr>
          <w:rFonts w:ascii="宋体" w:eastAsia="宋体" w:hAnsi="宋体" w:hint="eastAsia"/>
          <w:sz w:val="28"/>
        </w:rPr>
        <w:t>作者签名：</w:t>
      </w:r>
      <w:r>
        <w:rPr>
          <w:rFonts w:ascii="宋体" w:eastAsia="宋体" w:hAnsi="宋体" w:hint="eastAsia"/>
          <w:sz w:val="28"/>
          <w:lang w:val="en-US" w:eastAsia="zh-CN"/>
        </w:rPr>
        <w:t xml:space="preserve">    </w:t>
      </w:r>
    </w:p>
    <w:p>
      <w:pPr>
        <w:spacing w:line="480" w:lineRule="auto"/>
        <w:ind w:firstLine="0" w:firstLineChars="0"/>
        <w:jc w:val="right"/>
        <w:rPr>
          <w:rFonts w:ascii="宋体" w:hAnsi="宋体"/>
          <w:sz w:val="28"/>
        </w:rPr>
      </w:pPr>
    </w:p>
    <w:p>
      <w:pPr>
        <w:spacing w:line="480" w:lineRule="auto"/>
        <w:ind w:firstLine="0" w:firstLineChars="0"/>
        <w:jc w:val="right"/>
        <w:rPr>
          <w:rFonts w:ascii="宋体" w:hAnsi="宋体"/>
          <w:sz w:val="28"/>
        </w:rPr>
      </w:pPr>
      <w:r>
        <w:rPr>
          <w:rFonts w:ascii="宋体" w:eastAsia="宋体" w:hAnsi="宋体" w:hint="eastAsia"/>
          <w:sz w:val="28"/>
        </w:rPr>
        <w:t>日期：</w:t>
      </w:r>
      <w:r>
        <w:rPr>
          <w:rFonts w:ascii="宋体" w:eastAsia="宋体" w:hAnsi="宋体" w:hint="eastAsia"/>
          <w:sz w:val="28"/>
          <w:lang w:val="en-US" w:eastAsia="zh-CN"/>
        </w:rPr>
        <w:t xml:space="preserve">    </w:t>
      </w:r>
      <w:r>
        <w:rPr>
          <w:rFonts w:ascii="宋体" w:eastAsia="宋体" w:hAnsi="宋体" w:hint="eastAsia"/>
          <w:sz w:val="28"/>
        </w:rPr>
        <w:t>年</w:t>
      </w:r>
      <w:r>
        <w:rPr>
          <w:rFonts w:ascii="宋体" w:eastAsia="宋体" w:hAnsi="宋体" w:hint="eastAsia"/>
          <w:sz w:val="28"/>
          <w:lang w:val="en-US" w:eastAsia="zh-CN"/>
        </w:rPr>
        <w:t xml:space="preserve">    </w:t>
      </w:r>
      <w:r>
        <w:rPr>
          <w:rFonts w:ascii="宋体" w:eastAsia="宋体" w:hAnsi="宋体" w:hint="eastAsia"/>
          <w:sz w:val="28"/>
        </w:rPr>
        <w:t>月</w:t>
      </w:r>
      <w:r>
        <w:rPr>
          <w:rFonts w:ascii="宋体" w:eastAsia="宋体" w:hAnsi="宋体" w:hint="eastAsia"/>
          <w:sz w:val="28"/>
          <w:lang w:val="en-US" w:eastAsia="zh-CN"/>
        </w:rPr>
        <w:t xml:space="preserve">    </w:t>
      </w:r>
      <w:r>
        <w:rPr>
          <w:rFonts w:ascii="宋体" w:eastAsia="宋体" w:hAnsi="宋体" w:hint="eastAsia"/>
          <w:sz w:val="28"/>
        </w:rPr>
        <w:t>日</w:t>
      </w:r>
    </w:p>
    <w:p>
      <w:pPr>
        <w:spacing w:line="480" w:lineRule="auto"/>
        <w:ind w:firstLine="0" w:firstLineChars="0"/>
        <w:rPr>
          <w:rFonts w:ascii="宋体" w:hAnsi="宋体"/>
          <w:sz w:val="28"/>
        </w:rPr>
      </w:pPr>
    </w:p>
    <w:p>
      <w:pPr>
        <w:spacing w:line="480" w:lineRule="auto"/>
        <w:ind w:firstLine="0" w:firstLineChars="0"/>
        <w:rPr>
          <w:rFonts w:asciiTheme="minorHAnsi" w:eastAsiaTheme="minorEastAsia" w:hAnsiTheme="minorHAnsi"/>
          <w:sz w:val="28"/>
        </w:rPr>
      </w:pPr>
    </w:p>
    <w:p>
      <w:pPr>
        <w:spacing w:line="480" w:lineRule="auto"/>
        <w:ind w:firstLine="0" w:firstLineChars="0"/>
        <w:rPr>
          <w:rFonts w:asciiTheme="minorHAnsi" w:eastAsiaTheme="minorEastAsia" w:hAnsiTheme="minorHAnsi"/>
          <w:sz w:val="28"/>
        </w:rPr>
      </w:pPr>
    </w:p>
    <w:p>
      <w:pPr>
        <w:spacing w:line="480" w:lineRule="auto"/>
        <w:ind w:firstLine="0" w:firstLineChars="0"/>
        <w:rPr>
          <w:rFonts w:asciiTheme="minorHAnsi" w:eastAsiaTheme="minorEastAsia" w:hAnsiTheme="minorHAnsi"/>
          <w:sz w:val="28"/>
        </w:rPr>
      </w:pPr>
    </w:p>
    <w:p>
      <w:pPr>
        <w:spacing w:line="360" w:lineRule="auto"/>
        <w:ind w:firstLine="0" w:firstLineChars="0"/>
        <w:rPr>
          <w:rFonts w:ascii="宋体" w:eastAsiaTheme="minorEastAsia" w:hAnsiTheme="minorHAnsi"/>
          <w:sz w:val="18"/>
          <w:szCs w:val="18"/>
        </w:rPr>
      </w:pPr>
    </w:p>
    <w:p>
      <w:pPr>
        <w:spacing w:line="480" w:lineRule="auto"/>
        <w:rPr>
          <w:rFonts w:eastAsia="黑体"/>
          <w:b/>
          <w:sz w:val="28"/>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ind w:firstLine="0" w:firstLineChars="0"/>
        <w:rPr>
          <w:rFonts w:ascii="黑体" w:eastAsia="黑体" w:hAnsi="黑体" w:cs="黑体"/>
          <w:sz w:val="28"/>
        </w:rPr>
      </w:pPr>
    </w:p>
    <w:p>
      <w:pPr>
        <w:spacing w:line="480" w:lineRule="auto"/>
        <w:ind w:firstLine="0" w:firstLineChars="0"/>
        <w:rPr>
          <w:rFonts w:ascii="黑体" w:eastAsia="黑体" w:hAnsi="黑体" w:cs="黑体"/>
          <w:sz w:val="28"/>
        </w:rPr>
      </w:pPr>
    </w:p>
    <w:p>
      <w:pPr>
        <w:spacing w:line="360" w:lineRule="auto"/>
        <w:ind w:firstLine="0" w:firstLineChars="0"/>
        <w:jc w:val="center"/>
        <w:rPr>
          <w:rFonts w:eastAsia="黑体" w:asciiTheme="minorHAnsi" w:hAnsiTheme="minorHAnsi"/>
          <w:b/>
          <w:sz w:val="36"/>
        </w:rPr>
      </w:pPr>
      <w:r>
        <w:rPr>
          <w:rFonts w:eastAsia="黑体" w:asciiTheme="minorHAnsi" w:hAnsiTheme="minorHAnsi" w:hint="eastAsia"/>
          <w:b/>
          <w:sz w:val="36"/>
        </w:rPr>
        <w:t>西南科技大学</w:t>
      </w:r>
    </w:p>
    <w:p>
      <w:pPr>
        <w:spacing w:line="360" w:lineRule="auto"/>
        <w:ind w:firstLine="0" w:firstLineChars="0"/>
        <w:jc w:val="center"/>
        <w:rPr>
          <w:rFonts w:eastAsia="黑体" w:asciiTheme="minorHAnsi" w:hAnsiTheme="minorHAnsi"/>
          <w:b/>
          <w:sz w:val="36"/>
        </w:rPr>
      </w:pPr>
      <w:r>
        <w:rPr>
          <w:rFonts w:eastAsia="黑体" w:asciiTheme="minorHAnsi" w:hAnsiTheme="minorHAnsi" w:hint="eastAsia"/>
          <w:b/>
          <w:sz w:val="36"/>
        </w:rPr>
        <w:t>本科毕业设计（论文）版权使用授权书</w:t>
      </w:r>
    </w:p>
    <w:p>
      <w:pPr>
        <w:spacing w:line="360" w:lineRule="auto"/>
        <w:ind w:firstLine="0" w:firstLineChars="0"/>
        <w:jc w:val="center"/>
        <w:rPr>
          <w:rFonts w:eastAsia="黑体" w:asciiTheme="minorHAnsi" w:hAnsiTheme="minorHAnsi"/>
          <w:b/>
          <w:sz w:val="32"/>
        </w:rPr>
      </w:pPr>
    </w:p>
    <w:p>
      <w:pPr>
        <w:widowControl w:val="0"/>
        <w:adjustRightInd w:val="0"/>
        <w:spacing w:line="360" w:lineRule="auto"/>
        <w:ind w:firstLine="630"/>
        <w:jc w:val="both"/>
        <w:textAlignment w:val="baseline"/>
        <w:rPr>
          <w:rFonts w:cs="Times New Roman"/>
          <w:kern w:val="0"/>
          <w:sz w:val="28"/>
          <w:szCs w:val="20"/>
        </w:rPr>
      </w:pPr>
      <w:r>
        <w:rPr>
          <w:rFonts w:ascii="Times New Roman" w:eastAsia="宋体" w:hAnsi="Times New Roman" w:cs="Times New Roman" w:hint="eastAsia"/>
          <w:kern w:val="0"/>
          <w:sz w:val="28"/>
          <w:szCs w:val="20"/>
          <w:lang w:val="en-US" w:eastAsia="zh-CN" w:bidi="ar-SA"/>
        </w:rP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spacing w:line="240" w:lineRule="auto"/>
        <w:ind w:firstLine="629" w:firstLineChars="0"/>
        <w:rPr>
          <w:rFonts w:ascii="宋体" w:hAnsi="宋体"/>
          <w:sz w:val="28"/>
        </w:rPr>
      </w:pPr>
      <w:r>
        <w:rPr>
          <w:rFonts w:ascii="宋体" w:eastAsia="宋体" w:hAnsi="宋体" w:hint="eastAsia"/>
          <w:b/>
          <w:sz w:val="28"/>
        </w:rPr>
        <w:t>保密</w:t>
      </w:r>
      <w:r>
        <w:rPr>
          <w:rFonts w:ascii="宋体" w:eastAsia="宋体" w:hAnsi="宋体" w:hint="eastAsia"/>
          <w:sz w:val="28"/>
        </w:rPr>
        <w:t>□，在年解密后适用本授权书。</w:t>
      </w:r>
    </w:p>
    <w:p>
      <w:pPr>
        <w:spacing w:line="240" w:lineRule="auto"/>
        <w:ind w:firstLine="629" w:firstLineChars="0"/>
        <w:rPr>
          <w:rFonts w:ascii="宋体" w:hAnsi="宋体"/>
          <w:b/>
          <w:sz w:val="28"/>
        </w:rPr>
      </w:pPr>
      <w:r>
        <w:rPr>
          <w:rFonts w:ascii="宋体" w:eastAsia="宋体" w:hAnsi="宋体" w:hint="eastAsia"/>
          <w:sz w:val="28"/>
        </w:rPr>
        <w:t>本论文属于</w:t>
      </w:r>
    </w:p>
    <w:p>
      <w:pPr>
        <w:spacing w:line="360" w:lineRule="auto"/>
        <w:ind w:firstLine="629" w:firstLineChars="0"/>
        <w:rPr>
          <w:rFonts w:ascii="宋体" w:hAnsi="宋体"/>
          <w:sz w:val="28"/>
        </w:rPr>
      </w:pPr>
      <w:r>
        <w:rPr>
          <w:rFonts w:ascii="宋体" w:eastAsia="宋体" w:hAnsi="宋体" w:hint="eastAsia"/>
          <w:b/>
          <w:sz w:val="28"/>
        </w:rPr>
        <w:t>不保密</w:t>
      </w:r>
      <w:r>
        <w:rPr>
          <w:rFonts w:ascii="宋体" w:eastAsia="宋体" w:hAnsi="宋体" w:hint="eastAsia"/>
          <w:sz w:val="28"/>
        </w:rPr>
        <w:t>□。</w:t>
      </w:r>
    </w:p>
    <w:p>
      <w:pPr>
        <w:spacing w:line="360" w:lineRule="auto"/>
        <w:ind w:firstLine="630" w:firstLineChars="0"/>
        <w:rPr>
          <w:rFonts w:ascii="宋体" w:eastAsiaTheme="minorEastAsia" w:hAnsiTheme="minorHAnsi"/>
          <w:sz w:val="28"/>
        </w:rPr>
      </w:pPr>
      <w:r>
        <w:rPr>
          <w:rFonts w:ascii="宋体" w:eastAsia="宋体" w:hAnsi="宋体" w:hint="eastAsia"/>
          <w:sz w:val="28"/>
        </w:rPr>
        <w:t>（请在以上方框内打“</w:t>
      </w:r>
      <w:r>
        <w:rPr>
          <w:rFonts w:ascii="宋体" w:eastAsia="宋体" w:hAnsi="宋体" w:hint="eastAsia"/>
          <w:b/>
          <w:sz w:val="28"/>
        </w:rPr>
        <w:t>√</w:t>
      </w:r>
      <w:r>
        <w:rPr>
          <w:rFonts w:ascii="宋体" w:eastAsia="宋体" w:hAnsi="宋体" w:hint="eastAsia"/>
          <w:sz w:val="28"/>
        </w:rPr>
        <w:t>”）</w:t>
      </w:r>
    </w:p>
    <w:p>
      <w:pPr>
        <w:spacing w:line="360" w:lineRule="auto"/>
        <w:ind w:firstLine="0" w:firstLineChars="0"/>
        <w:rPr>
          <w:rFonts w:ascii="宋体" w:eastAsiaTheme="minorEastAsia" w:hAnsiTheme="minorHAnsi"/>
          <w:sz w:val="28"/>
        </w:rPr>
      </w:pPr>
    </w:p>
    <w:p>
      <w:pPr>
        <w:spacing w:line="360" w:lineRule="auto"/>
        <w:ind w:firstLine="0" w:firstLineChars="0"/>
        <w:rPr>
          <w:rFonts w:ascii="宋体" w:eastAsiaTheme="minorEastAsia" w:hAnsiTheme="minorHAnsi"/>
          <w:sz w:val="28"/>
        </w:rPr>
      </w:pPr>
    </w:p>
    <w:p>
      <w:pPr>
        <w:spacing w:line="360" w:lineRule="auto"/>
        <w:ind w:firstLine="0" w:firstLineChars="0"/>
        <w:rPr>
          <w:rFonts w:ascii="宋体" w:eastAsiaTheme="minorEastAsia" w:hAnsiTheme="minorHAnsi"/>
          <w:sz w:val="28"/>
        </w:rPr>
      </w:pPr>
    </w:p>
    <w:p>
      <w:pPr>
        <w:spacing w:line="360" w:lineRule="auto"/>
        <w:ind w:firstLine="0" w:firstLineChars="0"/>
        <w:jc w:val="center"/>
        <w:rPr>
          <w:rFonts w:ascii="宋体" w:hAnsi="宋体"/>
          <w:sz w:val="28"/>
        </w:rPr>
      </w:pPr>
      <w:r>
        <w:rPr>
          <w:rFonts w:ascii="宋体" w:eastAsia="宋体" w:hAnsi="宋体" w:hint="eastAsia"/>
          <w:sz w:val="28"/>
        </w:rPr>
        <w:t>作者签名：</w:t>
      </w:r>
      <w:r>
        <w:rPr>
          <w:rFonts w:ascii="宋体" w:eastAsia="宋体" w:hAnsi="宋体" w:hint="eastAsia"/>
          <w:sz w:val="28"/>
          <w:lang w:val="en-US" w:eastAsia="zh-CN"/>
        </w:rPr>
        <w:t xml:space="preserve">                </w:t>
      </w:r>
      <w:r>
        <w:rPr>
          <w:rFonts w:ascii="宋体" w:eastAsia="宋体" w:hAnsi="宋体" w:hint="eastAsia"/>
          <w:sz w:val="28"/>
        </w:rPr>
        <w:t>指导教师签名：</w:t>
      </w:r>
      <w:r>
        <w:rPr>
          <w:rFonts w:ascii="宋体" w:eastAsia="宋体" w:hAnsi="宋体" w:hint="eastAsia"/>
          <w:sz w:val="28"/>
          <w:lang w:val="en-US" w:eastAsia="zh-CN"/>
        </w:rPr>
        <w:t xml:space="preserve">                </w:t>
      </w:r>
    </w:p>
    <w:p>
      <w:pPr>
        <w:spacing w:line="360" w:lineRule="auto"/>
        <w:ind w:firstLine="0" w:firstLineChars="0"/>
        <w:jc w:val="right"/>
        <w:rPr>
          <w:rFonts w:ascii="宋体" w:hAnsi="宋体"/>
          <w:sz w:val="28"/>
        </w:rPr>
      </w:pPr>
    </w:p>
    <w:p>
      <w:pPr>
        <w:spacing w:line="360" w:lineRule="auto"/>
        <w:ind w:firstLine="0" w:firstLineChars="0"/>
        <w:jc w:val="right"/>
        <w:rPr>
          <w:rFonts w:ascii="宋体" w:hAnsi="宋体"/>
          <w:sz w:val="28"/>
        </w:rPr>
      </w:pPr>
      <w:r>
        <w:rPr>
          <w:rFonts w:ascii="宋体" w:eastAsia="宋体" w:hAnsi="宋体" w:hint="eastAsia"/>
          <w:sz w:val="28"/>
        </w:rPr>
        <w:t>日期：</w:t>
      </w:r>
      <w:r>
        <w:rPr>
          <w:rFonts w:ascii="宋体" w:eastAsia="宋体" w:hAnsi="宋体" w:hint="eastAsia"/>
          <w:sz w:val="28"/>
          <w:lang w:val="en-US" w:eastAsia="zh-CN"/>
        </w:rPr>
        <w:t xml:space="preserve">    </w:t>
      </w:r>
      <w:r>
        <w:rPr>
          <w:rFonts w:ascii="宋体" w:eastAsia="宋体" w:hAnsi="宋体" w:hint="eastAsia"/>
          <w:sz w:val="28"/>
        </w:rPr>
        <w:t>年</w:t>
      </w:r>
      <w:r>
        <w:rPr>
          <w:rFonts w:ascii="宋体" w:eastAsia="宋体" w:hAnsi="宋体" w:hint="eastAsia"/>
          <w:sz w:val="28"/>
          <w:lang w:val="en-US" w:eastAsia="zh-CN"/>
        </w:rPr>
        <w:t xml:space="preserve">    </w:t>
      </w:r>
      <w:r>
        <w:rPr>
          <w:rFonts w:ascii="宋体" w:eastAsia="宋体" w:hAnsi="宋体" w:hint="eastAsia"/>
          <w:sz w:val="28"/>
        </w:rPr>
        <w:t>月</w:t>
      </w:r>
      <w:r>
        <w:rPr>
          <w:rFonts w:ascii="宋体" w:eastAsia="宋体" w:hAnsi="宋体" w:hint="eastAsia"/>
          <w:sz w:val="28"/>
          <w:lang w:val="en-US" w:eastAsia="zh-CN"/>
        </w:rPr>
        <w:t xml:space="preserve">    </w:t>
      </w:r>
      <w:r>
        <w:rPr>
          <w:rFonts w:ascii="宋体" w:eastAsia="宋体" w:hAnsi="宋体" w:hint="eastAsia"/>
          <w:sz w:val="28"/>
        </w:rPr>
        <w:t>日</w:t>
      </w:r>
      <w:r>
        <w:rPr>
          <w:rFonts w:ascii="宋体" w:eastAsia="宋体" w:hAnsi="宋体" w:hint="eastAsia"/>
          <w:sz w:val="28"/>
          <w:lang w:val="en-US" w:eastAsia="zh-CN"/>
        </w:rPr>
        <w:t xml:space="preserve">    </w:t>
      </w:r>
      <w:r>
        <w:rPr>
          <w:rFonts w:ascii="宋体" w:eastAsia="宋体" w:hAnsi="宋体" w:hint="eastAsia"/>
          <w:sz w:val="28"/>
        </w:rPr>
        <w:t>日期：</w:t>
      </w:r>
      <w:r>
        <w:rPr>
          <w:rFonts w:ascii="宋体" w:eastAsia="宋体" w:hAnsi="宋体" w:hint="eastAsia"/>
          <w:sz w:val="28"/>
          <w:lang w:val="en-US" w:eastAsia="zh-CN"/>
        </w:rPr>
        <w:t xml:space="preserve">    </w:t>
      </w:r>
      <w:r>
        <w:rPr>
          <w:rFonts w:ascii="宋体" w:eastAsia="宋体" w:hAnsi="宋体" w:hint="eastAsia"/>
          <w:sz w:val="28"/>
        </w:rPr>
        <w:t>年</w:t>
      </w:r>
      <w:r>
        <w:rPr>
          <w:rFonts w:ascii="宋体" w:eastAsia="宋体" w:hAnsi="宋体" w:hint="eastAsia"/>
          <w:sz w:val="28"/>
          <w:lang w:val="en-US" w:eastAsia="zh-CN"/>
        </w:rPr>
        <w:t xml:space="preserve">    </w:t>
      </w:r>
      <w:r>
        <w:rPr>
          <w:rFonts w:ascii="宋体" w:eastAsia="宋体" w:hAnsi="宋体" w:hint="eastAsia"/>
          <w:sz w:val="28"/>
        </w:rPr>
        <w:t>月</w:t>
      </w:r>
      <w:r>
        <w:rPr>
          <w:rFonts w:ascii="宋体" w:eastAsia="宋体" w:hAnsi="宋体" w:hint="eastAsia"/>
          <w:sz w:val="28"/>
          <w:lang w:val="en-US" w:eastAsia="zh-CN"/>
        </w:rPr>
        <w:t xml:space="preserve">    </w:t>
      </w:r>
      <w:r>
        <w:rPr>
          <w:rFonts w:ascii="宋体" w:eastAsia="宋体" w:hAnsi="宋体" w:hint="eastAsia"/>
          <w:sz w:val="28"/>
        </w:rPr>
        <w:t>日</w:t>
      </w:r>
    </w:p>
    <w:p>
      <w:pPr>
        <w:jc w:val="right"/>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城市空巢老人社区居家养老服务问题研究</w:t>
      </w:r>
    </w:p>
    <w:p>
      <w:pPr>
        <w:bidi w:val="0"/>
      </w:pPr>
    </w:p>
    <w:p>
      <w:pPr>
        <w:ind w:left="0" w:firstLine="480" w:leftChars="0" w:firstLineChars="200"/>
        <w:rPr>
          <w:rFonts w:ascii="宋体" w:hAnsi="宋体" w:cs="宋体" w:hint="eastAsia"/>
          <w:szCs w:val="24"/>
        </w:rPr>
      </w:pPr>
      <w:r>
        <w:rPr>
          <w:rFonts w:ascii="黑体" w:eastAsia="黑体" w:hAnsiTheme="minorHAnsi" w:hint="eastAsia"/>
          <w:sz w:val="24"/>
          <w:szCs w:val="24"/>
        </w:rPr>
        <w:t>摘要：</w:t>
      </w:r>
      <w:r>
        <w:rPr>
          <w:rFonts w:ascii="宋体" w:eastAsia="宋体" w:hAnsi="宋体" w:cs="宋体" w:hint="eastAsia"/>
          <w:sz w:val="24"/>
          <w:szCs w:val="24"/>
        </w:rPr>
        <w:t>中国社会正慢慢步入老龄化时期。人口动态，就业多样性的影响以及开放的“第二胎”政策的影响使得传统的基于家庭的家庭养老金模型已经过时，许多老年人需要或处于无人照管的情况。老年人的生活水平急剧下降。然而，由于社会养老金机构的高成本和找床的困难，难以满足巨大的社会需求。在传统的传统家庭养老金和社会机构无法满足对养老金不断增长的需求的情况下，养老金的问题正逐渐从私人问题演变为需要紧急解决方案的公共问题。</w:t>
      </w:r>
    </w:p>
    <w:p>
      <w:pPr>
        <w:ind w:firstLine="480" w:firstLineChars="200"/>
        <w:rPr>
          <w:rFonts w:ascii="宋体" w:hAnsi="宋体" w:cs="宋体" w:hint="eastAsia"/>
          <w:szCs w:val="24"/>
        </w:rPr>
      </w:pPr>
      <w:r>
        <w:rPr>
          <w:rFonts w:ascii="宋体" w:eastAsia="宋体" w:hAnsi="宋体" w:cs="宋体" w:hint="eastAsia"/>
          <w:sz w:val="24"/>
          <w:szCs w:val="24"/>
        </w:rPr>
        <w:t>近年来，社区现在在</w:t>
      </w:r>
      <w:r>
        <w:rPr>
          <w:rFonts w:ascii="宋体" w:eastAsia="宋体" w:hAnsi="宋体" w:cs="宋体" w:hint="eastAsia"/>
          <w:sz w:val="24"/>
          <w:szCs w:val="24"/>
          <w:lang w:eastAsia="zh-CN"/>
        </w:rPr>
        <w:t>广州</w:t>
      </w:r>
      <w:r>
        <w:rPr>
          <w:rFonts w:ascii="宋体" w:eastAsia="宋体" w:hAnsi="宋体" w:cs="宋体" w:hint="eastAsia"/>
          <w:sz w:val="24"/>
          <w:szCs w:val="24"/>
        </w:rPr>
        <w:t>和其他地方赞成一种新型的养老模式-社区家庭养老模式，该模式可以有效地将家庭养老和社会养老的好处结合起来。</w:t>
      </w:r>
    </w:p>
    <w:p>
      <w:pPr>
        <w:spacing w:line="440" w:lineRule="exact"/>
        <w:ind w:left="0" w:firstLine="0" w:leftChars="0" w:firstLineChars="0"/>
        <w:rPr>
          <w:rFonts w:ascii="宋体" w:hAnsi="宋体" w:cs="宋体" w:hint="eastAsia"/>
          <w:color w:val="000000"/>
          <w:szCs w:val="24"/>
        </w:rPr>
      </w:pPr>
      <w:r>
        <w:rPr>
          <w:rFonts w:ascii="宋体" w:eastAsia="宋体" w:hAnsi="宋体" w:cs="宋体" w:hint="eastAsia"/>
          <w:sz w:val="24"/>
          <w:szCs w:val="24"/>
        </w:rPr>
        <w:t>所谓社区家庭养老，是指老人不离家，社区提供社会服务，提供专业服务，以期将安全感与老人的家庭养老相结合。</w:t>
      </w:r>
      <w:r>
        <w:rPr>
          <w:rFonts w:ascii="宋体" w:eastAsia="宋体" w:hAnsi="宋体" w:cs="宋体" w:hint="eastAsia"/>
          <w:sz w:val="24"/>
          <w:szCs w:val="24"/>
          <w:lang w:eastAsia="zh-CN"/>
        </w:rPr>
        <w:t>广州</w:t>
      </w:r>
      <w:r>
        <w:rPr>
          <w:rFonts w:ascii="宋体" w:eastAsia="宋体" w:hAnsi="宋体" w:cs="宋体" w:hint="eastAsia"/>
          <w:sz w:val="24"/>
          <w:szCs w:val="24"/>
        </w:rPr>
        <w:t>市</w:t>
      </w:r>
      <w:r>
        <w:rPr>
          <w:rFonts w:ascii="宋体" w:eastAsia="宋体" w:hAnsi="宋体" w:cs="宋体" w:hint="eastAsia"/>
          <w:sz w:val="24"/>
          <w:szCs w:val="24"/>
          <w:lang w:eastAsia="zh-CN"/>
        </w:rPr>
        <w:t>A社区</w:t>
      </w:r>
      <w:r>
        <w:rPr>
          <w:rFonts w:ascii="宋体" w:eastAsia="宋体" w:hAnsi="宋体" w:cs="宋体" w:hint="eastAsia"/>
          <w:sz w:val="24"/>
          <w:szCs w:val="24"/>
        </w:rPr>
        <w:t>正在积极探索社区型家庭养老服务模式，成立市场公司，组织传统养老服务机构，为老年人提供家庭养老服务社区</w:t>
      </w:r>
      <w:r>
        <w:rPr>
          <w:rFonts w:ascii="宋体" w:eastAsia="宋体" w:hAnsi="宋体" w:cs="宋体" w:hint="eastAsia"/>
          <w:color w:val="000000"/>
          <w:sz w:val="24"/>
          <w:szCs w:val="24"/>
          <w:lang w:val="en-US" w:eastAsia="zh-CN"/>
        </w:rPr>
        <w:t>。</w:t>
      </w:r>
    </w:p>
    <w:p>
      <w:pPr>
        <w:bidi w:val="0"/>
      </w:pPr>
    </w:p>
    <w:p>
      <w:pPr>
        <w:widowControl w:val="0"/>
        <w:spacing w:before="156" w:beforeLines="50" w:after="120" w:afterLines="50" w:line="440" w:lineRule="exact"/>
        <w:ind w:left="0" w:leftChars="0"/>
        <w:jc w:val="both"/>
        <w:rPr>
          <w:rFonts w:ascii="宋体" w:hAnsi="宋体" w:cs="宋体" w:hint="eastAsia"/>
          <w:szCs w:val="24"/>
        </w:rPr>
      </w:pPr>
      <w:r>
        <w:rPr>
          <w:rFonts w:ascii="黑体" w:eastAsia="黑体" w:hAnsi="宋体" w:cstheme="minorBidi" w:hint="eastAsia"/>
          <w:kern w:val="2"/>
          <w:sz w:val="24"/>
          <w:szCs w:val="24"/>
          <w:lang w:val="en-US" w:eastAsia="zh-CN" w:bidi="ar-SA"/>
        </w:rPr>
        <w:t>关键词：</w:t>
      </w:r>
      <w:r>
        <w:rPr>
          <w:rFonts w:ascii="宋体" w:eastAsia="宋体" w:hAnsi="宋体" w:cs="宋体" w:hint="eastAsia"/>
          <w:sz w:val="24"/>
          <w:szCs w:val="24"/>
        </w:rPr>
        <w:t>社区居家养老；市场化运作机制；</w:t>
      </w:r>
      <w:r>
        <w:rPr>
          <w:rFonts w:ascii="宋体" w:eastAsia="宋体" w:hAnsi="宋体" w:cs="宋体" w:hint="eastAsia"/>
          <w:sz w:val="24"/>
          <w:szCs w:val="24"/>
          <w:lang w:eastAsia="zh-CN"/>
        </w:rPr>
        <w:t>A社区</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5"/>
          <w:footerReference w:type="default" r:id="rId16"/>
          <w:pgSz w:w="11906" w:h="16838"/>
          <w:pgMar w:top="1701" w:right="1417" w:bottom="1701" w:left="1417" w:header="1134" w:footer="1134" w:gutter="0"/>
          <w:pgNumType w:fmt="upperRoman" w:start="1"/>
          <w:cols w:num="1" w:space="425"/>
          <w:docGrid w:type="lines" w:linePitch="312" w:charSpace="0"/>
        </w:sectPr>
      </w:pPr>
    </w:p>
    <w:p>
      <w:pPr>
        <w:widowControl w:val="0"/>
        <w:spacing w:before="156" w:beforeLines="50" w:after="120" w:afterLines="50" w:line="440" w:lineRule="exact"/>
        <w:ind w:left="0" w:leftChars="0"/>
        <w:jc w:val="center"/>
        <w:rPr>
          <w:rFonts w:eastAsia="黑体" w:cs="Times New Roman"/>
          <w:b/>
          <w:sz w:val="48"/>
          <w:szCs w:val="48"/>
        </w:rPr>
      </w:pPr>
      <w:r>
        <w:rPr>
          <w:rFonts w:eastAsia="黑体" w:cs="Times New Roman" w:hint="eastAsia"/>
          <w:b/>
          <w:kern w:val="2"/>
          <w:sz w:val="48"/>
          <w:szCs w:val="48"/>
          <w:lang w:val="en-US" w:eastAsia="zh-CN" w:bidi="ar-SA"/>
        </w:rPr>
        <w:t>Research on the community home care service for the empty nest elderly in cities</w:t>
      </w:r>
    </w:p>
    <w:p>
      <w:pPr>
        <w:widowControl w:val="0"/>
        <w:spacing w:after="0" w:line="440" w:lineRule="exact"/>
        <w:ind w:left="0" w:leftChars="0"/>
        <w:jc w:val="center"/>
        <w:rPr>
          <w:rFonts w:ascii="楷体" w:eastAsia="楷体" w:hAnsi="楷体" w:cs="楷体"/>
          <w:color w:val="C00000"/>
          <w:sz w:val="21"/>
          <w:szCs w:val="21"/>
        </w:rPr>
      </w:pPr>
    </w:p>
    <w:p>
      <w:pPr>
        <w:widowControl w:val="0"/>
        <w:spacing w:after="0" w:line="440" w:lineRule="exact"/>
        <w:ind w:left="0" w:firstLine="480" w:leftChars="0" w:firstLineChars="200"/>
        <w:jc w:val="both"/>
        <w:rPr>
          <w:rFonts w:hint="eastAsia"/>
          <w:kern w:val="0"/>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hint="eastAsia"/>
          <w:kern w:val="0"/>
          <w:sz w:val="24"/>
        </w:rPr>
        <w:t>Chinese society is slowly entering an aging period. The population dynamics, the impact of employment diversity and the impact of the open "second child" policy make the traditional family pension model outdated, and many elderly people need or are left unattended. The living standard of the elderly has declined sharply. However, due to the high cost of social pension institutions and the difficulty in finding beds, it is difficult to meet the huge social needs. In the case that the traditional family pension and social institutions cannot meet the growing demand for pension, the problem of pension is gradually evolving from a private problem to a public problem requiring urgent solutions.</w:t>
      </w:r>
    </w:p>
    <w:p>
      <w:pPr>
        <w:widowControl w:val="0"/>
        <w:spacing w:after="0" w:line="440" w:lineRule="exact"/>
        <w:ind w:left="0" w:firstLine="480" w:leftChars="0" w:firstLineChars="200"/>
        <w:jc w:val="both"/>
        <w:rPr>
          <w:rFonts w:hint="eastAsia"/>
          <w:kern w:val="0"/>
        </w:rPr>
      </w:pPr>
      <w:r>
        <w:rPr>
          <w:rFonts w:hint="eastAsia"/>
          <w:kern w:val="0"/>
          <w:sz w:val="24"/>
        </w:rPr>
        <w:t>In recent years, the community is now in favor of a new elderly care model - community family elderly care model in Guangzhou and other places, which can effectively combine the benefits of family elderly care and social elderly care.</w:t>
      </w:r>
    </w:p>
    <w:p>
      <w:pPr>
        <w:widowControl w:val="0"/>
        <w:spacing w:after="0" w:line="440" w:lineRule="exact"/>
        <w:ind w:left="0" w:firstLine="480" w:leftChars="0" w:firstLineChars="200"/>
        <w:jc w:val="both"/>
        <w:rPr>
          <w:rFonts w:eastAsiaTheme="minorEastAsia" w:cs="Times New Roman" w:hint="eastAsia"/>
        </w:rPr>
      </w:pPr>
      <w:r>
        <w:rPr>
          <w:rFonts w:hint="eastAsia"/>
          <w:kern w:val="0"/>
          <w:sz w:val="24"/>
        </w:rPr>
        <w:t>The so-called community family support means that the elderly do not leave home, and the community provides social services and professional services to combine the sense of security with the elderly's family support. Guangzhou Community A is actively exploring the community based family elderly care service model, establishing market companies, organizing traditional elderly care service institutions, and providing family elderly care service communities for the elderly</w:t>
      </w:r>
      <w:r>
        <w:rPr>
          <w:rFonts w:ascii="Times New Roman" w:hAnsi="Times New Roman" w:eastAsiaTheme="minorEastAsia" w:cs="Times New Roman" w:hint="eastAsia"/>
          <w:kern w:val="2"/>
          <w:sz w:val="24"/>
          <w:szCs w:val="24"/>
          <w:lang w:val="en-US" w:eastAsia="zh-CN" w:bidi="ar-SA"/>
        </w:rPr>
        <w:t>.</w:t>
      </w: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hint="eastAsia"/>
          <w:szCs w:val="21"/>
        </w:rPr>
      </w:pPr>
      <w:r>
        <w:rPr>
          <w:rFonts w:ascii="Times New Roman" w:eastAsia="黑体" w:hAnsi="Times New Roman" w:cs="Times New Roman"/>
          <w:b/>
          <w:kern w:val="2"/>
          <w:sz w:val="24"/>
          <w:szCs w:val="24"/>
          <w:lang w:val="en-US" w:eastAsia="zh-CN" w:bidi="ar-SA"/>
        </w:rPr>
        <w:t>Key words:</w:t>
      </w:r>
      <w:r>
        <w:rPr>
          <w:rFonts w:hint="eastAsia"/>
          <w:bCs/>
          <w:kern w:val="0"/>
          <w:sz w:val="24"/>
          <w:szCs w:val="20"/>
        </w:rPr>
        <w:t>Community home care; Market oriented operation mechanism; Community A</w:t>
      </w:r>
    </w:p>
    <w:p>
      <w:pPr>
        <w:widowControl w:val="0"/>
        <w:spacing w:after="0" w:line="440" w:lineRule="exact"/>
        <w:ind w:left="0" w:leftChars="0"/>
        <w:jc w:val="both"/>
        <w:rPr>
          <w:rFonts w:hint="eastAsia"/>
          <w:szCs w:val="21"/>
        </w:rPr>
        <w:sectPr>
          <w:headerReference w:type="default" r:id="rId17"/>
          <w:footerReference w:type="default" r:id="rId18"/>
          <w:pgSz w:w="11906" w:h="16838"/>
          <w:pgMar w:top="1701" w:right="1417" w:bottom="1701" w:left="1417" w:header="1134" w:footer="1134" w:gutter="0"/>
          <w:pgNumType w:fmt="upperRoman" w:start="1"/>
          <w:cols w:num="1" w:space="425"/>
          <w:docGrid w:type="lines" w:linePitch="312" w:charSpace="0"/>
        </w:sectPr>
      </w:pPr>
    </w:p>
    <w:p>
      <w:pPr>
        <w:pStyle w:val="1-1"/>
        <w:ind w:left="0" w:firstLine="0" w:leftChars="0" w:firstLineChars="0"/>
        <w:jc w:val="center"/>
        <w:rPr>
          <w:sz w:val="36"/>
          <w:szCs w:val="36"/>
        </w:rPr>
      </w:pPr>
      <w:bookmarkStart w:id="59" w:name="_Toc7340"/>
      <w:bookmarkStart w:id="60" w:name="_Toc23302"/>
      <w:bookmarkStart w:id="61" w:name="_Toc32643"/>
      <w:bookmarkStart w:id="62" w:name="_Toc27998"/>
      <w:bookmarkStart w:id="63" w:name="_Toc12022"/>
      <w:bookmarkStart w:id="64" w:name="_Toc10045"/>
      <w:bookmarkStart w:id="65" w:name="_Toc16226"/>
      <w:bookmarkStart w:id="66" w:name="_Toc29368"/>
      <w:bookmarkStart w:id="67" w:name="_Toc11142"/>
      <w:bookmarkStart w:id="68" w:name="_Toc14968"/>
      <w:bookmarkStart w:id="69" w:name="_Toc28359"/>
      <w:bookmarkStart w:id="70" w:name="_Toc5198"/>
      <w:bookmarkStart w:id="71" w:name="_Toc25213"/>
      <w:bookmarkStart w:id="72" w:name="_Toc20395"/>
      <w:bookmarkStart w:id="73" w:name="_Toc26125"/>
      <w:bookmarkStart w:id="74" w:name="_Toc11840"/>
      <w:bookmarkStart w:id="75" w:name="_Toc31633"/>
      <w:bookmarkStart w:id="76" w:name="_Toc14980"/>
      <w:bookmarkStart w:id="77" w:name="_Toc2878"/>
      <w:bookmarkStart w:id="78" w:name="_Toc30292"/>
      <w:bookmarkStart w:id="79" w:name="_Toc9825"/>
      <w:bookmarkStart w:id="80" w:name="_Toc22889"/>
      <w:bookmarkStart w:id="81" w:name="_Toc12799"/>
      <w:bookmarkStart w:id="82" w:name="_Toc22557"/>
      <w:bookmarkStart w:id="83" w:name="_Toc19007"/>
      <w:bookmarkStart w:id="84" w:name="_Toc25328"/>
      <w:bookmarkStart w:id="85" w:name="_Toc28931"/>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pPr>
        <w:pStyle w:val="TOC1"/>
        <w:tabs>
          <w:tab w:val="right" w:leader="dot" w:pos="9072"/>
        </w:tabs>
      </w:pPr>
      <w:r>
        <w:rPr>
          <w:rFonts w:eastAsia="黑体"/>
          <w:b/>
          <w:sz w:val="36"/>
        </w:rPr>
        <w:fldChar w:fldCharType="begin"/>
      </w:r>
      <w:r>
        <w:rPr>
          <w:rFonts w:eastAsia="黑体"/>
          <w:b/>
          <w:sz w:val="36"/>
        </w:rPr>
        <w:instrText xml:space="preserve">TOC \o "1-3" \h \u </w:instrText>
      </w:r>
      <w:r>
        <w:rPr>
          <w:rFonts w:eastAsia="黑体"/>
          <w:b/>
          <w:sz w:val="36"/>
        </w:rPr>
        <w:fldChar w:fldCharType="separate"/>
      </w:r>
      <w:hyperlink w:anchor="_Toc3528" w:history="1">
        <w:r>
          <w:rPr>
            <w:rFonts w:ascii="黑体" w:eastAsia="黑体" w:hAnsi="黑体" w:cs="宋体" w:hint="eastAsia"/>
          </w:rPr>
          <w:t xml:space="preserve">第１章 </w:t>
        </w:r>
        <w:r>
          <w:rPr>
            <w:rFonts w:hint="eastAsia"/>
          </w:rPr>
          <w:t>绪论</w:t>
        </w:r>
        <w:r>
          <w:tab/>
        </w:r>
        <w:r>
          <w:fldChar w:fldCharType="begin"/>
        </w:r>
        <w:r>
          <w:instrText xml:space="preserve"> PAGEREF _Toc3528 \h </w:instrText>
        </w:r>
        <w:r>
          <w:fldChar w:fldCharType="separate"/>
        </w:r>
        <w:r>
          <w:t>1</w:t>
        </w:r>
        <w:r>
          <w:fldChar w:fldCharType="end"/>
        </w:r>
      </w:hyperlink>
    </w:p>
    <w:p>
      <w:pPr>
        <w:pStyle w:val="TOC2"/>
        <w:tabs>
          <w:tab w:val="right" w:leader="dot" w:pos="9072"/>
        </w:tabs>
      </w:pPr>
      <w:hyperlink w:anchor="_Toc6202" w:history="1">
        <w:r>
          <w:rPr>
            <w:rFonts w:ascii="黑体" w:eastAsia="黑体" w:hAnsi="黑体" w:cs="宋体" w:hint="eastAsia"/>
          </w:rPr>
          <w:t xml:space="preserve">1.1 </w:t>
        </w:r>
        <w:r>
          <w:rPr>
            <w:rFonts w:hint="eastAsia"/>
          </w:rPr>
          <w:t>研究背景</w:t>
        </w:r>
        <w:r>
          <w:tab/>
        </w:r>
        <w:r>
          <w:fldChar w:fldCharType="begin"/>
        </w:r>
        <w:r>
          <w:instrText xml:space="preserve"> PAGEREF _Toc6202 \h </w:instrText>
        </w:r>
        <w:r>
          <w:fldChar w:fldCharType="separate"/>
        </w:r>
        <w:r>
          <w:t>1</w:t>
        </w:r>
        <w:r>
          <w:fldChar w:fldCharType="end"/>
        </w:r>
      </w:hyperlink>
    </w:p>
    <w:p>
      <w:pPr>
        <w:pStyle w:val="TOC2"/>
        <w:tabs>
          <w:tab w:val="right" w:leader="dot" w:pos="9072"/>
        </w:tabs>
      </w:pPr>
      <w:hyperlink w:anchor="_Toc11477" w:history="1">
        <w:r>
          <w:rPr>
            <w:rFonts w:ascii="黑体" w:eastAsia="黑体" w:hAnsi="黑体" w:cs="宋体" w:hint="eastAsia"/>
          </w:rPr>
          <w:t xml:space="preserve">1.2 </w:t>
        </w:r>
        <w:r>
          <w:rPr>
            <w:rFonts w:hint="eastAsia"/>
          </w:rPr>
          <w:t>研究意义</w:t>
        </w:r>
        <w:r>
          <w:tab/>
        </w:r>
        <w:r>
          <w:fldChar w:fldCharType="begin"/>
        </w:r>
        <w:r>
          <w:instrText xml:space="preserve"> PAGEREF _Toc11477 \h </w:instrText>
        </w:r>
        <w:r>
          <w:fldChar w:fldCharType="separate"/>
        </w:r>
        <w:r>
          <w:t>1</w:t>
        </w:r>
        <w:r>
          <w:fldChar w:fldCharType="end"/>
        </w:r>
      </w:hyperlink>
    </w:p>
    <w:p>
      <w:pPr>
        <w:pStyle w:val="TOC2"/>
        <w:tabs>
          <w:tab w:val="right" w:leader="dot" w:pos="9072"/>
        </w:tabs>
      </w:pPr>
      <w:hyperlink w:anchor="_Toc4257" w:history="1">
        <w:r>
          <w:rPr>
            <w:rFonts w:ascii="黑体" w:eastAsia="黑体" w:hAnsi="黑体" w:cs="宋体" w:hint="eastAsia"/>
          </w:rPr>
          <w:t xml:space="preserve">1.3 </w:t>
        </w:r>
        <w:r>
          <w:rPr>
            <w:rFonts w:hint="eastAsia"/>
          </w:rPr>
          <w:t>文献综述</w:t>
        </w:r>
        <w:r>
          <w:tab/>
        </w:r>
        <w:r>
          <w:fldChar w:fldCharType="begin"/>
        </w:r>
        <w:r>
          <w:instrText xml:space="preserve"> PAGEREF _Toc4257 \h </w:instrText>
        </w:r>
        <w:r>
          <w:fldChar w:fldCharType="separate"/>
        </w:r>
        <w:r>
          <w:t>2</w:t>
        </w:r>
        <w:r>
          <w:fldChar w:fldCharType="end"/>
        </w:r>
      </w:hyperlink>
    </w:p>
    <w:p>
      <w:pPr>
        <w:pStyle w:val="TOC2"/>
        <w:tabs>
          <w:tab w:val="right" w:leader="dot" w:pos="9072"/>
        </w:tabs>
      </w:pPr>
      <w:hyperlink w:anchor="_Toc2068" w:history="1">
        <w:r>
          <w:rPr>
            <w:rFonts w:ascii="黑体" w:eastAsia="黑体" w:hAnsi="黑体" w:cs="宋体" w:hint="eastAsia"/>
          </w:rPr>
          <w:t xml:space="preserve">1.4 </w:t>
        </w:r>
        <w:r>
          <w:rPr>
            <w:rFonts w:hint="eastAsia"/>
          </w:rPr>
          <w:t>研究内容</w:t>
        </w:r>
        <w:r>
          <w:tab/>
        </w:r>
        <w:r>
          <w:fldChar w:fldCharType="begin"/>
        </w:r>
        <w:r>
          <w:instrText xml:space="preserve"> PAGEREF _Toc2068 \h </w:instrText>
        </w:r>
        <w:r>
          <w:fldChar w:fldCharType="separate"/>
        </w:r>
        <w:r>
          <w:t>2</w:t>
        </w:r>
        <w:r>
          <w:fldChar w:fldCharType="end"/>
        </w:r>
      </w:hyperlink>
    </w:p>
    <w:p>
      <w:pPr>
        <w:pStyle w:val="TOC2"/>
        <w:tabs>
          <w:tab w:val="right" w:leader="dot" w:pos="9072"/>
        </w:tabs>
      </w:pPr>
      <w:hyperlink w:anchor="_Toc25129" w:history="1">
        <w:r>
          <w:rPr>
            <w:rFonts w:ascii="黑体" w:eastAsia="黑体" w:hAnsi="黑体" w:cs="宋体" w:hint="eastAsia"/>
          </w:rPr>
          <w:t xml:space="preserve">1.5 </w:t>
        </w:r>
        <w:r>
          <w:rPr>
            <w:rFonts w:hint="eastAsia"/>
          </w:rPr>
          <w:t>研究方法</w:t>
        </w:r>
        <w:bookmarkStart w:id="86" w:name="_GoBack"/>
        <w:bookmarkEnd w:id="86"/>
        <w:r>
          <w:tab/>
        </w:r>
        <w:r>
          <w:fldChar w:fldCharType="begin"/>
        </w:r>
        <w:r>
          <w:instrText xml:space="preserve"> PAGEREF _Toc25129 \h </w:instrText>
        </w:r>
        <w:r>
          <w:fldChar w:fldCharType="separate"/>
        </w:r>
        <w:r>
          <w:t>3</w:t>
        </w:r>
        <w:r>
          <w:fldChar w:fldCharType="end"/>
        </w:r>
      </w:hyperlink>
    </w:p>
    <w:p>
      <w:pPr>
        <w:pStyle w:val="TOC1"/>
        <w:tabs>
          <w:tab w:val="right" w:leader="dot" w:pos="9072"/>
        </w:tabs>
      </w:pPr>
      <w:hyperlink w:anchor="_Toc22474" w:history="1">
        <w:r>
          <w:rPr>
            <w:rFonts w:ascii="黑体" w:eastAsia="黑体" w:hAnsi="黑体" w:cs="宋体" w:hint="eastAsia"/>
          </w:rPr>
          <w:t xml:space="preserve">第２章 </w:t>
        </w:r>
        <w:r>
          <w:rPr>
            <w:rFonts w:hint="eastAsia"/>
            <w:lang w:eastAsia="zh-CN"/>
          </w:rPr>
          <w:t>广州</w:t>
        </w:r>
        <w:r>
          <w:rPr>
            <w:rFonts w:hint="eastAsia"/>
          </w:rPr>
          <w:t>市金祝城市社区养老服务现状</w:t>
        </w:r>
        <w:r>
          <w:tab/>
        </w:r>
        <w:r>
          <w:fldChar w:fldCharType="begin"/>
        </w:r>
        <w:r>
          <w:instrText xml:space="preserve"> PAGEREF _Toc22474 \h </w:instrText>
        </w:r>
        <w:r>
          <w:fldChar w:fldCharType="separate"/>
        </w:r>
        <w:r>
          <w:t>4</w:t>
        </w:r>
        <w:r>
          <w:fldChar w:fldCharType="end"/>
        </w:r>
      </w:hyperlink>
    </w:p>
    <w:p>
      <w:pPr>
        <w:pStyle w:val="TOC2"/>
        <w:tabs>
          <w:tab w:val="right" w:leader="dot" w:pos="9072"/>
        </w:tabs>
      </w:pPr>
      <w:hyperlink w:anchor="_Toc23475" w:history="1">
        <w:r>
          <w:rPr>
            <w:rFonts w:ascii="黑体" w:eastAsia="黑体" w:hAnsi="黑体" w:cs="宋体" w:hint="eastAsia"/>
          </w:rPr>
          <w:t xml:space="preserve">2.1 </w:t>
        </w:r>
        <w:r>
          <w:rPr>
            <w:rFonts w:hint="eastAsia"/>
            <w:lang w:eastAsia="zh-CN"/>
          </w:rPr>
          <w:t>广州</w:t>
        </w:r>
        <w:r>
          <w:rPr>
            <w:rFonts w:hint="eastAsia"/>
          </w:rPr>
          <w:t>市</w:t>
        </w:r>
        <w:r>
          <w:rPr>
            <w:rFonts w:hint="eastAsia"/>
            <w:lang w:eastAsia="zh-CN"/>
          </w:rPr>
          <w:t>A社区</w:t>
        </w:r>
        <w:r>
          <w:rPr>
            <w:rFonts w:hint="eastAsia"/>
          </w:rPr>
          <w:t>概况</w:t>
        </w:r>
        <w:r>
          <w:tab/>
        </w:r>
        <w:r>
          <w:fldChar w:fldCharType="begin"/>
        </w:r>
        <w:r>
          <w:instrText xml:space="preserve"> PAGEREF _Toc23475 \h </w:instrText>
        </w:r>
        <w:r>
          <w:fldChar w:fldCharType="separate"/>
        </w:r>
        <w:r>
          <w:t>4</w:t>
        </w:r>
        <w:r>
          <w:fldChar w:fldCharType="end"/>
        </w:r>
      </w:hyperlink>
    </w:p>
    <w:p>
      <w:pPr>
        <w:pStyle w:val="TOC2"/>
        <w:tabs>
          <w:tab w:val="right" w:leader="dot" w:pos="9072"/>
        </w:tabs>
      </w:pPr>
      <w:hyperlink w:anchor="_Toc4165" w:history="1">
        <w:r>
          <w:rPr>
            <w:rFonts w:ascii="黑体" w:eastAsia="黑体" w:hAnsi="黑体" w:cs="宋体" w:hint="eastAsia"/>
          </w:rPr>
          <w:t xml:space="preserve">2.2 </w:t>
        </w:r>
        <w:r>
          <w:rPr>
            <w:rFonts w:hint="eastAsia"/>
            <w:lang w:eastAsia="zh-CN"/>
          </w:rPr>
          <w:t>A社区</w:t>
        </w:r>
        <w:r>
          <w:rPr>
            <w:rFonts w:hint="eastAsia"/>
          </w:rPr>
          <w:t>养老服务中心的建设情况</w:t>
        </w:r>
        <w:r>
          <w:tab/>
        </w:r>
        <w:r>
          <w:fldChar w:fldCharType="begin"/>
        </w:r>
        <w:r>
          <w:instrText xml:space="preserve"> PAGEREF _Toc4165 \h </w:instrText>
        </w:r>
        <w:r>
          <w:fldChar w:fldCharType="separate"/>
        </w:r>
        <w:r>
          <w:t>4</w:t>
        </w:r>
        <w:r>
          <w:fldChar w:fldCharType="end"/>
        </w:r>
      </w:hyperlink>
    </w:p>
    <w:p>
      <w:pPr>
        <w:pStyle w:val="TOC1"/>
        <w:tabs>
          <w:tab w:val="right" w:leader="dot" w:pos="9072"/>
        </w:tabs>
      </w:pPr>
      <w:hyperlink w:anchor="_Toc9627" w:history="1">
        <w:r>
          <w:rPr>
            <w:rFonts w:ascii="黑体" w:eastAsia="黑体" w:hAnsi="黑体" w:cs="宋体" w:hint="eastAsia"/>
          </w:rPr>
          <w:t xml:space="preserve">第３章 </w:t>
        </w:r>
        <w:r>
          <w:rPr>
            <w:rFonts w:hint="eastAsia"/>
            <w:lang w:eastAsia="zh-CN"/>
          </w:rPr>
          <w:t>A社区</w:t>
        </w:r>
        <w:r>
          <w:rPr>
            <w:rFonts w:hint="eastAsia"/>
          </w:rPr>
          <w:t>居家养老服务中存在问题及其原因分析</w:t>
        </w:r>
        <w:r>
          <w:tab/>
        </w:r>
        <w:r>
          <w:fldChar w:fldCharType="begin"/>
        </w:r>
        <w:r>
          <w:instrText xml:space="preserve"> PAGEREF _Toc9627 \h </w:instrText>
        </w:r>
        <w:r>
          <w:fldChar w:fldCharType="separate"/>
        </w:r>
        <w:r>
          <w:t>6</w:t>
        </w:r>
        <w:r>
          <w:fldChar w:fldCharType="end"/>
        </w:r>
      </w:hyperlink>
    </w:p>
    <w:p>
      <w:pPr>
        <w:pStyle w:val="TOC2"/>
        <w:tabs>
          <w:tab w:val="right" w:leader="dot" w:pos="9072"/>
        </w:tabs>
      </w:pPr>
      <w:hyperlink w:anchor="_Toc12456" w:history="1">
        <w:r>
          <w:rPr>
            <w:rFonts w:ascii="黑体" w:eastAsia="黑体" w:hAnsi="黑体" w:cs="宋体" w:hint="eastAsia"/>
          </w:rPr>
          <w:t xml:space="preserve">3.1 </w:t>
        </w:r>
        <w:r>
          <w:rPr>
            <w:rFonts w:hint="eastAsia"/>
          </w:rPr>
          <w:t>居家养老服务中心存在的问题</w:t>
        </w:r>
        <w:r>
          <w:tab/>
        </w:r>
        <w:r>
          <w:fldChar w:fldCharType="begin"/>
        </w:r>
        <w:r>
          <w:instrText xml:space="preserve"> PAGEREF _Toc12456 \h </w:instrText>
        </w:r>
        <w:r>
          <w:fldChar w:fldCharType="separate"/>
        </w:r>
        <w:r>
          <w:t>6</w:t>
        </w:r>
        <w:r>
          <w:fldChar w:fldCharType="end"/>
        </w:r>
      </w:hyperlink>
    </w:p>
    <w:p>
      <w:pPr>
        <w:pStyle w:val="TOC3"/>
        <w:tabs>
          <w:tab w:val="right" w:leader="dot" w:pos="9072"/>
        </w:tabs>
      </w:pPr>
      <w:hyperlink w:anchor="_Toc16839" w:history="1">
        <w:r>
          <w:rPr>
            <w:rFonts w:ascii="黑体" w:eastAsia="黑体" w:hAnsi="黑体" w:cs="宋体" w:hint="eastAsia"/>
          </w:rPr>
          <w:t xml:space="preserve">3.1.1 </w:t>
        </w:r>
        <w:r>
          <w:rPr>
            <w:rFonts w:hint="default"/>
          </w:rPr>
          <w:t>居家养老中心硬件设施不完善</w:t>
        </w:r>
        <w:r>
          <w:tab/>
        </w:r>
        <w:r>
          <w:fldChar w:fldCharType="begin"/>
        </w:r>
        <w:r>
          <w:instrText xml:space="preserve"> PAGEREF _Toc16839 \h </w:instrText>
        </w:r>
        <w:r>
          <w:fldChar w:fldCharType="separate"/>
        </w:r>
        <w:r>
          <w:t>6</w:t>
        </w:r>
        <w:r>
          <w:fldChar w:fldCharType="end"/>
        </w:r>
      </w:hyperlink>
    </w:p>
    <w:p>
      <w:pPr>
        <w:pStyle w:val="TOC3"/>
        <w:tabs>
          <w:tab w:val="right" w:leader="dot" w:pos="9072"/>
        </w:tabs>
      </w:pPr>
      <w:hyperlink w:anchor="_Toc32071" w:history="1">
        <w:r>
          <w:rPr>
            <w:rFonts w:ascii="黑体" w:eastAsia="黑体" w:hAnsi="黑体" w:cs="宋体" w:hint="eastAsia"/>
          </w:rPr>
          <w:t xml:space="preserve">3.1.2 </w:t>
        </w:r>
        <w:r>
          <w:rPr>
            <w:rFonts w:hint="eastAsia"/>
          </w:rPr>
          <w:t>资金来源渠道少，限制服务提升</w:t>
        </w:r>
        <w:r>
          <w:tab/>
        </w:r>
        <w:r>
          <w:fldChar w:fldCharType="begin"/>
        </w:r>
        <w:r>
          <w:instrText xml:space="preserve"> PAGEREF _Toc32071 \h </w:instrText>
        </w:r>
        <w:r>
          <w:fldChar w:fldCharType="separate"/>
        </w:r>
        <w:r>
          <w:t>6</w:t>
        </w:r>
        <w:r>
          <w:fldChar w:fldCharType="end"/>
        </w:r>
      </w:hyperlink>
    </w:p>
    <w:p>
      <w:pPr>
        <w:pStyle w:val="TOC3"/>
        <w:tabs>
          <w:tab w:val="right" w:leader="dot" w:pos="9072"/>
        </w:tabs>
      </w:pPr>
      <w:hyperlink w:anchor="_Toc11547" w:history="1">
        <w:r>
          <w:rPr>
            <w:rFonts w:ascii="黑体" w:eastAsia="黑体" w:hAnsi="黑体" w:cs="宋体" w:hint="eastAsia"/>
          </w:rPr>
          <w:t xml:space="preserve">3.1.3 </w:t>
        </w:r>
        <w:r>
          <w:rPr>
            <w:rFonts w:hint="eastAsia"/>
          </w:rPr>
          <w:t>养老服务人员专业程度不高</w:t>
        </w:r>
        <w:r>
          <w:tab/>
        </w:r>
        <w:r>
          <w:fldChar w:fldCharType="begin"/>
        </w:r>
        <w:r>
          <w:instrText xml:space="preserve"> PAGEREF _Toc11547 \h </w:instrText>
        </w:r>
        <w:r>
          <w:fldChar w:fldCharType="separate"/>
        </w:r>
        <w:r>
          <w:t>7</w:t>
        </w:r>
        <w:r>
          <w:fldChar w:fldCharType="end"/>
        </w:r>
      </w:hyperlink>
    </w:p>
    <w:p>
      <w:pPr>
        <w:pStyle w:val="TOC2"/>
        <w:tabs>
          <w:tab w:val="right" w:leader="dot" w:pos="9072"/>
        </w:tabs>
      </w:pPr>
      <w:hyperlink w:anchor="_Toc10709" w:history="1">
        <w:r>
          <w:rPr>
            <w:rFonts w:ascii="黑体" w:eastAsia="黑体" w:hAnsi="黑体" w:cs="宋体" w:hint="eastAsia"/>
          </w:rPr>
          <w:t xml:space="preserve">3.2 </w:t>
        </w:r>
        <w:r>
          <w:rPr>
            <w:rFonts w:hint="eastAsia"/>
          </w:rPr>
          <w:t>社区居家养老服务中存在问题的原因</w:t>
        </w:r>
        <w:r>
          <w:tab/>
        </w:r>
        <w:r>
          <w:fldChar w:fldCharType="begin"/>
        </w:r>
        <w:r>
          <w:instrText xml:space="preserve"> PAGEREF _Toc10709 \h </w:instrText>
        </w:r>
        <w:r>
          <w:fldChar w:fldCharType="separate"/>
        </w:r>
        <w:r>
          <w:t>7</w:t>
        </w:r>
        <w:r>
          <w:fldChar w:fldCharType="end"/>
        </w:r>
      </w:hyperlink>
    </w:p>
    <w:p>
      <w:pPr>
        <w:pStyle w:val="TOC3"/>
        <w:tabs>
          <w:tab w:val="right" w:leader="dot" w:pos="9072"/>
        </w:tabs>
      </w:pPr>
      <w:hyperlink w:anchor="_Toc13684" w:history="1">
        <w:r>
          <w:rPr>
            <w:rFonts w:ascii="黑体" w:eastAsia="黑体" w:hAnsi="黑体" w:cs="宋体" w:hint="eastAsia"/>
          </w:rPr>
          <w:t xml:space="preserve">3.2.1 </w:t>
        </w:r>
        <w:r>
          <w:rPr>
            <w:rFonts w:hint="eastAsia"/>
          </w:rPr>
          <w:t>家庭、老年人自身原因</w:t>
        </w:r>
        <w:r>
          <w:tab/>
        </w:r>
        <w:r>
          <w:fldChar w:fldCharType="begin"/>
        </w:r>
        <w:r>
          <w:instrText xml:space="preserve"> PAGEREF _Toc13684 \h </w:instrText>
        </w:r>
        <w:r>
          <w:fldChar w:fldCharType="separate"/>
        </w:r>
        <w:r>
          <w:t>7</w:t>
        </w:r>
        <w:r>
          <w:fldChar w:fldCharType="end"/>
        </w:r>
      </w:hyperlink>
    </w:p>
    <w:p>
      <w:pPr>
        <w:pStyle w:val="TOC3"/>
        <w:tabs>
          <w:tab w:val="right" w:leader="dot" w:pos="9072"/>
        </w:tabs>
      </w:pPr>
      <w:hyperlink w:anchor="_Toc23011" w:history="1">
        <w:r>
          <w:rPr>
            <w:rFonts w:ascii="黑体" w:eastAsia="黑体" w:hAnsi="黑体" w:cs="宋体" w:hint="eastAsia"/>
          </w:rPr>
          <w:t xml:space="preserve">3.2.2 </w:t>
        </w:r>
        <w:r>
          <w:rPr>
            <w:rFonts w:hint="eastAsia"/>
          </w:rPr>
          <w:t>政府层面的原因</w:t>
        </w:r>
        <w:r>
          <w:tab/>
        </w:r>
        <w:r>
          <w:fldChar w:fldCharType="begin"/>
        </w:r>
        <w:r>
          <w:instrText xml:space="preserve"> PAGEREF _Toc23011 \h </w:instrText>
        </w:r>
        <w:r>
          <w:fldChar w:fldCharType="separate"/>
        </w:r>
        <w:r>
          <w:t>8</w:t>
        </w:r>
        <w:r>
          <w:fldChar w:fldCharType="end"/>
        </w:r>
      </w:hyperlink>
    </w:p>
    <w:p>
      <w:pPr>
        <w:pStyle w:val="TOC1"/>
        <w:tabs>
          <w:tab w:val="right" w:leader="dot" w:pos="9072"/>
        </w:tabs>
      </w:pPr>
      <w:hyperlink w:anchor="_Toc28829" w:history="1">
        <w:r>
          <w:rPr>
            <w:rFonts w:ascii="黑体" w:eastAsia="黑体" w:hAnsi="黑体" w:cs="宋体" w:hint="eastAsia"/>
          </w:rPr>
          <w:t xml:space="preserve">第４章 </w:t>
        </w:r>
        <w:r>
          <w:rPr>
            <w:rFonts w:hint="eastAsia"/>
          </w:rPr>
          <w:t>完善城市社区居家养老服务的对策建议</w:t>
        </w:r>
        <w:r>
          <w:tab/>
        </w:r>
        <w:r>
          <w:fldChar w:fldCharType="begin"/>
        </w:r>
        <w:r>
          <w:instrText xml:space="preserve"> PAGEREF _Toc28829 \h </w:instrText>
        </w:r>
        <w:r>
          <w:fldChar w:fldCharType="separate"/>
        </w:r>
        <w:r>
          <w:t>9</w:t>
        </w:r>
        <w:r>
          <w:fldChar w:fldCharType="end"/>
        </w:r>
      </w:hyperlink>
    </w:p>
    <w:p>
      <w:pPr>
        <w:pStyle w:val="TOC2"/>
        <w:tabs>
          <w:tab w:val="right" w:leader="dot" w:pos="9072"/>
        </w:tabs>
      </w:pPr>
      <w:hyperlink w:anchor="_Toc21130" w:history="1">
        <w:r>
          <w:rPr>
            <w:rFonts w:ascii="黑体" w:eastAsia="黑体" w:hAnsi="黑体" w:cs="宋体" w:hint="eastAsia"/>
          </w:rPr>
          <w:t xml:space="preserve">4.1 </w:t>
        </w:r>
        <w:r>
          <w:rPr>
            <w:rFonts w:hint="eastAsia"/>
          </w:rPr>
          <w:t>建立多元参与的服务体系</w:t>
        </w:r>
        <w:r>
          <w:tab/>
        </w:r>
        <w:r>
          <w:fldChar w:fldCharType="begin"/>
        </w:r>
        <w:r>
          <w:instrText xml:space="preserve"> PAGEREF _Toc21130 \h </w:instrText>
        </w:r>
        <w:r>
          <w:fldChar w:fldCharType="separate"/>
        </w:r>
        <w:r>
          <w:t>9</w:t>
        </w:r>
        <w:r>
          <w:fldChar w:fldCharType="end"/>
        </w:r>
      </w:hyperlink>
    </w:p>
    <w:p>
      <w:pPr>
        <w:pStyle w:val="TOC2"/>
        <w:tabs>
          <w:tab w:val="right" w:leader="dot" w:pos="9072"/>
        </w:tabs>
      </w:pPr>
      <w:hyperlink w:anchor="_Toc25569" w:history="1">
        <w:r>
          <w:rPr>
            <w:rFonts w:ascii="黑体" w:eastAsia="黑体" w:hAnsi="黑体" w:cs="宋体" w:hint="eastAsia"/>
          </w:rPr>
          <w:t xml:space="preserve">4.2 </w:t>
        </w:r>
        <w:r>
          <w:rPr>
            <w:rFonts w:hint="eastAsia"/>
          </w:rPr>
          <w:t>资金支持，加大政府财政拨款力度</w:t>
        </w:r>
        <w:r>
          <w:tab/>
        </w:r>
        <w:r>
          <w:fldChar w:fldCharType="begin"/>
        </w:r>
        <w:r>
          <w:instrText xml:space="preserve"> PAGEREF _Toc25569 \h </w:instrText>
        </w:r>
        <w:r>
          <w:fldChar w:fldCharType="separate"/>
        </w:r>
        <w:r>
          <w:t>9</w:t>
        </w:r>
        <w:r>
          <w:fldChar w:fldCharType="end"/>
        </w:r>
      </w:hyperlink>
    </w:p>
    <w:p>
      <w:pPr>
        <w:pStyle w:val="TOC3"/>
        <w:tabs>
          <w:tab w:val="right" w:leader="dot" w:pos="9072"/>
        </w:tabs>
      </w:pPr>
      <w:hyperlink w:anchor="_Toc20022" w:history="1">
        <w:r>
          <w:rPr>
            <w:rFonts w:ascii="黑体" w:eastAsia="黑体" w:hAnsi="黑体" w:cs="宋体" w:hint="eastAsia"/>
          </w:rPr>
          <w:t xml:space="preserve">4.2.1 </w:t>
        </w:r>
        <w:r>
          <w:rPr>
            <w:rFonts w:hint="eastAsia"/>
          </w:rPr>
          <w:t>规划指导，制定社区养老服务总体规划</w:t>
        </w:r>
        <w:r>
          <w:tab/>
        </w:r>
        <w:r>
          <w:fldChar w:fldCharType="begin"/>
        </w:r>
        <w:r>
          <w:instrText xml:space="preserve"> PAGEREF _Toc20022 \h </w:instrText>
        </w:r>
        <w:r>
          <w:fldChar w:fldCharType="separate"/>
        </w:r>
        <w:r>
          <w:t>9</w:t>
        </w:r>
        <w:r>
          <w:fldChar w:fldCharType="end"/>
        </w:r>
      </w:hyperlink>
    </w:p>
    <w:p>
      <w:pPr>
        <w:pStyle w:val="TOC3"/>
        <w:tabs>
          <w:tab w:val="right" w:leader="dot" w:pos="9072"/>
        </w:tabs>
      </w:pPr>
      <w:hyperlink w:anchor="_Toc10525" w:history="1">
        <w:r>
          <w:rPr>
            <w:rFonts w:ascii="黑体" w:eastAsia="黑体" w:hAnsi="黑体" w:cs="宋体" w:hint="eastAsia"/>
          </w:rPr>
          <w:t xml:space="preserve">4.2.2 </w:t>
        </w:r>
        <w:r>
          <w:rPr>
            <w:rFonts w:hint="eastAsia"/>
          </w:rPr>
          <w:t>政策扶持，构建社区居家养老服务优惠政策</w:t>
        </w:r>
        <w:r>
          <w:tab/>
        </w:r>
        <w:r>
          <w:fldChar w:fldCharType="begin"/>
        </w:r>
        <w:r>
          <w:instrText xml:space="preserve"> PAGEREF _Toc10525 \h </w:instrText>
        </w:r>
        <w:r>
          <w:fldChar w:fldCharType="separate"/>
        </w:r>
        <w:r>
          <w:t>10</w:t>
        </w:r>
        <w:r>
          <w:fldChar w:fldCharType="end"/>
        </w:r>
      </w:hyperlink>
    </w:p>
    <w:p>
      <w:pPr>
        <w:pStyle w:val="TOC3"/>
        <w:tabs>
          <w:tab w:val="right" w:leader="dot" w:pos="9072"/>
        </w:tabs>
      </w:pPr>
      <w:hyperlink w:anchor="_Toc11237" w:history="1">
        <w:r>
          <w:rPr>
            <w:rFonts w:ascii="黑体" w:eastAsia="黑体" w:hAnsi="黑体" w:cs="宋体" w:hint="eastAsia"/>
          </w:rPr>
          <w:t xml:space="preserve">4.2.3 </w:t>
        </w:r>
        <w:r>
          <w:rPr>
            <w:rFonts w:hint="eastAsia"/>
          </w:rPr>
          <w:t>协调管理，提高社区居家养老服务水平</w:t>
        </w:r>
        <w:r>
          <w:tab/>
        </w:r>
        <w:r>
          <w:fldChar w:fldCharType="begin"/>
        </w:r>
        <w:r>
          <w:instrText xml:space="preserve"> PAGEREF _Toc11237 \h </w:instrText>
        </w:r>
        <w:r>
          <w:fldChar w:fldCharType="separate"/>
        </w:r>
        <w:r>
          <w:t>10</w:t>
        </w:r>
        <w:r>
          <w:fldChar w:fldCharType="end"/>
        </w:r>
      </w:hyperlink>
    </w:p>
    <w:p>
      <w:pPr>
        <w:pStyle w:val="TOC2"/>
        <w:tabs>
          <w:tab w:val="right" w:leader="dot" w:pos="9072"/>
        </w:tabs>
      </w:pPr>
      <w:hyperlink w:anchor="_Toc1414" w:history="1">
        <w:r>
          <w:rPr>
            <w:rFonts w:ascii="黑体" w:eastAsia="黑体" w:hAnsi="黑体" w:cs="宋体" w:hint="eastAsia"/>
          </w:rPr>
          <w:t xml:space="preserve">4.3 </w:t>
        </w:r>
        <w:r>
          <w:rPr>
            <w:rFonts w:hint="eastAsia"/>
          </w:rPr>
          <w:t>社区居家养老服务职能的社会化</w:t>
        </w:r>
        <w:r>
          <w:tab/>
        </w:r>
        <w:r>
          <w:fldChar w:fldCharType="begin"/>
        </w:r>
        <w:r>
          <w:instrText xml:space="preserve"> PAGEREF _Toc1414 \h </w:instrText>
        </w:r>
        <w:r>
          <w:fldChar w:fldCharType="separate"/>
        </w:r>
        <w:r>
          <w:t>11</w:t>
        </w:r>
        <w:r>
          <w:fldChar w:fldCharType="end"/>
        </w:r>
      </w:hyperlink>
    </w:p>
    <w:p>
      <w:pPr>
        <w:pStyle w:val="TOC3"/>
        <w:tabs>
          <w:tab w:val="right" w:leader="dot" w:pos="9072"/>
        </w:tabs>
      </w:pPr>
      <w:hyperlink w:anchor="_Toc15714" w:history="1">
        <w:r>
          <w:rPr>
            <w:rFonts w:ascii="黑体" w:eastAsia="黑体" w:hAnsi="黑体" w:cs="宋体" w:hint="eastAsia"/>
          </w:rPr>
          <w:t xml:space="preserve">4.3.1 </w:t>
        </w:r>
        <w:r>
          <w:rPr>
            <w:rFonts w:hint="eastAsia"/>
          </w:rPr>
          <w:t>社区居家养老主办职能的非政府化</w:t>
        </w:r>
        <w:r>
          <w:tab/>
        </w:r>
        <w:r>
          <w:fldChar w:fldCharType="begin"/>
        </w:r>
        <w:r>
          <w:instrText xml:space="preserve"> PAGEREF _Toc15714 \h </w:instrText>
        </w:r>
        <w:r>
          <w:fldChar w:fldCharType="separate"/>
        </w:r>
        <w:r>
          <w:t>11</w:t>
        </w:r>
        <w:r>
          <w:fldChar w:fldCharType="end"/>
        </w:r>
      </w:hyperlink>
    </w:p>
    <w:p>
      <w:pPr>
        <w:pStyle w:val="TOC3"/>
        <w:tabs>
          <w:tab w:val="right" w:leader="dot" w:pos="9072"/>
        </w:tabs>
      </w:pPr>
      <w:hyperlink w:anchor="_Toc18306" w:history="1">
        <w:r>
          <w:rPr>
            <w:rFonts w:ascii="黑体" w:eastAsia="黑体" w:hAnsi="黑体" w:cs="宋体" w:hint="eastAsia"/>
            <w:lang w:val="en-US" w:eastAsia="zh-CN"/>
          </w:rPr>
          <w:t xml:space="preserve">4.3.2 </w:t>
        </w:r>
        <w:r>
          <w:rPr>
            <w:rFonts w:hint="eastAsia"/>
            <w:lang w:val="en-US" w:eastAsia="zh-CN"/>
          </w:rPr>
          <w:t>建立涉及社区非政府组织的服务保障体系</w:t>
        </w:r>
        <w:r>
          <w:tab/>
        </w:r>
        <w:r>
          <w:fldChar w:fldCharType="begin"/>
        </w:r>
        <w:r>
          <w:instrText xml:space="preserve"> PAGEREF _Toc18306 \h </w:instrText>
        </w:r>
        <w:r>
          <w:fldChar w:fldCharType="separate"/>
        </w:r>
        <w:r>
          <w:t>11</w:t>
        </w:r>
        <w:r>
          <w:fldChar w:fldCharType="end"/>
        </w:r>
      </w:hyperlink>
    </w:p>
    <w:p>
      <w:pPr>
        <w:pStyle w:val="TOC1"/>
        <w:tabs>
          <w:tab w:val="right" w:leader="dot" w:pos="9072"/>
        </w:tabs>
        <w:sectPr>
          <w:headerReference w:type="default" r:id="rId19"/>
          <w:footerReference w:type="default" r:id="rId20"/>
          <w:pgSz w:w="11906" w:h="16838"/>
          <w:pgMar w:top="1701" w:right="1417" w:bottom="1701" w:left="1417" w:header="1134" w:footer="1134" w:gutter="0"/>
          <w:pgNumType w:fmt="upperRoman" w:start="2"/>
          <w:cols w:num="1" w:space="425"/>
          <w:docGrid w:type="lines" w:linePitch="312" w:charSpace="0"/>
        </w:sectPr>
      </w:pPr>
      <w:hyperlink w:anchor="_Toc21562" w:history="1">
        <w:r>
          <w:rPr>
            <w:rFonts w:ascii="黑体" w:eastAsia="黑体" w:hAnsi="黑体" w:cs="宋体" w:hint="eastAsia"/>
          </w:rPr>
          <w:t xml:space="preserve">第５章 </w:t>
        </w:r>
        <w:r>
          <w:rPr>
            <w:rFonts w:hint="eastAsia"/>
          </w:rPr>
          <w:t>结论</w:t>
        </w:r>
        <w:r>
          <w:tab/>
        </w:r>
        <w:r>
          <w:fldChar w:fldCharType="begin"/>
        </w:r>
        <w:r>
          <w:instrText xml:space="preserve"> PAGEREF _Toc21562 \h </w:instrText>
        </w:r>
        <w:r>
          <w:fldChar w:fldCharType="separate"/>
        </w:r>
        <w:r>
          <w:t>14</w:t>
        </w:r>
        <w:r>
          <w:fldChar w:fldCharType="end"/>
        </w:r>
      </w:hyperlink>
    </w:p>
    <w:p>
      <w:pPr>
        <w:pStyle w:val="TOC1"/>
        <w:tabs>
          <w:tab w:val="right" w:leader="dot" w:pos="9072"/>
        </w:tabs>
      </w:pPr>
      <w:hyperlink w:anchor="_Toc11319" w:history="1">
        <w:r>
          <w:rPr>
            <w:rFonts w:ascii="黑体" w:eastAsia="黑体" w:hAnsi="黑体" w:cs="黑体" w:hint="eastAsia"/>
            <w:szCs w:val="36"/>
          </w:rPr>
          <w:t>致谢</w:t>
        </w:r>
        <w:r>
          <w:tab/>
        </w:r>
        <w:r>
          <w:fldChar w:fldCharType="begin"/>
        </w:r>
        <w:r>
          <w:instrText xml:space="preserve"> PAGEREF _Toc11319 \h </w:instrText>
        </w:r>
        <w:r>
          <w:fldChar w:fldCharType="separate"/>
        </w:r>
        <w:r>
          <w:t>15</w:t>
        </w:r>
        <w:r>
          <w:fldChar w:fldCharType="end"/>
        </w:r>
      </w:hyperlink>
    </w:p>
    <w:p>
      <w:pPr>
        <w:pStyle w:val="TOC1"/>
        <w:tabs>
          <w:tab w:val="right" w:leader="dot" w:pos="9072"/>
        </w:tabs>
      </w:pPr>
      <w:hyperlink w:anchor="_Toc27523" w:history="1">
        <w:r>
          <w:rPr>
            <w:rFonts w:ascii="黑体" w:eastAsia="黑体" w:hAnsi="黑体" w:cs="黑体" w:hint="eastAsia"/>
            <w:szCs w:val="36"/>
          </w:rPr>
          <w:t>参考文献</w:t>
        </w:r>
        <w:r>
          <w:tab/>
        </w:r>
        <w:r>
          <w:fldChar w:fldCharType="begin"/>
        </w:r>
        <w:r>
          <w:instrText xml:space="preserve"> PAGEREF _Toc27523 \h </w:instrText>
        </w:r>
        <w:r>
          <w:fldChar w:fldCharType="separate"/>
        </w:r>
        <w:r>
          <w:t>16</w:t>
        </w:r>
        <w:r>
          <w:fldChar w:fldCharType="end"/>
        </w:r>
      </w:hyperlink>
    </w:p>
    <w:p>
      <w:pPr>
        <w:pStyle w:val="BodyTextIndent"/>
        <w:spacing w:after="0" w:line="440" w:lineRule="exact"/>
        <w:ind w:left="0" w:leftChars="0"/>
        <w:jc w:val="center"/>
        <w:rPr>
          <w:rFonts w:eastAsia="黑体"/>
          <w:b/>
          <w:sz w:val="36"/>
        </w:rPr>
      </w:pPr>
      <w:r>
        <w:rPr>
          <w:rFonts w:eastAsia="黑体"/>
        </w:rPr>
        <w:fldChar w:fldCharType="end"/>
      </w:r>
    </w:p>
    <w:p>
      <w:pPr>
        <w:pStyle w:val="BodyTextIndent"/>
        <w:spacing w:before="120" w:after="31" w:line="440" w:lineRule="exact"/>
        <w:ind w:left="0" w:leftChars="0"/>
        <w:rPr>
          <w:rFonts w:eastAsia="黑体"/>
          <w:b/>
          <w:sz w:val="36"/>
        </w:rPr>
        <w:sectPr>
          <w:headerReference w:type="default" r:id="rId21"/>
          <w:footerReference w:type="default" r:id="rId22"/>
          <w:type w:val="nextPage"/>
          <w:pgSz w:w="11906" w:h="16838"/>
          <w:pgMar w:top="1701" w:right="1417" w:bottom="1701" w:left="1417" w:header="1134" w:footer="1134" w:gutter="0"/>
          <w:pgNumType w:fmt="upperRoman" w:start="3"/>
          <w:cols w:num="1" w:space="425"/>
          <w:titlePg w:val="0"/>
          <w:docGrid w:type="lines" w:linePitch="312" w:charSpace="0"/>
        </w:sectPr>
      </w:pPr>
    </w:p>
    <w:p>
      <w:pPr>
        <w:pStyle w:val="Heading1"/>
        <w:bidi w:val="0"/>
        <w:rPr>
          <w:rFonts w:hint="eastAsia"/>
        </w:rPr>
      </w:pPr>
      <w:bookmarkStart w:id="87" w:name="_Toc3833"/>
      <w:bookmarkStart w:id="88" w:name="_Toc31712"/>
      <w:bookmarkStart w:id="89" w:name="_Toc20624"/>
      <w:bookmarkStart w:id="90" w:name="_Toc3528"/>
      <w:r>
        <w:rPr>
          <w:rFonts w:hint="eastAsia"/>
        </w:rPr>
        <w:t>绪论</w:t>
      </w:r>
      <w:bookmarkEnd w:id="87"/>
      <w:bookmarkEnd w:id="88"/>
      <w:bookmarkEnd w:id="89"/>
      <w:bookmarkEnd w:id="90"/>
    </w:p>
    <w:p>
      <w:pPr>
        <w:pStyle w:val="Heading2"/>
        <w:bidi w:val="0"/>
      </w:pPr>
      <w:bookmarkStart w:id="91" w:name="_Toc20064"/>
      <w:bookmarkStart w:id="92" w:name="_Toc22511"/>
      <w:bookmarkStart w:id="93" w:name="_Toc8902"/>
      <w:bookmarkStart w:id="94" w:name="_Toc21570"/>
      <w:bookmarkStart w:id="95" w:name="_Toc6202"/>
      <w:r>
        <w:rPr>
          <w:rFonts w:hint="eastAsia"/>
        </w:rPr>
        <w:t>研究背景</w:t>
      </w:r>
      <w:bookmarkEnd w:id="91"/>
      <w:bookmarkEnd w:id="92"/>
      <w:bookmarkEnd w:id="93"/>
      <w:bookmarkEnd w:id="94"/>
      <w:bookmarkEnd w:id="95"/>
    </w:p>
    <w:p>
      <w:pPr>
        <w:bidi w:val="0"/>
        <w:rPr>
          <w:rFonts w:hint="eastAsia"/>
        </w:rPr>
      </w:pPr>
      <w:r>
        <w:rPr>
          <w:rFonts w:hint="eastAsia"/>
        </w:rPr>
        <w:t>随着年龄增长，成人养老服务问题面临困境。因为当代条件的限制，“家中养老保险金”的功效愈来愈弱。与此同时，简单组织性养老保险金也是有局限，比如成本相对高及其在结构上的分歧，这一点在大多数情况下不能满足老年人的需要。在我国社会老龄化环境下，居家养老慢慢发展趋势并逐步成为一种受欢迎的方式。现阶段，它基本上就是一个由社区适用，组织支持的根据一个家庭的社会发展成人养老服务系统软件。</w:t>
      </w:r>
    </w:p>
    <w:p>
      <w:pPr>
        <w:bidi w:val="0"/>
        <w:rPr>
          <w:rFonts w:hint="eastAsia"/>
        </w:rPr>
      </w:pPr>
      <w:r>
        <w:rPr>
          <w:rFonts w:hint="eastAsia"/>
        </w:rPr>
        <w:t>在市场经济下，公司和家庭可以领取退休工人的养老金。在“进入世界贸易组织”之后，公司不仅遭受我国行业竞争，而且遭受全球化竞争，企业的“小社区”功效尽量转移到社会发展。伴随愈来愈多老年人从之前工作上退休，其活动范围缩小，社会发展成为了老年人开展社会发展活动的重要领域。社区家居环境养老服务关键给与广泛，多功能和多种形式服务内容，以及建立老年人食堂，茶馆，幼稚园，减缓衰老站，法律咨询服务站及各种文化体育活动。为老年人给与紧急救援、日常照顾、家政保洁公司、休闲娱乐活动、法律咨询、心理疏导、就远原则就医以及日常保洁、情感慰藉等综合性养老服务</w:t>
      </w:r>
    </w:p>
    <w:p>
      <w:pPr>
        <w:bidi w:val="0"/>
        <w:rPr>
          <w:rFonts w:hint="eastAsia"/>
        </w:rPr>
      </w:pPr>
      <w:r>
        <w:rPr>
          <w:rFonts w:hint="eastAsia"/>
        </w:rPr>
        <w:t>虽然近些年社区的养老服务大大提高。但是社区养老服务存在的问题也慢慢被明确指出，比如在我国社区养老服务系统配置并不完善。今日我国的社区发展趋向过度依赖政府机构了。在我国社区养老服务最新法律法规并不完善。政府机构并没充足的资金看向社区。社区专业工作员很少。原文中对社区家里养老服务进行了全面科研，讲述了社会性成人养老服务体系运行方法，存在的问题并做出解决对策。</w:t>
      </w:r>
    </w:p>
    <w:p>
      <w:pPr>
        <w:pStyle w:val="Heading2"/>
        <w:bidi w:val="0"/>
      </w:pPr>
      <w:bookmarkStart w:id="96" w:name="_Toc29734"/>
      <w:bookmarkStart w:id="97" w:name="_Toc24863"/>
      <w:bookmarkStart w:id="98" w:name="_Toc23709"/>
      <w:bookmarkStart w:id="99" w:name="_Toc28564"/>
      <w:bookmarkStart w:id="100" w:name="_Toc11477"/>
      <w:r>
        <w:rPr>
          <w:rFonts w:hint="eastAsia"/>
        </w:rPr>
        <w:t>研究意义</w:t>
      </w:r>
      <w:bookmarkEnd w:id="96"/>
      <w:bookmarkEnd w:id="97"/>
      <w:bookmarkEnd w:id="98"/>
      <w:bookmarkEnd w:id="99"/>
      <w:bookmarkEnd w:id="100"/>
    </w:p>
    <w:p>
      <w:pPr>
        <w:bidi w:val="0"/>
        <w:rPr>
          <w:rFonts w:hint="eastAsia"/>
        </w:rPr>
        <w:sectPr>
          <w:headerReference w:type="default" r:id="rId23"/>
          <w:footerReference w:type="default" r:id="rId24"/>
          <w:pgSz w:w="11906" w:h="16838"/>
          <w:pgMar w:top="1701" w:right="1417" w:bottom="1701" w:left="1417" w:header="1134" w:footer="1134" w:gutter="0"/>
          <w:pgNumType w:fmt="decimal" w:start="1"/>
          <w:cols w:num="1" w:space="425"/>
          <w:docGrid w:type="lines" w:linePitch="312" w:charSpace="0"/>
        </w:sectPr>
      </w:pPr>
    </w:p>
    <w:p>
      <w:pPr>
        <w:bidi w:val="0"/>
        <w:rPr>
          <w:rFonts w:hint="eastAsia"/>
        </w:rPr>
      </w:pPr>
      <w:r>
        <w:rPr>
          <w:rFonts w:hint="eastAsia"/>
        </w:rPr>
        <w:t>在市场经济发达国家，老年人社区养老服务活动遭受十分重视，然后由社区组织和企业专业组织与实施。也为周边城市的老年人给予诊疗，游戏娱乐，学习与运动设施，关键是老年人住房。一些国家还设立了“日托中心”，大白天将成人送到该中心，夜里把他们带回去和孩子团圆。它解决不了大白天没时间陪护老人的孩子的教育，还能够满足老年人以及小孩的精神需要。社区养老金与众不同益处不但能够满足市场经济的需要，而且还能填补家庭模式发生变化时老年人对家人的依靠产生的不良影响。自然，务必把它用以协助全部老年人社区工作，并不是为了牟取暴利，并且还要具备公益慈善特性；但是同时，它需要遵照市场经济标准，推行科学合理的收费标准，维持稳步发展。一方面，推行邻里互助，组织老年人，年青人，正常人竭尽所能参与社区服务保障工作，组织社区各个部门志愿者服务老年人等；另一方面，在短期内确保盈利制度下，有很多新项目能够提供帮助。它不但可以促进社区居委会和居委会资金，还能够雇佣一批散伙的职工。</w:t>
      </w:r>
    </w:p>
    <w:p>
      <w:pPr>
        <w:bidi w:val="0"/>
        <w:rPr>
          <w:rFonts w:hint="eastAsia"/>
        </w:rPr>
      </w:pPr>
      <w:r>
        <w:rPr>
          <w:rFonts w:hint="eastAsia"/>
        </w:rPr>
        <w:t>文中对社区居家养老服务项目进行了详细科学研究，阐述了社会化成年人养老服务体系的运转方式，发现的问题并给出解决措施。对国内居家生活社区养老服务有重大意义。</w:t>
      </w:r>
    </w:p>
    <w:p>
      <w:pPr>
        <w:pStyle w:val="Heading2"/>
        <w:tabs>
          <w:tab w:val="left" w:pos="420"/>
        </w:tabs>
        <w:bidi w:val="0"/>
      </w:pPr>
      <w:bookmarkStart w:id="101" w:name="_Toc23069"/>
      <w:bookmarkStart w:id="102" w:name="_Toc3574"/>
      <w:bookmarkStart w:id="103" w:name="_Toc4257"/>
      <w:r>
        <w:rPr>
          <w:rFonts w:hint="eastAsia"/>
        </w:rPr>
        <w:t>文献综述</w:t>
      </w:r>
      <w:bookmarkEnd w:id="101"/>
      <w:bookmarkEnd w:id="102"/>
      <w:bookmarkEnd w:id="103"/>
    </w:p>
    <w:p>
      <w:pPr>
        <w:bidi w:val="0"/>
        <w:rPr>
          <w:rFonts w:hint="eastAsia"/>
        </w:rPr>
      </w:pPr>
      <w:r>
        <w:rPr>
          <w:rFonts w:hint="eastAsia"/>
        </w:rPr>
        <w:t>短短的十年内在中国已进入社会老龄化，必须时间对比其他国家短。一般来说比较繁荣国家从健全国家切换到社会老龄化国家务必几十年甚至几百年时间。并假设社会经济发展工业发展水平很高我国家恰好相反。我国在80时期开始研究养老问题，一项针对老人最底层护理养老院的研究发现，由于家庭规模的变化，为解决这一现象因此，建议发展趋向老年社会机构，如开设养老院、老年公寓等。因此，管理制度监管存在诸多不足。许多老人不肯为他们的老人选择社会机构。许多学者开始研究比较繁荣国家的处理方法并开始工作上。大力支持社区护理和居家护理。国家对社区养老服务方法的研究成为了社区养老服务可持续发展的楷模。</w:t>
      </w:r>
    </w:p>
    <w:p>
      <w:pPr>
        <w:bidi w:val="0"/>
        <w:rPr>
          <w:rFonts w:hint="eastAsia"/>
        </w:rPr>
      </w:pPr>
      <w:r>
        <w:rPr>
          <w:rFonts w:hint="eastAsia"/>
        </w:rPr>
        <w:t>张先平（2018）感觉，慢慢开展和优化高考志愿填报社区养老服务活动此外提高社区便民服务要稳定提供服务范畴目标，建立标准化的管理制度，李进涛（2019）感觉，社区便民服务是一种政府行为。从政府机构的角度，要加强社区便民服务化学物质援助。宏观经济政策政治军事可用提高宏观调节不仅于此具体活动深层细节上的单位，闾志俊感觉，若要扩大社区养老服务的普遍性，想通过更各种渠道筹集资金，那么就需要加上夏社区养老服务。杜丽萍（2020）感觉，社区养老服务取得的成就取决于拥有一支高质量服务销售团队。此外，许多学者从不同角度对我国较老课题研究研究展开了研究。包括相关爸爸妈妈所需的研究，从我国家当地社区在实践中，爸妈的优质状况早就形成鲜明对比，和其他人。在中国已经渐渐意识到了提高社区养老服务的重要性。</w:t>
      </w:r>
    </w:p>
    <w:p>
      <w:pPr>
        <w:pStyle w:val="Heading2"/>
        <w:tabs>
          <w:tab w:val="left" w:pos="420"/>
        </w:tabs>
        <w:bidi w:val="0"/>
      </w:pPr>
      <w:bookmarkStart w:id="104" w:name="_Toc6672"/>
      <w:bookmarkStart w:id="105" w:name="_Toc17287"/>
      <w:bookmarkStart w:id="106" w:name="_Toc30863"/>
      <w:bookmarkStart w:id="107" w:name="_Toc24051"/>
      <w:bookmarkStart w:id="108" w:name="_Toc2068"/>
      <w:r>
        <w:rPr>
          <w:rFonts w:hint="eastAsia"/>
        </w:rPr>
        <w:t>研究内容</w:t>
      </w:r>
      <w:bookmarkEnd w:id="104"/>
      <w:bookmarkEnd w:id="105"/>
      <w:bookmarkEnd w:id="106"/>
      <w:bookmarkEnd w:id="107"/>
      <w:bookmarkEnd w:id="108"/>
    </w:p>
    <w:p>
      <w:pPr>
        <w:bidi w:val="0"/>
        <w:rPr>
          <w:rFonts w:hint="eastAsia"/>
        </w:rPr>
        <w:sectPr>
          <w:headerReference w:type="default" r:id="rId25"/>
          <w:footerReference w:type="default" r:id="rId26"/>
          <w:type w:val="nextPage"/>
          <w:pgSz w:w="11906" w:h="16838"/>
          <w:pgMar w:top="1701" w:right="1417" w:bottom="1701" w:left="1417" w:header="1134" w:footer="1134" w:gutter="0"/>
          <w:pgNumType w:fmt="decimal" w:start="2"/>
          <w:cols w:num="1" w:space="425"/>
          <w:titlePg w:val="0"/>
          <w:docGrid w:type="lines" w:linePitch="312" w:charSpace="0"/>
        </w:sectPr>
      </w:pPr>
      <w:r>
        <w:rPr>
          <w:rFonts w:hint="eastAsia"/>
        </w:rPr>
        <w:t>本文以</w:t>
      </w:r>
      <w:r>
        <w:rPr>
          <w:rFonts w:hint="eastAsia"/>
          <w:lang w:eastAsia="zh-CN"/>
        </w:rPr>
        <w:t>广州A社区</w:t>
      </w:r>
      <w:r>
        <w:rPr>
          <w:rFonts w:hint="eastAsia"/>
        </w:rPr>
        <w:t>为例，对社区家庭养老服务进行了深入研究，分析了市场化成人养老模式的运作方法，发现了问题，并提出了对策。及相关建议。它分为五个部分：</w:t>
      </w:r>
    </w:p>
    <w:p>
      <w:pPr>
        <w:bidi w:val="0"/>
        <w:rPr>
          <w:rFonts w:hint="eastAsia"/>
        </w:rPr>
      </w:pPr>
      <w:r>
        <w:rPr>
          <w:rFonts w:hint="eastAsia"/>
        </w:rPr>
        <w:t>第一章详细讨论了城市社区的养老金要求。</w:t>
      </w:r>
    </w:p>
    <w:p>
      <w:pPr>
        <w:bidi w:val="0"/>
        <w:rPr>
          <w:rFonts w:hint="eastAsia"/>
        </w:rPr>
      </w:pPr>
      <w:r>
        <w:rPr>
          <w:rFonts w:hint="eastAsia"/>
        </w:rPr>
        <w:t>第二章中，</w:t>
      </w:r>
      <w:r>
        <w:rPr>
          <w:rFonts w:hint="eastAsia"/>
          <w:lang w:eastAsia="zh-CN"/>
        </w:rPr>
        <w:t>广州</w:t>
      </w:r>
      <w:r>
        <w:rPr>
          <w:rFonts w:hint="eastAsia"/>
        </w:rPr>
        <w:t>考察了城市社区家庭养老服务的模式：例如，以</w:t>
      </w:r>
      <w:r>
        <w:rPr>
          <w:rFonts w:hint="eastAsia"/>
          <w:lang w:eastAsia="zh-CN"/>
        </w:rPr>
        <w:t>广州A社区</w:t>
      </w:r>
      <w:r>
        <w:rPr>
          <w:rFonts w:hint="eastAsia"/>
        </w:rPr>
        <w:t>社区为例。</w:t>
      </w:r>
    </w:p>
    <w:p>
      <w:pPr>
        <w:bidi w:val="0"/>
        <w:rPr>
          <w:rFonts w:hint="eastAsia"/>
        </w:rPr>
      </w:pPr>
      <w:r>
        <w:rPr>
          <w:rFonts w:hint="eastAsia"/>
        </w:rPr>
        <w:t>第三章分析了社区家庭养老服务中存在的问题。</w:t>
      </w:r>
    </w:p>
    <w:p>
      <w:pPr>
        <w:bidi w:val="0"/>
        <w:rPr>
          <w:rFonts w:hint="eastAsia"/>
        </w:rPr>
      </w:pPr>
      <w:r>
        <w:rPr>
          <w:rFonts w:hint="eastAsia"/>
        </w:rPr>
        <w:t>第四章提出了补救措施和建议，以改善城市社区的家庭养老服务。</w:t>
      </w:r>
    </w:p>
    <w:p>
      <w:pPr>
        <w:bidi w:val="0"/>
      </w:pPr>
      <w:r>
        <w:rPr>
          <w:rFonts w:hint="eastAsia"/>
        </w:rPr>
        <w:t>第五章结论。</w:t>
      </w:r>
    </w:p>
    <w:p>
      <w:pPr>
        <w:pStyle w:val="Heading2"/>
        <w:tabs>
          <w:tab w:val="left" w:pos="420"/>
        </w:tabs>
        <w:bidi w:val="0"/>
      </w:pPr>
      <w:bookmarkStart w:id="109" w:name="_Toc6996"/>
      <w:bookmarkStart w:id="110" w:name="_Toc31842"/>
      <w:bookmarkStart w:id="111" w:name="_Toc25129"/>
      <w:r>
        <w:rPr>
          <w:rFonts w:hint="eastAsia"/>
        </w:rPr>
        <w:t>研究方法</w:t>
      </w:r>
      <w:bookmarkEnd w:id="109"/>
      <w:bookmarkEnd w:id="110"/>
      <w:bookmarkEnd w:id="111"/>
    </w:p>
    <w:p>
      <w:pPr>
        <w:bidi w:val="0"/>
        <w:rPr>
          <w:rFonts w:hint="eastAsia"/>
        </w:rPr>
      </w:pPr>
      <w:r>
        <w:rPr>
          <w:rFonts w:hint="eastAsia"/>
        </w:rPr>
        <w:t>本文的研究离不开大量国内外社区养老的学术文献。根据本文的研究主题，对本文的相关文献进行阅读和整理。结合</w:t>
      </w:r>
      <w:r>
        <w:rPr>
          <w:rFonts w:hint="eastAsia"/>
          <w:lang w:eastAsia="zh-CN"/>
        </w:rPr>
        <w:t>A社区</w:t>
      </w:r>
      <w:r>
        <w:rPr>
          <w:rFonts w:hint="eastAsia"/>
        </w:rPr>
        <w:t>的实际情况，分析了</w:t>
      </w:r>
      <w:r>
        <w:rPr>
          <w:rFonts w:hint="eastAsia"/>
          <w:lang w:eastAsia="zh-CN"/>
        </w:rPr>
        <w:t>A社区</w:t>
      </w:r>
      <w:r>
        <w:rPr>
          <w:rFonts w:hint="eastAsia"/>
        </w:rPr>
        <w:t>居家养老现状，为本文后续的研究提供了良好的理论基础。</w:t>
      </w:r>
    </w:p>
    <w:p>
      <w:pPr>
        <w:bidi w:val="0"/>
      </w:pPr>
      <w:r>
        <w:rPr>
          <w:rFonts w:hint="eastAsia"/>
        </w:rPr>
        <w:t>本文的研究采用了调查统计分析的方法。主要研究对象是</w:t>
      </w:r>
      <w:r>
        <w:rPr>
          <w:rFonts w:hint="eastAsia"/>
          <w:lang w:eastAsia="zh-CN"/>
        </w:rPr>
        <w:t>广州</w:t>
      </w:r>
      <w:r>
        <w:rPr>
          <w:rFonts w:hint="eastAsia"/>
        </w:rPr>
        <w:t>市</w:t>
      </w:r>
      <w:r>
        <w:rPr>
          <w:rFonts w:hint="eastAsia"/>
          <w:lang w:eastAsia="zh-CN"/>
        </w:rPr>
        <w:t>A社区</w:t>
      </w:r>
      <w:r>
        <w:rPr>
          <w:rFonts w:hint="eastAsia"/>
        </w:rPr>
        <w:t>。因此，在撰写本文的过程中，进行了大量的访谈和总结。通过严格的数据收集和分析，总结出了许多实际问题和对策。</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https://d.book118.com/507155050160006046</w:t>
        </w:r>
      </w:hyperlink>
    </w:p>
    <w:p>
      <w:pPr>
        <w:bidi w:val="0"/>
      </w:pPr>
    </w:p>
    <w:sectPr>
      <w:headerReference w:type="default" r:id="rId28"/>
      <w:footerReference w:type="default" r:id="rId29"/>
      <w:type w:val="nextPage"/>
      <w:pgSz w:w="11906" w:h="16838"/>
      <w:pgMar w:top="1701" w:right="1417" w:bottom="1701" w:left="1417" w:header="1134" w:footer="1134" w:gutter="0"/>
      <w:pgNumType w:fmt="decimal" w:start="3"/>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embedRegular r:id="rId1" w:subsetted="1" w:fontKey="{8BCEF164-2FBE-4775-ADAF-5BB57D971352}"/>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7CD0410D-1A2D-469F-8315-DC303964D68B}"/>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embedRegular r:id="rId3" w:subsetted="1" w:fontKey="{23B95FFC-0C90-43F5-A9B8-DC11BC9D6AE4}"/>
  </w:font>
  <w:font w:name="等线">
    <w:panose1 w:val="02010600030101010101"/>
    <w:charset w:val="86"/>
    <w:family w:val="auto"/>
    <w:pitch w:val="default"/>
    <w:sig w:usb0="A00002BF" w:usb1="38CF7CFA" w:usb2="00000016" w:usb3="00000000" w:csb0="0004000F" w:csb1="00000000"/>
    <w:embedRegular r:id="rId4" w:subsetted="1" w:fontKey="{ABB337BA-6DCF-4885-8AD3-9329ABA008E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5" w:subsetted="1" w:fontKey="{C8B1AEDE-8F9D-4050-94E7-DF268D14A159}"/>
  </w:font>
  <w:font w:name="SimSun">
    <w:charset w:val="00"/>
    <w:family w:val="auto"/>
    <w:pitch w:val="default"/>
    <w:sig w:usb0="00000000" w:usb1="00000000" w:usb2="00000000" w:usb3="00000000" w:csb0="00000001" w:csb1="00000000"/>
    <w:embedRegular r:id="rId6" w:subsetted="1" w:fontKey="{1A9AA107-AE5D-4F8C-A0DE-44979785E656}"/>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left"/>
      <w:rPr>
        <w:rFonts w:ascii="宋体" w:hAnsi="宋体"/>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left"/>
      <w:rPr>
        <w:rFonts w:ascii="宋体" w:hAnsi="宋体"/>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119248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654404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21B50A7"/>
    <w:rsid w:val="02B33DB5"/>
    <w:rsid w:val="033724AD"/>
    <w:rsid w:val="048C54B6"/>
    <w:rsid w:val="05B178CA"/>
    <w:rsid w:val="05BA1B27"/>
    <w:rsid w:val="063E42E2"/>
    <w:rsid w:val="069A1996"/>
    <w:rsid w:val="07EC2E3C"/>
    <w:rsid w:val="084F11E0"/>
    <w:rsid w:val="089B216C"/>
    <w:rsid w:val="09DE7960"/>
    <w:rsid w:val="0B447C87"/>
    <w:rsid w:val="0BB26495"/>
    <w:rsid w:val="0BCF3E60"/>
    <w:rsid w:val="0DB93B97"/>
    <w:rsid w:val="100738BD"/>
    <w:rsid w:val="10292D3B"/>
    <w:rsid w:val="10B755B5"/>
    <w:rsid w:val="125F6E5F"/>
    <w:rsid w:val="13E6709A"/>
    <w:rsid w:val="140E7C96"/>
    <w:rsid w:val="145E60D3"/>
    <w:rsid w:val="14622CBC"/>
    <w:rsid w:val="147819C1"/>
    <w:rsid w:val="16493207"/>
    <w:rsid w:val="168A1563"/>
    <w:rsid w:val="18B53755"/>
    <w:rsid w:val="1A622AE9"/>
    <w:rsid w:val="1A756CC1"/>
    <w:rsid w:val="1B174574"/>
    <w:rsid w:val="1B3F107D"/>
    <w:rsid w:val="1B5504DE"/>
    <w:rsid w:val="1D305121"/>
    <w:rsid w:val="1D9F3BD9"/>
    <w:rsid w:val="1E6B4E8F"/>
    <w:rsid w:val="1F0E2D8C"/>
    <w:rsid w:val="209D0D1F"/>
    <w:rsid w:val="20BE2980"/>
    <w:rsid w:val="212A0EAC"/>
    <w:rsid w:val="215108D1"/>
    <w:rsid w:val="217E2260"/>
    <w:rsid w:val="21A32365"/>
    <w:rsid w:val="21D37DF8"/>
    <w:rsid w:val="220A49E4"/>
    <w:rsid w:val="2264222A"/>
    <w:rsid w:val="22B52CA4"/>
    <w:rsid w:val="23922A03"/>
    <w:rsid w:val="23D57663"/>
    <w:rsid w:val="242809E9"/>
    <w:rsid w:val="24D6035C"/>
    <w:rsid w:val="252F0137"/>
    <w:rsid w:val="255B6C55"/>
    <w:rsid w:val="262E41C8"/>
    <w:rsid w:val="265005E2"/>
    <w:rsid w:val="271138CD"/>
    <w:rsid w:val="271A5B2C"/>
    <w:rsid w:val="28486E7C"/>
    <w:rsid w:val="28AD7B6E"/>
    <w:rsid w:val="297A61EB"/>
    <w:rsid w:val="29BC5813"/>
    <w:rsid w:val="2A930DE5"/>
    <w:rsid w:val="2E045F3A"/>
    <w:rsid w:val="2EF83DF2"/>
    <w:rsid w:val="2F1430BC"/>
    <w:rsid w:val="31606AFB"/>
    <w:rsid w:val="31643E76"/>
    <w:rsid w:val="321D2DC3"/>
    <w:rsid w:val="33641210"/>
    <w:rsid w:val="33E75805"/>
    <w:rsid w:val="33F603DF"/>
    <w:rsid w:val="342A7E7F"/>
    <w:rsid w:val="34EA6325"/>
    <w:rsid w:val="358D25B2"/>
    <w:rsid w:val="368F3E85"/>
    <w:rsid w:val="39DE338E"/>
    <w:rsid w:val="3A9E768C"/>
    <w:rsid w:val="3B551A74"/>
    <w:rsid w:val="3C1F01CA"/>
    <w:rsid w:val="3D014077"/>
    <w:rsid w:val="3D141F11"/>
    <w:rsid w:val="3DD31670"/>
    <w:rsid w:val="407F62B2"/>
    <w:rsid w:val="40971592"/>
    <w:rsid w:val="40B56DEE"/>
    <w:rsid w:val="41816A03"/>
    <w:rsid w:val="41A82C28"/>
    <w:rsid w:val="45133BBE"/>
    <w:rsid w:val="45211F4C"/>
    <w:rsid w:val="45CD6364"/>
    <w:rsid w:val="45E46179"/>
    <w:rsid w:val="460B2AF6"/>
    <w:rsid w:val="46680C69"/>
    <w:rsid w:val="4692039D"/>
    <w:rsid w:val="46BF7867"/>
    <w:rsid w:val="470846D9"/>
    <w:rsid w:val="480912DD"/>
    <w:rsid w:val="481B63B6"/>
    <w:rsid w:val="48BF0F83"/>
    <w:rsid w:val="4AE872CE"/>
    <w:rsid w:val="4BD44D46"/>
    <w:rsid w:val="4C433F12"/>
    <w:rsid w:val="4CE022BD"/>
    <w:rsid w:val="4D324D1C"/>
    <w:rsid w:val="4DE728A4"/>
    <w:rsid w:val="4DED7D5D"/>
    <w:rsid w:val="4E1D5AE5"/>
    <w:rsid w:val="4E593C28"/>
    <w:rsid w:val="4E5E44FA"/>
    <w:rsid w:val="4F2B5602"/>
    <w:rsid w:val="4FB56ED0"/>
    <w:rsid w:val="506B20CB"/>
    <w:rsid w:val="51711CD9"/>
    <w:rsid w:val="520420FD"/>
    <w:rsid w:val="53BD3FE7"/>
    <w:rsid w:val="53E73A84"/>
    <w:rsid w:val="543D5452"/>
    <w:rsid w:val="560B1CAC"/>
    <w:rsid w:val="574D436F"/>
    <w:rsid w:val="57B501A5"/>
    <w:rsid w:val="58276E33"/>
    <w:rsid w:val="58F509F1"/>
    <w:rsid w:val="5A10566E"/>
    <w:rsid w:val="5AE97247"/>
    <w:rsid w:val="5B9B6D92"/>
    <w:rsid w:val="5C2A00A2"/>
    <w:rsid w:val="5C990A7A"/>
    <w:rsid w:val="5C9A5B38"/>
    <w:rsid w:val="5D4778AF"/>
    <w:rsid w:val="5DC10EA2"/>
    <w:rsid w:val="5E21104A"/>
    <w:rsid w:val="5ED8668A"/>
    <w:rsid w:val="607E232E"/>
    <w:rsid w:val="61137C66"/>
    <w:rsid w:val="61A65CED"/>
    <w:rsid w:val="620471CC"/>
    <w:rsid w:val="63C31532"/>
    <w:rsid w:val="6491521B"/>
    <w:rsid w:val="65AE1409"/>
    <w:rsid w:val="673E1B05"/>
    <w:rsid w:val="67E6784B"/>
    <w:rsid w:val="68142C42"/>
    <w:rsid w:val="691B1DAE"/>
    <w:rsid w:val="69971634"/>
    <w:rsid w:val="6AAB53B4"/>
    <w:rsid w:val="6B4B4C9D"/>
    <w:rsid w:val="6B9D17BF"/>
    <w:rsid w:val="6CF3094C"/>
    <w:rsid w:val="6D6D5F6F"/>
    <w:rsid w:val="6D8D1737"/>
    <w:rsid w:val="6E061C3C"/>
    <w:rsid w:val="6E660115"/>
    <w:rsid w:val="6ED10851"/>
    <w:rsid w:val="6EFE4F3B"/>
    <w:rsid w:val="6F4A1A68"/>
    <w:rsid w:val="6F6B5594"/>
    <w:rsid w:val="6F994798"/>
    <w:rsid w:val="70A94484"/>
    <w:rsid w:val="70D171F6"/>
    <w:rsid w:val="714F5DCF"/>
    <w:rsid w:val="71E01DE7"/>
    <w:rsid w:val="72463A8E"/>
    <w:rsid w:val="72BE5575"/>
    <w:rsid w:val="73674EC7"/>
    <w:rsid w:val="74EE5368"/>
    <w:rsid w:val="7581079F"/>
    <w:rsid w:val="75874C78"/>
    <w:rsid w:val="758D2A50"/>
    <w:rsid w:val="75A87AEF"/>
    <w:rsid w:val="75C4732A"/>
    <w:rsid w:val="75C53BAB"/>
    <w:rsid w:val="761A1127"/>
    <w:rsid w:val="76EB3958"/>
    <w:rsid w:val="77585124"/>
    <w:rsid w:val="775A6197"/>
    <w:rsid w:val="7A7336C3"/>
    <w:rsid w:val="7A872321"/>
    <w:rsid w:val="7B972AC8"/>
    <w:rsid w:val="7C796DAE"/>
    <w:rsid w:val="7DD81CFB"/>
    <w:rsid w:val="7E032034"/>
    <w:rsid w:val="7FE56F23"/>
  </w:rsids>
  <w:docVars>
    <w:docVar w:name="commondata" w:val="eyJoZGlkIjoiYjc0OGY0ZTQ2NzE3ODc5M2NlNjRkZWU0NGVkYmI4NT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semiHidden/>
    <w:unhideWhenUsed/>
    <w:qFormat/>
    <w:pPr>
      <w:ind w:firstLine="420" w:firstLineChars="200"/>
    </w:pPr>
  </w:style>
  <w:style w:type="paragraph" w:styleId="BodyTextIndent">
    <w:name w:val="Body Text Indent"/>
    <w:basedOn w:val="Normal"/>
    <w:link w:val="Char"/>
    <w:uiPriority w:val="99"/>
    <w:unhideWhenUsed/>
    <w:qFormat/>
    <w:pPr>
      <w:spacing w:after="120"/>
      <w:ind w:left="420" w:leftChars="200"/>
    </w:pPr>
  </w:style>
  <w:style w:type="paragraph" w:styleId="NormalIndent">
    <w:name w:val="Normal Indent"/>
    <w:basedOn w:val="Normal"/>
    <w:qFormat/>
    <w:pPr>
      <w:ind w:firstLine="480" w:firstLineChars="200"/>
    </w:pPr>
    <w:rPr>
      <w:rFonts w:ascii="Arial" w:hAnsi="Arial"/>
      <w:sz w:val="24"/>
      <w:szCs w:val="20"/>
      <w:lang w:val="en-GB"/>
    </w:rPr>
  </w:style>
  <w:style w:type="paragraph" w:styleId="BodyText">
    <w:name w:val="Body Text"/>
    <w:basedOn w:val="Normal"/>
    <w:qFormat/>
    <w:pPr>
      <w:spacing w:after="120" w:afterLines="0" w:afterAutospacing="0"/>
    </w:p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Title">
    <w:name w:val="Title"/>
    <w:basedOn w:val="Normal"/>
    <w:next w:val="Normal"/>
    <w:qFormat/>
    <w:pPr>
      <w:spacing w:before="240" w:after="60"/>
      <w:jc w:val="center"/>
      <w:outlineLvl w:val="0"/>
    </w:pPr>
    <w:rPr>
      <w:rFonts w:ascii="Cambria" w:hAnsi="Cambria"/>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customStyle="1" w:styleId="TimesNewRoman">
    <w:name w:val="正文缩进 + Times New Roman"/>
    <w:basedOn w:val="Normal"/>
    <w:qFormat/>
  </w:style>
  <w:style w:type="character" w:customStyle="1" w:styleId="a4">
    <w:name w:val="样式 (符号) 宋体"/>
    <w:qFormat/>
    <w:rPr>
      <w:rFonts w:ascii="Times New Roman" w:eastAsia="宋体" w:hAnsi="Times New Roman"/>
      <w:color w:val="auto"/>
      <w:sz w:val="24"/>
    </w:rPr>
  </w:style>
  <w:style w:type="paragraph" w:styleId="ListParagraph">
    <w:name w:val="List Paragraph"/>
    <w:basedOn w:val="Normal"/>
    <w:uiPriority w:val="34"/>
    <w:qFormat/>
    <w:pPr>
      <w:widowControl/>
      <w:adjustRightInd w:val="0"/>
      <w:snapToGrid w:val="0"/>
      <w:spacing w:after="200"/>
      <w:ind w:firstLine="420" w:firstLineChars="200"/>
      <w:jc w:val="left"/>
    </w:pPr>
    <w:rPr>
      <w:rFonts w:ascii="Tahoma" w:eastAsia="微软雅黑" w:hAnsi="Tahoma" w:cs="Times New Roman"/>
      <w:kern w:val="0"/>
      <w:sz w:val="22"/>
      <w:szCs w:val="22"/>
    </w:rPr>
  </w:style>
  <w:style w:type="table" w:customStyle="1" w:styleId="PlainTable2">
    <w:name w:val="Plain Table 2"/>
    <w:basedOn w:val="TableNormal"/>
    <w:uiPriority w:val="42"/>
    <w:qFormat/>
    <w:tblPr>
      <w:tblBorders>
        <w:top w:val="single" w:sz="4" w:space="0" w:color="7E7E7E"/>
        <w:bottom w:val="single" w:sz="4" w:space="0" w:color="7E7E7E"/>
      </w:tblBorders>
    </w:tblPr>
    <w:tblStylePr w:type="firstRow">
      <w:rPr>
        <w:b/>
        <w:bCs/>
      </w:rPr>
      <w:tblPr/>
      <w:tcPr>
        <w:tcBorders>
          <w:top w:val="nil"/>
          <w:left w:val="nil"/>
          <w:bottom w:val="single" w:sz="4" w:space="0" w:color="7E7E7E"/>
          <w:right w:val="nil"/>
          <w:insideH w:val="nil"/>
          <w:insideV w:val="nil"/>
          <w:tl2br w:val="nil"/>
          <w:tr2bl w:val="nil"/>
        </w:tcBorders>
      </w:tcPr>
    </w:tblStylePr>
    <w:tblStylePr w:type="lastRow">
      <w:rPr>
        <w:b/>
        <w:bCs/>
      </w:rPr>
      <w:tblPr/>
      <w:tcPr>
        <w:tcBorders>
          <w:top w:val="single" w:sz="4" w:space="0" w:color="7E7E7E"/>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single" w:sz="4" w:space="0" w:color="7E7E7E"/>
          <w:bottom w:val="nil"/>
          <w:right w:val="single" w:sz="4" w:space="0" w:color="7E7E7E"/>
          <w:insideH w:val="nil"/>
          <w:insideV w:val="nil"/>
          <w:tl2br w:val="nil"/>
          <w:tr2bl w:val="nil"/>
        </w:tcBorders>
      </w:tcPr>
    </w:tblStylePr>
    <w:tblStylePr w:type="band2Vert">
      <w:tblPr/>
      <w:tcPr>
        <w:tcBorders>
          <w:top w:val="nil"/>
          <w:left w:val="single" w:sz="4" w:space="0" w:color="7E7E7E"/>
          <w:bottom w:val="nil"/>
          <w:right w:val="single" w:sz="4" w:space="0" w:color="7E7E7E"/>
          <w:insideH w:val="nil"/>
          <w:insideV w:val="nil"/>
          <w:tl2br w:val="nil"/>
          <w:tr2bl w:val="nil"/>
        </w:tcBorders>
      </w:tcPr>
    </w:tblStylePr>
    <w:tblStylePr w:type="band1Horz">
      <w:tblPr/>
      <w:tcPr>
        <w:tcBorders>
          <w:top w:val="single" w:sz="4" w:space="0" w:color="7E7E7E"/>
          <w:left w:val="nil"/>
          <w:bottom w:val="single" w:sz="4" w:space="0" w:color="7E7E7E"/>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eader" Target="header9.xml" /><Relationship Id="rId26" Type="http://schemas.openxmlformats.org/officeDocument/2006/relationships/footer" Target="footer8.xml" /><Relationship Id="rId27" Type="http://schemas.openxmlformats.org/officeDocument/2006/relationships/hyperlink" Target="https://d.book118.com/507155050160006046" TargetMode="External" /><Relationship Id="rId28" Type="http://schemas.openxmlformats.org/officeDocument/2006/relationships/header" Target="header10.xml" /><Relationship Id="rId29" Type="http://schemas.openxmlformats.org/officeDocument/2006/relationships/footer" Target="footer9.xml" /><Relationship Id="rId3" Type="http://schemas.openxmlformats.org/officeDocument/2006/relationships/settings" Target="settings.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12412</Words>
  <Characters>14137</Characters>
  <Application>Microsoft Office Word</Application>
  <DocSecurity>0</DocSecurity>
  <Lines>70</Lines>
  <Paragraphs>19</Paragraphs>
  <ScaleCrop>false</ScaleCrop>
  <Company/>
  <LinksUpToDate>false</LinksUpToDate>
  <CharactersWithSpaces>14545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我是阿迪呀</cp:lastModifiedBy>
  <cp:revision>5</cp:revision>
  <cp:lastPrinted>2021-11-09T07:12:00Z</cp:lastPrinted>
  <dcterms:created xsi:type="dcterms:W3CDTF">2021-11-07T07:49:00Z</dcterms:created>
  <dcterms:modified xsi:type="dcterms:W3CDTF">2023-01-07T02:49:28Z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EE1CFB7B87EA4645BDA8913EB3D171C3</vt:lpwstr>
  </property>
  <property fmtid="{D5CDD505-2E9C-101B-9397-08002B2CF9AE}" pid="3" name="KSOProductBuildVer">
    <vt:lpwstr>2052-11.1.0.13703</vt:lpwstr>
  </property>
</Properties>
</file>