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2018-2023年三峡旅游职业技术学院高职单招（数学／语文／英语）历年常考试题库含答案解析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下列属于曹操的作品是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A.《长歌行》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B.《短歌行》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C.《饮酒》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D.《兵车行》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陶渊明《饮酒》“采菊东篱下，悠然见南山”两句的抒情方式是（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A.借景抒情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B.借典故抒情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C.借前人成句抒情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D.直抒胸臆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下列人物属于“战国四公子”的是（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A.孟尝君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D.冯谖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在《往事（一之十四）》中，冰心赞颂了大海的性格和美德，号召大家做一个（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A.女神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B.大海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C.海舟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D.“海化”青年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ja-JP" w:bidi="ar-SA"/>
        </w:rPr>
        <w:t>5.</w:t>
      </w:r>
      <w:r>
        <w:rPr>
          <w:rFonts w:ascii="黑体" w:eastAsia="黑体" w:hAnsi="黑体" w:cs="Times New Roman"/>
          <w:sz w:val="24"/>
          <w:lang w:val="en-US" w:eastAsia="ja-JP" w:bidi="ar-SA"/>
        </w:rPr>
        <w:t>下列各组句子中，加点的字意思相同的一组是（）。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drawing>
          <wp:inline distT="0" distB="0" distL="0" distR="0">
            <wp:extent cx="4105706" cy="385803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05706" cy="38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4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A.见图A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B.见图B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C.见图C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D.见图D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4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在《答司马谏议书》一文中，司马光强加给王安石变法的罪名是（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A.在位久，未能助上大有为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B.不恤国事，同俗自媚于众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C.侵官、生事、征利、拒谏、以致天下怨谤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D.一切不事事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《谏逐客书》贯穿始终的论证方法是（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A.由个别到一般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B.由一般到个别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C.在某些方面相反或对立的不同事物之间的比较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D.在某些方面相同或相近的不同事物之间的比较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下列作家同属于“文学研究会”的是（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A.鲁迅、沈雁冰、冰心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B.郭沫若、沈雁冰、朱自清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C.鲁迅、郁达夫、冰心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D.沈雁冰、朱自清、冰心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《苦恼》一文的作者契诃夫是下列哪国的作家（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A.英国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B.俄国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C.法国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D.美国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巴金的散文集有（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A.《华盖集》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B.《朝花夕拾》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C.《龙·虎·狗》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D.《闲书》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《蜀相》是一首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A.山水诗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B.田园诗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C.边塞诗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在《谏逐客书》中，李斯先说驱逐客卿是“藉寇兵而赍盗粮”，后说驱逐客卿是“损民以益仇”，这两者在论证方法上的不同是（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A.前者是类比法，后者是归纳法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B.前者是类比法，后者是对比法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C.前者是对比法，后者是归纳法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D.前者是对比法，后者是演绎法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https://d.book118.com/508032122132006040</w:t>
        </w:r>
      </w:hyperlink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footer" Target="footer3.xml" /><Relationship Id="rId9" Type="http://schemas.openxmlformats.org/officeDocument/2006/relationships/hyperlink" Target="https://d.book118.com/508032122132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