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widowControl/>
        <w:shd w:val="clear" w:color="auto" w:fill="FFFFFF"/>
        <w:spacing w:line="360" w:lineRule="auto"/>
        <w:ind w:left="3474" w:hanging="360" w:leftChars="1483" w:hangingChars="100"/>
        <w:rPr>
          <w:rFonts w:hint="eastAsia"/>
          <w:b/>
          <w:color w:val="000000"/>
          <w:spacing w:val="20"/>
          <w:sz w:val="36"/>
          <w:szCs w:val="36"/>
        </w:rPr>
      </w:pPr>
      <w:bookmarkStart w:id="0" w:name="_GoBack"/>
      <w:bookmarkEnd w:id="0"/>
    </w:p>
    <w:p>
      <w:pPr>
        <w:pStyle w:val="Normal0"/>
        <w:widowControl/>
        <w:shd w:val="clear" w:color="auto" w:fill="FFFFFF"/>
        <w:spacing w:line="360" w:lineRule="auto"/>
        <w:ind w:left="3474" w:hanging="360" w:leftChars="1483" w:hangingChars="100"/>
        <w:rPr>
          <w:rFonts w:hint="eastAsia"/>
          <w:b/>
          <w:color w:val="000000"/>
          <w:spacing w:val="20"/>
          <w:sz w:val="36"/>
          <w:szCs w:val="36"/>
        </w:rPr>
      </w:pPr>
    </w:p>
    <w:p>
      <w:pPr>
        <w:pStyle w:val="Normal0"/>
        <w:widowControl/>
        <w:shd w:val="clear" w:color="auto" w:fill="FFFFFF"/>
        <w:spacing w:line="360" w:lineRule="auto"/>
        <w:ind w:left="3474" w:hanging="360" w:leftChars="1483" w:hangingChars="100"/>
        <w:rPr>
          <w:rFonts w:hint="eastAsia"/>
          <w:b/>
          <w:color w:val="000000"/>
          <w:spacing w:val="20"/>
          <w:sz w:val="36"/>
          <w:szCs w:val="36"/>
        </w:rPr>
      </w:pPr>
    </w:p>
    <w:p>
      <w:pPr>
        <w:pStyle w:val="Normal0"/>
        <w:widowControl/>
        <w:shd w:val="clear" w:color="auto" w:fill="FFFFFF"/>
        <w:spacing w:line="360" w:lineRule="auto"/>
        <w:ind w:left="3474" w:hanging="360" w:leftChars="1483" w:hangingChars="100"/>
        <w:rPr>
          <w:rFonts w:hint="eastAsia"/>
          <w:b/>
          <w:color w:val="000000"/>
          <w:spacing w:val="20"/>
          <w:sz w:val="36"/>
          <w:szCs w:val="36"/>
        </w:rPr>
      </w:pPr>
    </w:p>
    <w:p>
      <w:pPr>
        <w:pStyle w:val="Normal0"/>
        <w:widowControl/>
        <w:shd w:val="clear" w:color="auto" w:fill="FFFFFF"/>
        <w:spacing w:line="360" w:lineRule="auto"/>
        <w:ind w:left="3474" w:hanging="360" w:leftChars="1483" w:hangingChars="100"/>
        <w:rPr>
          <w:rFonts w:hint="eastAsia"/>
          <w:b/>
          <w:color w:val="000000"/>
          <w:spacing w:val="20"/>
          <w:sz w:val="36"/>
          <w:szCs w:val="36"/>
        </w:rPr>
      </w:pPr>
    </w:p>
    <w:p>
      <w:pPr>
        <w:pStyle w:val="Normal0"/>
        <w:widowControl/>
        <w:shd w:val="clear" w:color="auto" w:fill="FFFFFF"/>
        <w:spacing w:line="360" w:lineRule="auto"/>
        <w:ind w:left="3474" w:hanging="360" w:leftChars="1483" w:hangingChars="100"/>
        <w:rPr>
          <w:rFonts w:hint="eastAsia"/>
          <w:b/>
          <w:color w:val="000000"/>
          <w:spacing w:val="20"/>
          <w:sz w:val="36"/>
          <w:szCs w:val="36"/>
        </w:rPr>
      </w:pPr>
      <w:r>
        <w:rPr>
          <w:rFonts w:hint="eastAsia"/>
          <w:b/>
          <w:color w:val="000000"/>
          <w:spacing w:val="20"/>
          <w:sz w:val="36"/>
          <w:szCs w:val="36"/>
          <w:lang w:eastAsia="zh-CN"/>
        </w:rPr>
        <w:t>!</w:t>
      </w:r>
      <w:r>
        <w:rPr>
          <w:rFonts w:hint="eastAsia"/>
          <w:b/>
          <w:color w:val="000000"/>
          <w:spacing w:val="20"/>
          <w:sz w:val="36"/>
          <w:szCs w:val="36"/>
        </w:rPr>
        <w:t>://wenku.baidu.</w:t>
      </w:r>
      <w:r>
        <w:rPr>
          <w:rFonts w:hint="eastAsia"/>
          <w:b/>
          <w:color w:val="000000"/>
          <w:spacing w:val="20"/>
          <w:sz w:val="36"/>
          <w:szCs w:val="36"/>
          <w:lang w:eastAsia="zh-CN"/>
        </w:rPr>
        <w:t>.</w:t>
      </w:r>
      <w:r>
        <w:rPr>
          <w:rFonts w:hint="eastAsia"/>
          <w:b/>
          <w:color w:val="000000"/>
          <w:spacing w:val="20"/>
          <w:sz w:val="36"/>
          <w:szCs w:val="36"/>
        </w:rPr>
        <w:t>/view/afa3f61ac281e53a5802fffc.html</w:t>
      </w:r>
      <w:r>
        <w:rPr>
          <w:rFonts w:hint="eastAsia"/>
          <w:b/>
          <w:color w:val="000000"/>
          <w:spacing w:val="20"/>
          <w:sz w:val="36"/>
          <w:szCs w:val="36"/>
          <w:lang w:eastAsia="zh-CN"/>
        </w:rPr>
        <w:t>大众</w:t>
      </w:r>
    </w:p>
    <w:p>
      <w:pPr>
        <w:pStyle w:val="Normal0"/>
        <w:widowControl/>
        <w:shd w:val="clear" w:color="auto" w:fill="FFFFFF"/>
        <w:spacing w:line="360" w:lineRule="auto"/>
        <w:ind w:left="3474" w:hanging="360" w:leftChars="1483" w:hangingChars="100"/>
        <w:rPr>
          <w:rFonts w:hint="eastAsia"/>
          <w:b/>
          <w:color w:val="000000"/>
          <w:spacing w:val="20"/>
          <w:sz w:val="36"/>
          <w:szCs w:val="36"/>
        </w:rPr>
      </w:pPr>
    </w:p>
    <w:p>
      <w:pPr>
        <w:pStyle w:val="Normal0"/>
        <w:widowControl/>
        <w:shd w:val="clear" w:color="auto" w:fill="FFFFFF"/>
        <w:spacing w:line="360" w:lineRule="auto"/>
        <w:ind w:left="3474" w:hanging="360" w:leftChars="1483" w:hangingChars="100"/>
        <w:rPr>
          <w:rFonts w:hint="eastAsia"/>
          <w:b/>
          <w:color w:val="000000"/>
          <w:spacing w:val="20"/>
          <w:sz w:val="36"/>
          <w:szCs w:val="36"/>
        </w:rPr>
      </w:pPr>
    </w:p>
    <w:p>
      <w:pPr>
        <w:pStyle w:val="Normal0"/>
        <w:widowControl/>
        <w:shd w:val="clear" w:color="auto" w:fill="FFFFFF"/>
        <w:spacing w:line="360" w:lineRule="auto"/>
        <w:ind w:left="3474" w:hanging="360" w:leftChars="1483" w:hangingChars="100"/>
        <w:rPr>
          <w:rFonts w:hint="eastAsia"/>
          <w:b/>
          <w:color w:val="000000"/>
          <w:spacing w:val="20"/>
          <w:sz w:val="36"/>
          <w:szCs w:val="36"/>
        </w:rPr>
      </w:pPr>
    </w:p>
    <w:p>
      <w:pPr>
        <w:pStyle w:val="Normal0"/>
        <w:widowControl/>
        <w:shd w:val="clear" w:color="auto" w:fill="FFFFFF"/>
        <w:spacing w:line="360" w:lineRule="auto"/>
        <w:ind w:left="3474" w:hanging="360" w:leftChars="1483" w:hangingChars="100"/>
        <w:rPr>
          <w:rFonts w:hint="eastAsia"/>
          <w:b/>
          <w:color w:val="000000"/>
          <w:spacing w:val="20"/>
          <w:sz w:val="36"/>
          <w:szCs w:val="36"/>
        </w:rPr>
      </w:pPr>
      <w:r>
        <w:rPr>
          <w:rFonts w:hint="eastAsia"/>
          <w:b/>
          <w:color w:val="000000"/>
          <w:spacing w:val="20"/>
          <w:sz w:val="36"/>
          <w:szCs w:val="36"/>
        </w:rPr>
        <w:t>报 告 目 录</w:t>
      </w:r>
    </w:p>
    <w:p>
      <w:pPr>
        <w:pStyle w:val="NormalWeb"/>
        <w:numPr>
          <w:ilvl w:val="0"/>
          <w:numId w:val="1"/>
        </w:numPr>
        <w:shd w:val="clear" w:color="auto" w:fill="FFFFFF"/>
        <w:spacing w:before="0" w:beforeLines="0" w:beforeAutospacing="0" w:after="0" w:afterLines="0" w:afterAutospacing="0" w:line="360" w:lineRule="auto"/>
        <w:jc w:val="both"/>
        <w:rPr>
          <w:rFonts w:hint="eastAsia"/>
          <w:color w:val="000000"/>
          <w:spacing w:val="20"/>
          <w:sz w:val="30"/>
          <w:szCs w:val="30"/>
        </w:rPr>
      </w:pPr>
      <w:r>
        <w:rPr>
          <w:rFonts w:hint="eastAsia"/>
          <w:color w:val="000000"/>
          <w:spacing w:val="20"/>
          <w:sz w:val="30"/>
          <w:szCs w:val="30"/>
        </w:rPr>
        <w:t xml:space="preserve">  </w:t>
      </w:r>
      <w:r>
        <w:rPr>
          <w:rFonts w:hint="eastAsia"/>
          <w:color w:val="000000"/>
          <w:spacing w:val="20"/>
          <w:sz w:val="30"/>
          <w:szCs w:val="30"/>
          <w:lang w:eastAsia="zh-CN"/>
        </w:rPr>
        <w:t>相关项目</w:t>
      </w:r>
      <w:r>
        <w:rPr>
          <w:rFonts w:hint="eastAsia"/>
          <w:color w:val="000000"/>
          <w:spacing w:val="20"/>
          <w:sz w:val="30"/>
          <w:szCs w:val="30"/>
        </w:rPr>
        <w:t>总论</w:t>
      </w:r>
      <w:r>
        <w:rPr>
          <w:color w:val="000000"/>
          <w:spacing w:val="20"/>
          <w:sz w:val="30"/>
          <w:szCs w:val="30"/>
        </w:rPr>
        <w:t>..........................</w:t>
      </w:r>
      <w:r>
        <w:rPr>
          <w:rFonts w:hint="eastAsia"/>
          <w:color w:val="000000"/>
          <w:spacing w:val="20"/>
          <w:sz w:val="30"/>
          <w:szCs w:val="30"/>
        </w:rPr>
        <w:t>3</w:t>
      </w:r>
    </w:p>
    <w:p>
      <w:pPr>
        <w:pStyle w:val="NormalWeb"/>
        <w:numPr>
          <w:ilvl w:val="0"/>
          <w:numId w:val="1"/>
        </w:numPr>
        <w:shd w:val="clear" w:color="auto" w:fill="FFFFFF"/>
        <w:spacing w:before="0" w:beforeLines="0" w:beforeAutospacing="0" w:after="0" w:afterLines="0" w:afterAutospacing="0" w:line="360" w:lineRule="auto"/>
        <w:jc w:val="both"/>
        <w:rPr>
          <w:rFonts w:hint="eastAsia"/>
          <w:color w:val="000000"/>
          <w:spacing w:val="20"/>
          <w:sz w:val="30"/>
          <w:szCs w:val="30"/>
        </w:rPr>
      </w:pPr>
      <w:r>
        <w:rPr>
          <w:rFonts w:hint="eastAsia"/>
          <w:color w:val="000000"/>
          <w:spacing w:val="20"/>
          <w:sz w:val="30"/>
          <w:szCs w:val="30"/>
        </w:rPr>
        <w:t xml:space="preserve">  市场分析</w:t>
      </w:r>
      <w:r>
        <w:rPr>
          <w:color w:val="000000"/>
          <w:spacing w:val="20"/>
          <w:sz w:val="30"/>
          <w:szCs w:val="30"/>
        </w:rPr>
        <w:t>…………………………………</w:t>
      </w:r>
      <w:r>
        <w:rPr>
          <w:rFonts w:hint="eastAsia"/>
          <w:color w:val="000000"/>
          <w:spacing w:val="20"/>
          <w:sz w:val="30"/>
          <w:szCs w:val="30"/>
        </w:rPr>
        <w:t>9</w:t>
      </w:r>
    </w:p>
    <w:p>
      <w:pPr>
        <w:pStyle w:val="NormalWeb"/>
        <w:numPr>
          <w:ilvl w:val="0"/>
          <w:numId w:val="1"/>
        </w:numPr>
        <w:shd w:val="clear" w:color="auto" w:fill="FFFFFF"/>
        <w:spacing w:before="0" w:beforeLines="0" w:beforeAutospacing="0" w:after="0" w:afterLines="0" w:afterAutospacing="0" w:line="360" w:lineRule="auto"/>
        <w:jc w:val="both"/>
        <w:rPr>
          <w:rFonts w:hint="eastAsia"/>
          <w:color w:val="000000"/>
          <w:spacing w:val="20"/>
          <w:sz w:val="30"/>
          <w:szCs w:val="30"/>
        </w:rPr>
      </w:pPr>
      <w:r>
        <w:rPr>
          <w:rFonts w:hint="eastAsia"/>
          <w:color w:val="000000"/>
          <w:spacing w:val="20"/>
          <w:sz w:val="30"/>
          <w:szCs w:val="30"/>
        </w:rPr>
        <w:t xml:space="preserve">  </w:t>
      </w:r>
      <w:r>
        <w:rPr>
          <w:rFonts w:ascii="ˎ̥" w:hAnsi="ˎ̥" w:cs="宋体" w:hint="eastAsia"/>
          <w:sz w:val="30"/>
          <w:szCs w:val="30"/>
        </w:rPr>
        <w:t>经营可行性分析</w:t>
      </w:r>
      <w:r>
        <w:rPr>
          <w:sz w:val="30"/>
          <w:szCs w:val="30"/>
        </w:rPr>
        <w:t>………………………………</w:t>
      </w:r>
      <w:r>
        <w:rPr>
          <w:rFonts w:hint="eastAsia"/>
          <w:sz w:val="30"/>
          <w:szCs w:val="30"/>
        </w:rPr>
        <w:t>15</w:t>
      </w:r>
    </w:p>
    <w:p>
      <w:pPr>
        <w:pStyle w:val="NormalWeb"/>
        <w:numPr>
          <w:ilvl w:val="0"/>
          <w:numId w:val="1"/>
        </w:numPr>
        <w:shd w:val="clear" w:color="auto" w:fill="FFFFFF"/>
        <w:spacing w:before="0" w:beforeLines="0" w:beforeAutospacing="0" w:after="0" w:afterLines="0" w:afterAutospacing="0" w:line="360" w:lineRule="auto"/>
        <w:jc w:val="both"/>
        <w:rPr>
          <w:rFonts w:hint="eastAsia"/>
          <w:color w:val="000000"/>
          <w:spacing w:val="20"/>
          <w:sz w:val="30"/>
          <w:szCs w:val="30"/>
        </w:rPr>
      </w:pPr>
      <w:r>
        <w:rPr>
          <w:rFonts w:hint="eastAsia"/>
          <w:color w:val="000000"/>
          <w:spacing w:val="20"/>
          <w:sz w:val="30"/>
          <w:szCs w:val="30"/>
        </w:rPr>
        <w:t xml:space="preserve">  </w:t>
      </w:r>
      <w:r>
        <w:rPr>
          <w:rFonts w:ascii="ˎ̥" w:hAnsi="ˎ̥" w:cs="宋体" w:hint="eastAsia"/>
          <w:sz w:val="30"/>
          <w:szCs w:val="30"/>
        </w:rPr>
        <w:t>公司组织结构  ………………………</w:t>
      </w:r>
      <w:r>
        <w:rPr>
          <w:sz w:val="30"/>
          <w:szCs w:val="30"/>
        </w:rPr>
        <w:t>………</w:t>
      </w:r>
      <w:r>
        <w:rPr>
          <w:rFonts w:hint="eastAsia"/>
          <w:sz w:val="30"/>
          <w:szCs w:val="30"/>
        </w:rPr>
        <w:t>18</w:t>
      </w:r>
    </w:p>
    <w:p>
      <w:pPr>
        <w:pStyle w:val="NormalWeb"/>
        <w:numPr>
          <w:ilvl w:val="0"/>
          <w:numId w:val="1"/>
        </w:numPr>
        <w:shd w:val="clear" w:color="auto" w:fill="FFFFFF"/>
        <w:spacing w:before="0" w:beforeLines="0" w:beforeAutospacing="0" w:after="0" w:afterLines="0" w:afterAutospacing="0" w:line="360" w:lineRule="auto"/>
        <w:jc w:val="both"/>
        <w:rPr>
          <w:rFonts w:hint="eastAsia"/>
          <w:spacing w:val="20"/>
          <w:sz w:val="30"/>
          <w:szCs w:val="30"/>
        </w:rPr>
      </w:pPr>
      <w:r>
        <w:rPr>
          <w:rFonts w:ascii="ˎ̥" w:hAnsi="ˎ̥" w:cs="宋体" w:hint="eastAsia"/>
          <w:sz w:val="30"/>
          <w:szCs w:val="30"/>
        </w:rPr>
        <w:t xml:space="preserve">  运营、</w:t>
      </w:r>
      <w:r>
        <w:rPr>
          <w:rFonts w:ascii="ˎ̥" w:hAnsi="ˎ̥" w:cs="宋体" w:hint="eastAsia"/>
          <w:sz w:val="30"/>
          <w:szCs w:val="30"/>
          <w:lang w:eastAsia="zh-CN"/>
        </w:rPr>
        <w:t>管理管控</w:t>
      </w:r>
      <w:r>
        <w:rPr>
          <w:rFonts w:ascii="ˎ̥" w:hAnsi="ˎ̥" w:cs="宋体" w:hint="eastAsia"/>
          <w:sz w:val="30"/>
          <w:szCs w:val="30"/>
        </w:rPr>
        <w:t>和赢利模式…………………</w:t>
      </w:r>
      <w:r>
        <w:rPr>
          <w:sz w:val="30"/>
          <w:szCs w:val="30"/>
        </w:rPr>
        <w:t>………</w:t>
      </w:r>
      <w:r>
        <w:rPr>
          <w:rFonts w:hint="eastAsia"/>
          <w:sz w:val="30"/>
          <w:szCs w:val="30"/>
        </w:rPr>
        <w:t>21</w:t>
      </w:r>
    </w:p>
    <w:p>
      <w:pPr>
        <w:pStyle w:val="NormalWeb"/>
        <w:numPr>
          <w:ilvl w:val="0"/>
          <w:numId w:val="1"/>
        </w:numPr>
        <w:shd w:val="clear" w:color="auto" w:fill="FFFFFF"/>
        <w:spacing w:before="0" w:beforeLines="0" w:beforeAutospacing="0" w:after="0" w:afterLines="0" w:afterAutospacing="0" w:line="360" w:lineRule="auto"/>
        <w:jc w:val="both"/>
        <w:rPr>
          <w:rFonts w:hint="eastAsia"/>
          <w:color w:val="000000"/>
          <w:spacing w:val="20"/>
          <w:sz w:val="30"/>
          <w:szCs w:val="30"/>
        </w:rPr>
      </w:pPr>
      <w:r>
        <w:rPr>
          <w:rFonts w:hint="eastAsia"/>
        </w:rPr>
        <w:t xml:space="preserve">   </w:t>
      </w:r>
      <w:r>
        <w:rPr>
          <w:rFonts w:cs="宋体" w:hint="eastAsia"/>
          <w:sz w:val="30"/>
          <w:szCs w:val="30"/>
          <w:lang w:eastAsia="zh-CN"/>
        </w:rPr>
        <w:t>相关项目管理管控</w:t>
      </w:r>
      <w:r>
        <w:rPr>
          <w:rFonts w:cs="宋体"/>
          <w:sz w:val="30"/>
          <w:szCs w:val="30"/>
        </w:rPr>
        <w:t>与建设进度…………………………</w:t>
      </w:r>
      <w:r>
        <w:rPr>
          <w:rFonts w:cs="宋体" w:hint="eastAsia"/>
          <w:sz w:val="30"/>
          <w:szCs w:val="30"/>
        </w:rPr>
        <w:t>26</w:t>
      </w:r>
    </w:p>
    <w:p>
      <w:pPr>
        <w:pStyle w:val="NormalWeb"/>
        <w:numPr>
          <w:ilvl w:val="0"/>
          <w:numId w:val="1"/>
        </w:numPr>
        <w:shd w:val="clear" w:color="auto" w:fill="FFFFFF"/>
        <w:spacing w:before="0" w:beforeLines="0" w:beforeAutospacing="0" w:after="0" w:afterLines="0" w:afterAutospacing="0" w:line="360" w:lineRule="auto"/>
        <w:jc w:val="both"/>
        <w:rPr>
          <w:rFonts w:hint="eastAsia"/>
          <w:color w:val="000000"/>
          <w:spacing w:val="20"/>
          <w:sz w:val="30"/>
          <w:szCs w:val="30"/>
        </w:rPr>
        <w:sectPr>
          <w:pgSz w:w="11906" w:h="16838"/>
          <w:pgMar w:top="1440" w:right="1797" w:bottom="1440" w:left="1797" w:header="851" w:footer="992" w:gutter="0"/>
          <w:cols w:num="1" w:space="708"/>
          <w:docGrid w:type="lines" w:linePitch="312" w:charSpace="0"/>
        </w:sectPr>
      </w:pPr>
      <w:r>
        <w:rPr>
          <w:rFonts w:hint="eastAsia"/>
          <w:color w:val="000000"/>
          <w:spacing w:val="20"/>
          <w:sz w:val="30"/>
          <w:szCs w:val="30"/>
        </w:rPr>
        <w:t xml:space="preserve">  </w:t>
      </w:r>
      <w:r>
        <w:rPr>
          <w:rFonts w:cs="宋体"/>
          <w:sz w:val="30"/>
          <w:szCs w:val="30"/>
        </w:rPr>
        <w:t>投资估算与资金筹措…………………………</w:t>
      </w:r>
      <w:r>
        <w:rPr>
          <w:rFonts w:cs="宋体" w:hint="eastAsia"/>
          <w:sz w:val="30"/>
          <w:szCs w:val="30"/>
        </w:rPr>
        <w:t>28</w:t>
      </w:r>
    </w:p>
    <w:p>
      <w:pPr>
        <w:pStyle w:val="NormalWeb"/>
        <w:numPr>
          <w:ilvl w:val="0"/>
          <w:numId w:val="1"/>
        </w:numPr>
        <w:shd w:val="clear" w:color="auto" w:fill="FFFFFF"/>
        <w:spacing w:before="0" w:beforeLines="0" w:beforeAutospacing="0" w:after="0" w:afterLines="0" w:afterAutospacing="0" w:line="360" w:lineRule="auto"/>
        <w:jc w:val="both"/>
        <w:rPr>
          <w:rFonts w:hint="eastAsia"/>
          <w:color w:val="000000"/>
          <w:spacing w:val="20"/>
          <w:sz w:val="30"/>
          <w:szCs w:val="30"/>
        </w:rPr>
      </w:pPr>
      <w:r>
        <w:rPr>
          <w:rFonts w:hint="eastAsia"/>
          <w:color w:val="000000"/>
          <w:spacing w:val="20"/>
          <w:sz w:val="30"/>
          <w:szCs w:val="30"/>
        </w:rPr>
        <w:t xml:space="preserve">  </w:t>
      </w:r>
      <w:r>
        <w:rPr>
          <w:rFonts w:hint="eastAsia"/>
          <w:sz w:val="30"/>
          <w:szCs w:val="30"/>
          <w:lang w:eastAsia="zh-CN"/>
        </w:rPr>
        <w:t>相关项目</w:t>
      </w:r>
      <w:r>
        <w:rPr>
          <w:rFonts w:hint="eastAsia"/>
          <w:sz w:val="30"/>
          <w:szCs w:val="30"/>
        </w:rPr>
        <w:t>经济效益评价......................30</w:t>
      </w:r>
    </w:p>
    <w:p>
      <w:pPr>
        <w:pStyle w:val="NormalWeb"/>
        <w:numPr>
          <w:ilvl w:val="0"/>
          <w:numId w:val="1"/>
        </w:numPr>
        <w:shd w:val="clear" w:color="auto" w:fill="FFFFFF"/>
        <w:spacing w:before="0" w:beforeLines="0" w:beforeAutospacing="0" w:after="0" w:afterLines="0" w:afterAutospacing="0" w:line="360" w:lineRule="auto"/>
        <w:jc w:val="both"/>
        <w:rPr>
          <w:rFonts w:hint="eastAsia"/>
          <w:color w:val="000000"/>
          <w:spacing w:val="20"/>
          <w:sz w:val="30"/>
          <w:szCs w:val="30"/>
        </w:rPr>
      </w:pPr>
      <w:r>
        <w:rPr>
          <w:rFonts w:hint="eastAsia"/>
          <w:color w:val="000000"/>
          <w:spacing w:val="20"/>
          <w:sz w:val="30"/>
          <w:szCs w:val="30"/>
        </w:rPr>
        <w:t xml:space="preserve">  可行性研究结论与建议</w:t>
      </w:r>
      <w:r>
        <w:rPr>
          <w:color w:val="000000"/>
          <w:spacing w:val="20"/>
          <w:sz w:val="30"/>
          <w:szCs w:val="30"/>
        </w:rPr>
        <w:t>............</w:t>
      </w:r>
      <w:r>
        <w:rPr>
          <w:rFonts w:hint="eastAsia"/>
          <w:color w:val="000000"/>
          <w:spacing w:val="20"/>
          <w:sz w:val="30"/>
          <w:szCs w:val="30"/>
        </w:rPr>
        <w:t>36</w:t>
      </w:r>
    </w:p>
    <w:p>
      <w:pPr>
        <w:pStyle w:val="NormalWeb"/>
        <w:shd w:val="clear" w:color="auto" w:fill="FFFFFF"/>
        <w:spacing w:before="0" w:beforeLines="0" w:beforeAutospacing="0" w:after="0" w:afterLines="0" w:afterAutospacing="0" w:line="360" w:lineRule="auto"/>
        <w:ind w:left="560"/>
        <w:jc w:val="both"/>
        <w:rPr>
          <w:rFonts w:hint="eastAsia"/>
          <w:color w:val="000000"/>
          <w:spacing w:val="20"/>
          <w:sz w:val="28"/>
          <w:szCs w:val="28"/>
        </w:rPr>
      </w:pPr>
    </w:p>
    <w:p>
      <w:pPr>
        <w:pStyle w:val="NormalWeb"/>
        <w:shd w:val="clear" w:color="auto" w:fill="FFFFFF"/>
        <w:spacing w:before="0" w:beforeLines="0" w:beforeAutospacing="0" w:after="0" w:afterLines="0" w:afterAutospacing="0" w:line="360" w:lineRule="auto"/>
        <w:ind w:firstLine="560"/>
        <w:jc w:val="both"/>
        <w:rPr>
          <w:rFonts w:hint="eastAsia"/>
          <w:color w:val="000000"/>
          <w:spacing w:val="20"/>
          <w:sz w:val="28"/>
          <w:szCs w:val="28"/>
        </w:rPr>
      </w:pPr>
      <w:r>
        <w:rPr>
          <w:rFonts w:hint="eastAsia"/>
          <w:color w:val="000000"/>
          <w:spacing w:val="20"/>
          <w:sz w:val="28"/>
          <w:szCs w:val="28"/>
        </w:rPr>
        <w:t xml:space="preserve">  </w:t>
      </w:r>
    </w:p>
    <w:p>
      <w:pPr>
        <w:pStyle w:val="NormalWeb"/>
        <w:shd w:val="clear" w:color="auto" w:fill="FFFFFF"/>
        <w:spacing w:before="0" w:beforeLines="0" w:beforeAutospacing="0" w:after="0" w:afterLines="0" w:afterAutospacing="0" w:line="360" w:lineRule="auto"/>
        <w:ind w:firstLine="560"/>
        <w:jc w:val="both"/>
        <w:rPr>
          <w:rFonts w:hint="eastAsia"/>
          <w:color w:val="000000"/>
          <w:spacing w:val="20"/>
          <w:sz w:val="28"/>
          <w:szCs w:val="28"/>
        </w:rPr>
      </w:pPr>
    </w:p>
    <w:p>
      <w:pPr>
        <w:pStyle w:val="Normal0"/>
        <w:spacing w:line="360" w:lineRule="auto"/>
        <w:rPr>
          <w:rFonts w:hint="eastAsia"/>
        </w:rPr>
      </w:pPr>
    </w:p>
    <w:p>
      <w:pPr>
        <w:pStyle w:val="Normal0"/>
        <w:spacing w:line="360" w:lineRule="auto"/>
        <w:rPr>
          <w:rFonts w:hint="eastAsia"/>
        </w:rPr>
      </w:pPr>
    </w:p>
    <w:p>
      <w:pPr>
        <w:pStyle w:val="Normal0"/>
        <w:spacing w:line="360" w:lineRule="auto"/>
        <w:rPr>
          <w:rFonts w:hint="eastAsia"/>
        </w:rPr>
      </w:pPr>
    </w:p>
    <w:p>
      <w:pPr>
        <w:pStyle w:val="Normal0"/>
        <w:spacing w:line="360" w:lineRule="auto"/>
        <w:rPr>
          <w:rFonts w:hint="eastAsia"/>
        </w:rPr>
      </w:pPr>
    </w:p>
    <w:p>
      <w:pPr>
        <w:pStyle w:val="Normal0"/>
        <w:spacing w:line="360" w:lineRule="auto"/>
        <w:rPr>
          <w:rFonts w:hint="eastAsia"/>
        </w:rPr>
      </w:pPr>
    </w:p>
    <w:p>
      <w:pPr>
        <w:pStyle w:val="Normal0"/>
        <w:spacing w:line="340" w:lineRule="exact"/>
        <w:rPr>
          <w:rFonts w:hint="eastAsia"/>
        </w:rPr>
      </w:pPr>
    </w:p>
    <w:p>
      <w:pPr>
        <w:pStyle w:val="Normal0"/>
        <w:spacing w:line="340" w:lineRule="exact"/>
        <w:rPr>
          <w:rFonts w:hint="eastAsia"/>
        </w:rPr>
      </w:pPr>
    </w:p>
    <w:p>
      <w:pPr>
        <w:pStyle w:val="Normal0"/>
        <w:spacing w:line="340" w:lineRule="exact"/>
        <w:rPr>
          <w:rFonts w:hint="eastAsia"/>
        </w:rPr>
      </w:pPr>
    </w:p>
    <w:p>
      <w:pPr>
        <w:pStyle w:val="Normal0"/>
        <w:spacing w:line="340" w:lineRule="exact"/>
        <w:rPr>
          <w:rFonts w:hint="eastAsia"/>
        </w:rPr>
      </w:pPr>
    </w:p>
    <w:p>
      <w:pPr>
        <w:pStyle w:val="NormalWeb"/>
        <w:shd w:val="clear" w:color="auto" w:fill="FFFFFF"/>
        <w:spacing w:before="0" w:beforeLines="0" w:beforeAutospacing="0" w:after="0" w:afterLines="0" w:afterAutospacing="0" w:line="360" w:lineRule="auto"/>
        <w:ind w:firstLine="560"/>
        <w:jc w:val="center"/>
        <w:rPr>
          <w:rFonts w:hint="eastAsia"/>
          <w:b/>
          <w:color w:val="000000"/>
          <w:spacing w:val="20"/>
          <w:sz w:val="28"/>
          <w:szCs w:val="28"/>
        </w:rPr>
      </w:pPr>
    </w:p>
    <w:p>
      <w:pPr>
        <w:pStyle w:val="NormalWeb"/>
        <w:shd w:val="clear" w:color="auto" w:fill="FFFFFF"/>
        <w:spacing w:before="0" w:beforeLines="0" w:beforeAutospacing="0" w:after="0" w:afterLines="0" w:afterAutospacing="0" w:line="360" w:lineRule="auto"/>
        <w:ind w:firstLine="560"/>
        <w:jc w:val="center"/>
        <w:rPr>
          <w:rFonts w:hint="eastAsia"/>
          <w:b/>
          <w:color w:val="000000"/>
          <w:spacing w:val="20"/>
          <w:sz w:val="28"/>
          <w:szCs w:val="28"/>
        </w:rPr>
        <w:sectPr>
          <w:type w:val="nextPage"/>
          <w:pgSz w:w="11906" w:h="16838"/>
          <w:pgMar w:top="1440" w:right="1797" w:bottom="1440" w:left="1797" w:header="851" w:footer="992" w:gutter="0"/>
          <w:pgNumType w:start="2"/>
          <w:cols w:num="1" w:space="708"/>
          <w:titlePg w:val="0"/>
          <w:docGrid w:type="lines" w:linePitch="312" w:charSpace="0"/>
        </w:sectPr>
      </w:pPr>
    </w:p>
    <w:p>
      <w:pPr>
        <w:pStyle w:val="NormalWeb"/>
        <w:shd w:val="clear" w:color="auto" w:fill="FFFFFF"/>
        <w:spacing w:before="0" w:beforeLines="0" w:beforeAutospacing="0" w:after="0" w:afterLines="0" w:afterAutospacing="0" w:line="360" w:lineRule="auto"/>
        <w:ind w:firstLine="560"/>
        <w:jc w:val="center"/>
        <w:rPr>
          <w:rFonts w:hint="eastAsia"/>
          <w:b/>
          <w:color w:val="000000"/>
          <w:spacing w:val="20"/>
          <w:sz w:val="28"/>
          <w:szCs w:val="28"/>
        </w:rPr>
      </w:pPr>
      <w:r>
        <w:rPr>
          <w:rFonts w:hint="eastAsia"/>
          <w:b/>
          <w:color w:val="000000"/>
          <w:spacing w:val="20"/>
          <w:sz w:val="28"/>
          <w:szCs w:val="28"/>
        </w:rPr>
        <w:t xml:space="preserve">第一章    </w:t>
      </w:r>
      <w:r>
        <w:rPr>
          <w:b/>
          <w:color w:val="000000"/>
          <w:spacing w:val="20"/>
          <w:sz w:val="28"/>
          <w:szCs w:val="28"/>
        </w:rPr>
        <w:t>总    论</w:t>
      </w:r>
    </w:p>
    <w:p>
      <w:pPr>
        <w:pStyle w:val="Normal0"/>
        <w:spacing w:line="360" w:lineRule="auto"/>
        <w:rPr>
          <w:rFonts w:hint="eastAsia"/>
          <w:color w:val="000000"/>
          <w:spacing w:val="20"/>
          <w:sz w:val="28"/>
          <w:szCs w:val="28"/>
        </w:rPr>
      </w:pPr>
      <w:r>
        <w:rPr>
          <w:rFonts w:hint="eastAsia"/>
          <w:color w:val="000000"/>
          <w:spacing w:val="20"/>
          <w:sz w:val="28"/>
          <w:szCs w:val="28"/>
        </w:rPr>
        <w:t>一、</w:t>
      </w:r>
      <w:r>
        <w:rPr>
          <w:rFonts w:hint="eastAsia"/>
          <w:b/>
          <w:color w:val="000000"/>
          <w:spacing w:val="20"/>
          <w:sz w:val="28"/>
          <w:szCs w:val="28"/>
          <w:lang w:eastAsia="zh-CN"/>
        </w:rPr>
        <w:t>相关项目</w:t>
      </w:r>
      <w:r>
        <w:rPr>
          <w:b/>
          <w:color w:val="000000"/>
          <w:spacing w:val="20"/>
          <w:sz w:val="28"/>
          <w:szCs w:val="28"/>
        </w:rPr>
        <w:t>背景</w:t>
      </w:r>
      <w:r>
        <w:rPr>
          <w:color w:val="000000"/>
          <w:spacing w:val="20"/>
        </w:rPr>
        <w:br/>
      </w:r>
      <w:r>
        <w:rPr>
          <w:rFonts w:hint="eastAsia"/>
          <w:color w:val="000000"/>
          <w:spacing w:val="20"/>
          <w:sz w:val="28"/>
          <w:szCs w:val="28"/>
        </w:rPr>
        <w:t>（一）</w:t>
      </w:r>
      <w:r>
        <w:rPr>
          <w:color w:val="000000"/>
          <w:spacing w:val="20"/>
          <w:sz w:val="28"/>
          <w:szCs w:val="28"/>
        </w:rPr>
        <w:t>  </w:t>
      </w:r>
      <w:r>
        <w:rPr>
          <w:rFonts w:hint="eastAsia"/>
          <w:color w:val="000000"/>
          <w:spacing w:val="20"/>
          <w:sz w:val="28"/>
          <w:szCs w:val="28"/>
          <w:lang w:eastAsia="zh-CN"/>
        </w:rPr>
        <w:t>相关项目</w:t>
      </w:r>
      <w:r>
        <w:rPr>
          <w:color w:val="000000"/>
          <w:spacing w:val="20"/>
          <w:sz w:val="28"/>
          <w:szCs w:val="28"/>
        </w:rPr>
        <w:t>名称： </w:t>
      </w:r>
      <w:r>
        <w:rPr>
          <w:rFonts w:ascii="宋体" w:hAnsi="宋体" w:hint="eastAsia"/>
          <w:sz w:val="28"/>
          <w:szCs w:val="28"/>
        </w:rPr>
        <w:t>呼和浩特顺宝行宝马4S店建设</w:t>
      </w:r>
      <w:r>
        <w:rPr>
          <w:rFonts w:ascii="宋体" w:hAnsi="宋体" w:hint="eastAsia"/>
          <w:sz w:val="28"/>
          <w:szCs w:val="28"/>
          <w:lang w:eastAsia="zh-CN"/>
        </w:rPr>
        <w:t>相关项目</w:t>
      </w:r>
      <w:r>
        <w:rPr>
          <w:color w:val="000000"/>
          <w:spacing w:val="20"/>
        </w:rPr>
        <w:br/>
      </w:r>
      <w:r>
        <w:rPr>
          <w:rFonts w:hint="eastAsia"/>
          <w:color w:val="000000"/>
          <w:spacing w:val="20"/>
          <w:sz w:val="28"/>
          <w:szCs w:val="28"/>
        </w:rPr>
        <w:t>（二）</w:t>
      </w:r>
      <w:r>
        <w:rPr>
          <w:color w:val="000000"/>
          <w:spacing w:val="20"/>
          <w:sz w:val="28"/>
          <w:szCs w:val="28"/>
        </w:rPr>
        <w:t>  承办单位概况：</w:t>
      </w:r>
      <w:r>
        <w:rPr>
          <w:color w:val="000000"/>
          <w:spacing w:val="20"/>
        </w:rPr>
        <w:br/>
      </w:r>
      <w:r>
        <w:rPr>
          <w:rFonts w:hint="eastAsia"/>
          <w:color w:val="000000"/>
          <w:spacing w:val="20"/>
        </w:rPr>
        <w:t xml:space="preserve">    </w:t>
      </w:r>
      <w:r>
        <w:rPr>
          <w:rFonts w:ascii="宋体" w:hAnsi="宋体" w:hint="eastAsia"/>
          <w:sz w:val="28"/>
          <w:szCs w:val="28"/>
        </w:rPr>
        <w:t>山西顺宝行商贸有限公司</w:t>
      </w:r>
    </w:p>
    <w:p>
      <w:pPr>
        <w:pStyle w:val="Normal0"/>
        <w:spacing w:line="360" w:lineRule="auto"/>
        <w:ind w:firstLine="560" w:firstLineChars="200"/>
        <w:rPr>
          <w:rFonts w:ascii="宋体" w:hAnsi="宋体" w:hint="eastAsia"/>
          <w:color w:val="000000"/>
          <w:sz w:val="28"/>
          <w:szCs w:val="28"/>
        </w:rPr>
      </w:pPr>
      <w:r>
        <w:rPr>
          <w:rFonts w:ascii="宋体" w:hAnsi="宋体"/>
          <w:color w:val="000000"/>
          <w:sz w:val="28"/>
          <w:szCs w:val="28"/>
        </w:rPr>
        <w:t>山西顺宝行汽车销售集团</w:t>
      </w:r>
      <w:r>
        <w:rPr>
          <w:rFonts w:ascii="宋体" w:hAnsi="宋体" w:hint="eastAsia"/>
          <w:color w:val="000000"/>
          <w:sz w:val="28"/>
          <w:szCs w:val="28"/>
        </w:rPr>
        <w:t>是以BMW（宝马）和MINI品牌汽车销售为龙头，汽车配件及用品销售及汽车维修为两翼的综合性汽车贸易集团公司，</w:t>
      </w:r>
      <w:r>
        <w:rPr>
          <w:rFonts w:ascii="宋体" w:hAnsi="宋体"/>
          <w:color w:val="000000"/>
          <w:sz w:val="28"/>
          <w:szCs w:val="28"/>
        </w:rPr>
        <w:t>总注册资金为</w:t>
      </w:r>
      <w:r>
        <w:rPr>
          <w:rFonts w:ascii="宋体" w:hAnsi="宋体" w:hint="eastAsia"/>
          <w:color w:val="000000"/>
          <w:sz w:val="28"/>
          <w:szCs w:val="28"/>
        </w:rPr>
        <w:t>1.7亿</w:t>
      </w:r>
      <w:r>
        <w:rPr>
          <w:rFonts w:ascii="宋体" w:hAnsi="宋体"/>
          <w:color w:val="000000"/>
          <w:sz w:val="28"/>
          <w:szCs w:val="28"/>
        </w:rPr>
        <w:t>人民币。集团下属公司有太原顺宝行汽车销售服务有限公司、鄂尔多斯市顺宝行汽车销售服务有限公司、大同市顺宝行汽车销售服务有限公司、</w:t>
      </w:r>
      <w:r>
        <w:rPr>
          <w:rFonts w:ascii="宋体" w:hAnsi="宋体" w:hint="eastAsia"/>
          <w:color w:val="000000"/>
          <w:sz w:val="28"/>
          <w:szCs w:val="28"/>
        </w:rPr>
        <w:t>吕梁顺宝行汽车销售服务有限公司、北京顺宝行汽车销售服务有限公司及呼和浩特市顺宝行汽车销售服务有限公司</w:t>
      </w:r>
      <w:r>
        <w:rPr>
          <w:rFonts w:ascii="宋体" w:hAnsi="宋体"/>
          <w:color w:val="000000"/>
          <w:sz w:val="28"/>
          <w:szCs w:val="28"/>
        </w:rPr>
        <w:t>。</w:t>
      </w:r>
    </w:p>
    <w:p>
      <w:pPr>
        <w:pStyle w:val="Normal0"/>
        <w:spacing w:line="360" w:lineRule="auto"/>
        <w:ind w:left="210" w:firstLine="560" w:leftChars="100" w:firstLineChars="200"/>
        <w:rPr>
          <w:rFonts w:ascii="宋体" w:hAnsi="宋体" w:hint="eastAsia"/>
          <w:color w:val="000000"/>
          <w:sz w:val="28"/>
          <w:szCs w:val="28"/>
        </w:rPr>
      </w:pPr>
      <w:r>
        <w:rPr>
          <w:rFonts w:ascii="宋体" w:hAnsi="宋体"/>
          <w:color w:val="000000"/>
          <w:sz w:val="28"/>
          <w:szCs w:val="28"/>
        </w:rPr>
        <w:t>山西顺宝行汽车销售集团是山西省最早涉足汽车销售的公司之一，在山西省乃至内蒙古地区汽车销售业具有相当高的知名度与美誉度。太原顺宝行和鄂尔多斯市顺宝行分别是太原地区和鄂尔多斯地区华晨宝马</w:t>
      </w:r>
      <w:r>
        <w:rPr>
          <w:rFonts w:ascii="宋体" w:hAnsi="宋体" w:hint="eastAsia"/>
          <w:color w:val="000000"/>
          <w:sz w:val="28"/>
          <w:szCs w:val="28"/>
        </w:rPr>
        <w:t>、宝马中国</w:t>
      </w:r>
      <w:r>
        <w:rPr>
          <w:rFonts w:ascii="宋体" w:hAnsi="宋体"/>
          <w:color w:val="000000"/>
          <w:sz w:val="28"/>
          <w:szCs w:val="28"/>
        </w:rPr>
        <w:t>最早授权特许经销商。</w:t>
      </w:r>
      <w:r>
        <w:rPr>
          <w:rFonts w:ascii="宋体" w:hAnsi="宋体" w:hint="eastAsia"/>
          <w:color w:val="000000"/>
          <w:sz w:val="28"/>
          <w:szCs w:val="28"/>
        </w:rPr>
        <w:t>山西顺宝行2010年销量近</w:t>
      </w:r>
      <w:r>
        <w:rPr>
          <w:rFonts w:ascii="宋体" w:hAnsi="宋体" w:hint="eastAsia"/>
          <w:color w:val="FF0000"/>
          <w:sz w:val="28"/>
          <w:szCs w:val="28"/>
        </w:rPr>
        <w:t>2000</w:t>
      </w:r>
      <w:r>
        <w:rPr>
          <w:rFonts w:ascii="宋体" w:hAnsi="宋体" w:hint="eastAsia"/>
          <w:color w:val="000000"/>
          <w:sz w:val="28"/>
          <w:szCs w:val="28"/>
        </w:rPr>
        <w:t>台，年销售收入可达到</w:t>
      </w:r>
      <w:r>
        <w:rPr>
          <w:rFonts w:ascii="宋体" w:hAnsi="宋体" w:hint="eastAsia"/>
          <w:color w:val="FF0000"/>
          <w:sz w:val="28"/>
          <w:szCs w:val="28"/>
        </w:rPr>
        <w:t>12</w:t>
      </w:r>
      <w:r>
        <w:rPr>
          <w:rFonts w:ascii="宋体" w:hAnsi="宋体" w:hint="eastAsia"/>
          <w:color w:val="000000"/>
          <w:sz w:val="28"/>
          <w:szCs w:val="28"/>
        </w:rPr>
        <w:t>亿元左右。即将成立的</w:t>
      </w:r>
      <w:r>
        <w:rPr>
          <w:rFonts w:ascii="宋体" w:hAnsi="宋体" w:hint="eastAsia"/>
          <w:sz w:val="28"/>
          <w:szCs w:val="28"/>
        </w:rPr>
        <w:t>呼和浩特</w:t>
      </w:r>
      <w:r>
        <w:rPr>
          <w:rFonts w:ascii="宋体" w:hAnsi="宋体"/>
          <w:color w:val="000000"/>
          <w:sz w:val="28"/>
          <w:szCs w:val="28"/>
        </w:rPr>
        <w:t>顺宝行汽车销售服务有限公司</w:t>
      </w:r>
      <w:r>
        <w:rPr>
          <w:rFonts w:ascii="宋体" w:hAnsi="宋体" w:hint="eastAsia"/>
          <w:color w:val="000000"/>
          <w:sz w:val="28"/>
          <w:szCs w:val="28"/>
        </w:rPr>
        <w:t>预计总投资</w:t>
      </w:r>
      <w:r>
        <w:rPr>
          <w:rFonts w:ascii="宋体" w:hAnsi="宋体" w:hint="eastAsia"/>
          <w:color w:val="FF0000"/>
          <w:sz w:val="28"/>
          <w:szCs w:val="28"/>
        </w:rPr>
        <w:t>7017</w:t>
      </w:r>
      <w:r>
        <w:rPr>
          <w:rFonts w:ascii="宋体" w:hAnsi="宋体" w:hint="eastAsia"/>
          <w:sz w:val="28"/>
          <w:szCs w:val="28"/>
        </w:rPr>
        <w:t>万元。预计建成后可新增就业岗位70个，实现年整车销售收入</w:t>
      </w:r>
      <w:r>
        <w:rPr>
          <w:rFonts w:ascii="宋体" w:hAnsi="宋体" w:hint="eastAsia"/>
          <w:b/>
          <w:sz w:val="28"/>
          <w:szCs w:val="28"/>
        </w:rPr>
        <w:t>52000</w:t>
      </w:r>
      <w:r>
        <w:rPr>
          <w:rFonts w:ascii="宋体" w:hAnsi="宋体" w:hint="eastAsia"/>
          <w:sz w:val="28"/>
          <w:szCs w:val="28"/>
        </w:rPr>
        <w:t>万元，上缴利税500万</w:t>
      </w:r>
      <w:r>
        <w:rPr>
          <w:rFonts w:ascii="宋体" w:hAnsi="宋体" w:hint="eastAsia"/>
          <w:color w:val="000000"/>
          <w:sz w:val="28"/>
          <w:szCs w:val="28"/>
        </w:rPr>
        <w:t>元。</w:t>
      </w:r>
    </w:p>
    <w:p>
      <w:pPr>
        <w:pStyle w:val="Normal0"/>
        <w:spacing w:line="360" w:lineRule="auto"/>
        <w:ind w:firstLine="560" w:firstLineChars="200"/>
        <w:rPr>
          <w:rFonts w:ascii="宋体" w:hAnsi="宋体" w:hint="eastAsia"/>
          <w:color w:val="000000"/>
          <w:sz w:val="28"/>
          <w:szCs w:val="28"/>
        </w:rPr>
        <w:sectPr>
          <w:type w:val="nextPage"/>
          <w:pgSz w:w="11906" w:h="16838"/>
          <w:pgMar w:top="1440" w:right="1797" w:bottom="1440" w:left="1797" w:header="851" w:footer="992" w:gutter="0"/>
          <w:pgNumType w:start="3"/>
          <w:cols w:num="1" w:space="708"/>
          <w:titlePg w:val="0"/>
          <w:docGrid w:type="lines" w:linePitch="312" w:charSpace="0"/>
        </w:sectPr>
      </w:pPr>
      <w:r>
        <w:rPr>
          <w:rFonts w:ascii="宋体" w:hAnsi="宋体" w:hint="eastAsia"/>
          <w:color w:val="000000"/>
          <w:sz w:val="28"/>
          <w:szCs w:val="28"/>
        </w:rPr>
        <w:t>山西顺宝行提供 BMW全线产品</w:t>
      </w:r>
      <w:r>
        <w:rPr>
          <w:rFonts w:ascii="宋体" w:hAnsi="宋体" w:hint="eastAsia"/>
          <w:sz w:val="28"/>
          <w:szCs w:val="28"/>
        </w:rPr>
        <w:t>及MINI</w:t>
      </w:r>
    </w:p>
    <w:p>
      <w:pPr>
        <w:pStyle w:val="Normal0"/>
        <w:spacing w:line="360" w:lineRule="auto"/>
        <w:ind w:firstLine="560" w:firstLineChars="200"/>
        <w:rPr>
          <w:rFonts w:ascii="宋体" w:hAnsi="宋体" w:hint="eastAsia"/>
          <w:color w:val="000000"/>
          <w:sz w:val="28"/>
          <w:szCs w:val="28"/>
        </w:rPr>
      </w:pPr>
      <w:r>
        <w:rPr>
          <w:rFonts w:ascii="宋体" w:hAnsi="宋体" w:hint="eastAsia"/>
          <w:color w:val="000000"/>
          <w:sz w:val="28"/>
          <w:szCs w:val="28"/>
        </w:rPr>
        <w:t>的汽车销售、以及原厂配件、售后、服务、信息反馈等服务。维修中心拥有经验丰富并经过专业培训的维修技师，设有专业车辆检测诊断及维修设备，为广大BMW用户提供完全符合BMW集团全球规范的专业售后服务和服务理念。动力、性能和无限的驾乘乐趣是宝马集团产品的品牌内涵和几十年来不断发展的充分体现，作为BMW授权经销商，山西顺宝行承诺将BMW集团的优质产品提供给广大消费者，并且将BMW集团的品牌文化和企业创新精神贯穿到自身的企业文化中，以最为专业优秀的服务为顾客带来更完美的BMW体验。</w:t>
      </w:r>
    </w:p>
    <w:p>
      <w:pPr>
        <w:pStyle w:val="Normal0"/>
        <w:spacing w:line="360" w:lineRule="auto"/>
        <w:ind w:firstLine="560" w:firstLineChars="200"/>
        <w:rPr>
          <w:rFonts w:ascii="宋体" w:hAnsi="宋体" w:hint="eastAsia"/>
          <w:color w:val="339966"/>
          <w:sz w:val="28"/>
          <w:szCs w:val="28"/>
        </w:rPr>
      </w:pPr>
      <w:r>
        <w:rPr>
          <w:rFonts w:ascii="宋体" w:hAnsi="宋体" w:hint="eastAsia"/>
          <w:color w:val="339966"/>
          <w:sz w:val="28"/>
          <w:szCs w:val="28"/>
        </w:rPr>
        <w:t>山西顺宝行在发展壮大自身的同时，没有忘记回馈社会，承担起属于自己的那份社会责任。从2005年起山西顺宝行创立了“山西省葵花助学基金”，每年捐资20万元，帮助应届贫困学子圆大学梦想，截止到2010年，山西顺宝行已捐助115万元，帮助57贫困孩子上了大学。2010年，山西顺宝行又设立了“高校实习</w:t>
      </w:r>
      <w:r>
        <w:rPr>
          <w:rFonts w:ascii="宋体" w:hAnsi="宋体" w:hint="eastAsia"/>
          <w:color w:val="339966"/>
          <w:sz w:val="28"/>
          <w:szCs w:val="28"/>
          <w:lang w:eastAsia="zh-CN"/>
        </w:rPr>
        <w:t>相关项目</w:t>
      </w:r>
      <w:r>
        <w:rPr>
          <w:rFonts w:ascii="宋体" w:hAnsi="宋体" w:hint="eastAsia"/>
          <w:color w:val="339966"/>
          <w:sz w:val="28"/>
          <w:szCs w:val="28"/>
        </w:rPr>
        <w:t>”，与山西省交通技术学校联合办学，每年吸收30名优秀大学生，为其提供实习机会，前往全国各地生活、工作，分担大学生就业难的社会问题。山西顺宝行始终以“捐资助学、发展教育”为己任。</w:t>
      </w:r>
    </w:p>
    <w:p>
      <w:pPr>
        <w:pStyle w:val="Normal0"/>
        <w:spacing w:line="360" w:lineRule="auto"/>
        <w:rPr>
          <w:rFonts w:ascii="ˎ̥" w:hAnsi="ˎ̥" w:cs="宋体" w:hint="eastAsia"/>
          <w:b/>
          <w:kern w:val="0"/>
          <w:sz w:val="28"/>
          <w:szCs w:val="28"/>
        </w:rPr>
      </w:pPr>
      <w:r>
        <w:rPr>
          <w:rFonts w:ascii="ˎ̥" w:hAnsi="ˎ̥" w:cs="宋体" w:hint="eastAsia"/>
          <w:b/>
          <w:kern w:val="0"/>
          <w:sz w:val="28"/>
          <w:szCs w:val="28"/>
        </w:rPr>
        <w:t>（三）</w:t>
      </w:r>
      <w:r>
        <w:rPr>
          <w:rFonts w:ascii="ˎ̥" w:hAnsi="ˎ̥" w:cs="宋体"/>
          <w:b/>
          <w:kern w:val="0"/>
          <w:sz w:val="28"/>
          <w:szCs w:val="28"/>
        </w:rPr>
        <w:t>公司的经营宗旨是：</w:t>
      </w:r>
    </w:p>
    <w:p>
      <w:pPr>
        <w:pStyle w:val="Normal0"/>
        <w:spacing w:line="360" w:lineRule="auto"/>
        <w:ind w:firstLine="560" w:firstLineChars="200"/>
        <w:rPr>
          <w:rFonts w:hint="eastAsia"/>
          <w:kern w:val="0"/>
          <w:sz w:val="28"/>
          <w:szCs w:val="28"/>
        </w:rPr>
        <w:sectPr>
          <w:type w:val="nextPage"/>
          <w:pgSz w:w="11906" w:h="16838"/>
          <w:pgMar w:top="1440" w:right="1797" w:bottom="1440" w:left="1797" w:header="851" w:footer="992" w:gutter="0"/>
          <w:pgNumType w:start="4"/>
          <w:cols w:num="1" w:space="708"/>
          <w:titlePg w:val="0"/>
          <w:docGrid w:type="lines" w:linePitch="312" w:charSpace="0"/>
        </w:sectPr>
      </w:pPr>
      <w:r>
        <w:rPr>
          <w:rFonts w:hint="eastAsia"/>
          <w:kern w:val="0"/>
          <w:sz w:val="28"/>
          <w:szCs w:val="28"/>
        </w:rPr>
        <w:t>品位</w:t>
      </w:r>
      <w:r>
        <w:rPr>
          <w:kern w:val="0"/>
          <w:sz w:val="28"/>
          <w:szCs w:val="28"/>
        </w:rPr>
        <w:t>生活--</w:t>
      </w:r>
      <w:r>
        <w:rPr>
          <w:color w:val="000000"/>
          <w:sz w:val="28"/>
          <w:szCs w:val="28"/>
        </w:rPr>
        <w:t>将BMW集团的优质产品</w:t>
      </w:r>
      <w:r>
        <w:rPr>
          <w:rFonts w:hint="eastAsia"/>
          <w:color w:val="000000"/>
          <w:sz w:val="28"/>
          <w:szCs w:val="28"/>
        </w:rPr>
        <w:t>和尊贵服务</w:t>
      </w:r>
      <w:r>
        <w:rPr>
          <w:color w:val="000000"/>
          <w:sz w:val="28"/>
          <w:szCs w:val="28"/>
        </w:rPr>
        <w:t>提供给广大消费者</w:t>
      </w:r>
      <w:r>
        <w:rPr>
          <w:kern w:val="0"/>
          <w:sz w:val="28"/>
          <w:szCs w:val="28"/>
        </w:rPr>
        <w:t>，让</w:t>
      </w:r>
      <w:r>
        <w:rPr>
          <w:rFonts w:hint="eastAsia"/>
          <w:kern w:val="0"/>
          <w:sz w:val="28"/>
          <w:szCs w:val="28"/>
        </w:rPr>
        <w:t>客户</w:t>
      </w:r>
      <w:r>
        <w:rPr>
          <w:kern w:val="0"/>
          <w:sz w:val="28"/>
          <w:szCs w:val="28"/>
        </w:rPr>
        <w:t>的生活更加简便、</w:t>
      </w:r>
      <w:r>
        <w:rPr>
          <w:rFonts w:hint="eastAsia"/>
          <w:kern w:val="0"/>
          <w:sz w:val="28"/>
          <w:szCs w:val="28"/>
        </w:rPr>
        <w:t>更具品位</w:t>
      </w:r>
      <w:r>
        <w:rPr>
          <w:kern w:val="0"/>
          <w:sz w:val="28"/>
          <w:szCs w:val="28"/>
        </w:rPr>
        <w:t>；</w:t>
      </w:r>
      <w:r>
        <w:rPr>
          <w:kern w:val="0"/>
          <w:sz w:val="28"/>
          <w:szCs w:val="28"/>
        </w:rPr>
        <w:br/>
      </w:r>
      <w:r>
        <w:rPr>
          <w:rFonts w:hint="eastAsia"/>
          <w:kern w:val="0"/>
          <w:sz w:val="28"/>
          <w:szCs w:val="28"/>
        </w:rPr>
        <w:t xml:space="preserve">    社会贡献</w:t>
      </w:r>
      <w:r>
        <w:rPr>
          <w:kern w:val="0"/>
          <w:sz w:val="28"/>
          <w:szCs w:val="28"/>
        </w:rPr>
        <w:t>--</w:t>
      </w:r>
      <w:r>
        <w:rPr>
          <w:rFonts w:ascii="Arial" w:hAnsi="Arial" w:cs="Arial"/>
          <w:color w:val="000000"/>
          <w:sz w:val="28"/>
          <w:szCs w:val="28"/>
        </w:rPr>
        <w:t>推动更广泛的社会力量加入到企业社会贡献活动中来</w:t>
      </w:r>
      <w:r>
        <w:rPr>
          <w:rFonts w:ascii="Arial" w:hAnsi="Arial" w:cs="Arial" w:hint="eastAsia"/>
          <w:color w:val="000000"/>
          <w:sz w:val="28"/>
          <w:szCs w:val="28"/>
        </w:rPr>
        <w:t>，承担社会责任</w:t>
      </w:r>
      <w:r>
        <w:rPr>
          <w:kern w:val="0"/>
          <w:sz w:val="28"/>
          <w:szCs w:val="28"/>
        </w:rPr>
        <w:t>；</w:t>
      </w:r>
      <w:r>
        <w:rPr>
          <w:kern w:val="0"/>
          <w:sz w:val="28"/>
          <w:szCs w:val="28"/>
        </w:rPr>
        <w:br/>
      </w:r>
      <w:r>
        <w:rPr>
          <w:rFonts w:hint="eastAsia"/>
          <w:kern w:val="0"/>
          <w:sz w:val="28"/>
          <w:szCs w:val="28"/>
        </w:rPr>
        <w:t xml:space="preserve">    员工成长</w:t>
      </w:r>
      <w:r>
        <w:rPr>
          <w:kern w:val="0"/>
          <w:sz w:val="28"/>
          <w:szCs w:val="28"/>
        </w:rPr>
        <w:t>--创造发展空间，提升员工价值，提高</w:t>
      </w:r>
      <w:r>
        <w:rPr>
          <w:rFonts w:hint="eastAsia"/>
          <w:kern w:val="0"/>
          <w:sz w:val="28"/>
          <w:szCs w:val="28"/>
        </w:rPr>
        <w:t>员工</w:t>
      </w:r>
      <w:r>
        <w:rPr>
          <w:kern w:val="0"/>
          <w:sz w:val="28"/>
          <w:szCs w:val="28"/>
        </w:rPr>
        <w:t>工作生活质量；</w:t>
      </w:r>
    </w:p>
    <w:p>
      <w:pPr>
        <w:pStyle w:val="Normal0"/>
        <w:spacing w:line="360" w:lineRule="auto"/>
        <w:ind w:firstLine="560" w:firstLineChars="200"/>
        <w:rPr>
          <w:rFonts w:ascii="Arial" w:hAnsi="Arial" w:cs="Arial" w:hint="eastAsia"/>
          <w:color w:val="000000"/>
          <w:sz w:val="28"/>
          <w:szCs w:val="28"/>
        </w:rPr>
      </w:pPr>
      <w:r>
        <w:rPr>
          <w:rFonts w:hint="eastAsia"/>
          <w:kern w:val="0"/>
          <w:sz w:val="28"/>
          <w:szCs w:val="28"/>
        </w:rPr>
        <w:t>发展教育--</w:t>
      </w:r>
      <w:r>
        <w:rPr>
          <w:rFonts w:ascii="Arial" w:hAnsi="Arial" w:cs="Arial"/>
          <w:color w:val="000000"/>
          <w:sz w:val="28"/>
          <w:szCs w:val="28"/>
        </w:rPr>
        <w:t>设立优秀大学生</w:t>
      </w:r>
      <w:r>
        <w:rPr>
          <w:rFonts w:ascii="Arial" w:hAnsi="Arial" w:cs="Arial" w:hint="eastAsia"/>
          <w:color w:val="000000"/>
          <w:sz w:val="28"/>
          <w:szCs w:val="28"/>
        </w:rPr>
        <w:t>葵花助学</w:t>
      </w:r>
      <w:r>
        <w:rPr>
          <w:rFonts w:ascii="Arial" w:hAnsi="Arial" w:cs="Arial"/>
          <w:color w:val="000000"/>
          <w:sz w:val="28"/>
          <w:szCs w:val="28"/>
        </w:rPr>
        <w:t>基金和</w:t>
      </w:r>
      <w:r>
        <w:rPr>
          <w:rFonts w:ascii="Arial" w:hAnsi="Arial" w:cs="Arial" w:hint="eastAsia"/>
          <w:color w:val="000000"/>
          <w:sz w:val="28"/>
          <w:szCs w:val="28"/>
        </w:rPr>
        <w:t>高校</w:t>
      </w:r>
      <w:r>
        <w:rPr>
          <w:rFonts w:ascii="Arial" w:hAnsi="Arial" w:cs="Arial"/>
          <w:color w:val="000000"/>
          <w:sz w:val="28"/>
          <w:szCs w:val="28"/>
        </w:rPr>
        <w:t>实习</w:t>
      </w:r>
      <w:r>
        <w:rPr>
          <w:rFonts w:ascii="Arial" w:hAnsi="Arial" w:cs="Arial" w:hint="eastAsia"/>
          <w:color w:val="000000"/>
          <w:sz w:val="28"/>
          <w:szCs w:val="28"/>
          <w:lang w:eastAsia="zh-CN"/>
        </w:rPr>
        <w:t>相关项目</w:t>
      </w:r>
      <w:r>
        <w:rPr>
          <w:rFonts w:ascii="Arial" w:hAnsi="Arial" w:cs="Arial"/>
          <w:color w:val="000000"/>
          <w:sz w:val="28"/>
          <w:szCs w:val="28"/>
        </w:rPr>
        <w:t>，支持培养下一代和工程技术人才</w:t>
      </w:r>
      <w:r>
        <w:rPr>
          <w:rFonts w:ascii="Arial" w:hAnsi="Arial" w:cs="Arial" w:hint="eastAsia"/>
          <w:color w:val="000000"/>
          <w:sz w:val="28"/>
          <w:szCs w:val="28"/>
        </w:rPr>
        <w:t>，推动教育发展；</w:t>
      </w:r>
    </w:p>
    <w:p>
      <w:pPr>
        <w:pStyle w:val="Normal0"/>
        <w:spacing w:line="360" w:lineRule="auto"/>
        <w:ind w:firstLine="560" w:firstLineChars="200"/>
        <w:rPr>
          <w:rFonts w:hint="eastAsia"/>
          <w:kern w:val="0"/>
          <w:sz w:val="28"/>
          <w:szCs w:val="28"/>
        </w:rPr>
      </w:pPr>
      <w:r>
        <w:rPr>
          <w:rFonts w:hint="eastAsia"/>
          <w:kern w:val="0"/>
          <w:sz w:val="28"/>
          <w:szCs w:val="28"/>
        </w:rPr>
        <w:t>投资</w:t>
      </w:r>
      <w:r>
        <w:rPr>
          <w:kern w:val="0"/>
          <w:sz w:val="28"/>
          <w:szCs w:val="28"/>
        </w:rPr>
        <w:t>回报--以长远利益回报</w:t>
      </w:r>
      <w:r>
        <w:rPr>
          <w:rFonts w:hint="eastAsia"/>
          <w:kern w:val="0"/>
          <w:sz w:val="28"/>
          <w:szCs w:val="28"/>
        </w:rPr>
        <w:t>公司</w:t>
      </w:r>
      <w:r>
        <w:rPr>
          <w:kern w:val="0"/>
          <w:sz w:val="28"/>
          <w:szCs w:val="28"/>
        </w:rPr>
        <w:t>股东</w:t>
      </w:r>
    </w:p>
    <w:p>
      <w:pPr>
        <w:pStyle w:val="Normal0"/>
        <w:tabs>
          <w:tab w:val="left" w:pos="1080"/>
        </w:tabs>
        <w:spacing w:line="360" w:lineRule="auto"/>
        <w:ind w:left="1349" w:hanging="1347" w:leftChars="1" w:hangingChars="481"/>
        <w:rPr>
          <w:rFonts w:hint="eastAsia"/>
          <w:color w:val="000000"/>
          <w:spacing w:val="20"/>
        </w:rPr>
      </w:pPr>
      <w:r>
        <w:rPr>
          <w:rFonts w:hint="eastAsia"/>
          <w:color w:val="000000"/>
          <w:spacing w:val="20"/>
          <w:sz w:val="28"/>
          <w:szCs w:val="28"/>
        </w:rPr>
        <w:t>二、</w:t>
      </w:r>
      <w:r>
        <w:rPr>
          <w:rFonts w:hint="eastAsia"/>
          <w:b/>
          <w:color w:val="000000"/>
          <w:spacing w:val="20"/>
          <w:sz w:val="28"/>
          <w:szCs w:val="28"/>
          <w:lang w:eastAsia="zh-CN"/>
        </w:rPr>
        <w:t>相关项目</w:t>
      </w:r>
      <w:r>
        <w:rPr>
          <w:b/>
          <w:color w:val="000000"/>
          <w:spacing w:val="20"/>
          <w:sz w:val="28"/>
          <w:szCs w:val="28"/>
        </w:rPr>
        <w:t>概况</w:t>
      </w:r>
    </w:p>
    <w:p>
      <w:pPr>
        <w:pStyle w:val="Normal0"/>
        <w:tabs>
          <w:tab w:val="left" w:pos="1080"/>
        </w:tabs>
        <w:spacing w:line="360" w:lineRule="auto"/>
        <w:ind w:left="1400" w:hanging="980" w:leftChars="200" w:hangingChars="350"/>
        <w:rPr>
          <w:rFonts w:hint="eastAsia"/>
          <w:color w:val="000000"/>
          <w:spacing w:val="20"/>
          <w:sz w:val="28"/>
          <w:szCs w:val="28"/>
        </w:rPr>
      </w:pPr>
      <w:r>
        <w:rPr>
          <w:rFonts w:hint="eastAsia"/>
          <w:color w:val="000000"/>
          <w:spacing w:val="20"/>
          <w:sz w:val="28"/>
          <w:szCs w:val="28"/>
        </w:rPr>
        <w:t>（一）</w:t>
      </w:r>
      <w:r>
        <w:rPr>
          <w:color w:val="000000"/>
          <w:spacing w:val="20"/>
          <w:sz w:val="28"/>
          <w:szCs w:val="28"/>
        </w:rPr>
        <w:t>地块位置：</w:t>
      </w:r>
    </w:p>
    <w:p>
      <w:pPr>
        <w:pStyle w:val="Normal0"/>
        <w:ind w:firstLine="560" w:firstLineChars="200"/>
        <w:rPr>
          <w:rFonts w:ascii="宋体" w:hAnsi="宋体" w:hint="eastAsia"/>
          <w:sz w:val="28"/>
          <w:szCs w:val="28"/>
        </w:rPr>
      </w:pPr>
      <w:r>
        <w:rPr>
          <w:rFonts w:ascii="宋体" w:hAnsi="宋体"/>
          <w:sz w:val="28"/>
          <w:szCs w:val="28"/>
        </w:rPr>
        <w:t>本</w:t>
      </w:r>
      <w:r>
        <w:rPr>
          <w:rFonts w:ascii="宋体" w:hAnsi="宋体" w:hint="eastAsia"/>
          <w:sz w:val="28"/>
          <w:szCs w:val="28"/>
          <w:lang w:eastAsia="zh-CN"/>
        </w:rPr>
        <w:t>相关项目</w:t>
      </w:r>
      <w:r>
        <w:rPr>
          <w:rFonts w:ascii="宋体" w:hAnsi="宋体"/>
          <w:sz w:val="28"/>
          <w:szCs w:val="28"/>
        </w:rPr>
        <w:t>位于</w:t>
      </w:r>
      <w:r>
        <w:rPr>
          <w:rFonts w:ascii="宋体" w:hAnsi="宋体" w:hint="eastAsia"/>
          <w:sz w:val="28"/>
          <w:szCs w:val="28"/>
        </w:rPr>
        <w:t>呼和浩特市回民区海拉尔西街以南,巴彦淖尔北路以西，</w:t>
      </w:r>
      <w:r>
        <w:rPr>
          <w:rFonts w:ascii="宋体" w:hAnsi="宋体" w:hint="eastAsia"/>
          <w:color w:val="000000"/>
          <w:sz w:val="28"/>
          <w:szCs w:val="28"/>
        </w:rPr>
        <w:t>华盛加油</w:t>
      </w:r>
      <w:r>
        <w:rPr>
          <w:rFonts w:ascii="宋体" w:hAnsi="宋体" w:hint="eastAsia"/>
          <w:sz w:val="28"/>
          <w:szCs w:val="28"/>
        </w:rPr>
        <w:t>站的南面。</w:t>
      </w:r>
    </w:p>
    <w:p>
      <w:pPr>
        <w:pStyle w:val="Normal0"/>
        <w:spacing w:line="360" w:lineRule="auto"/>
        <w:ind w:firstLine="274" w:firstLineChars="98"/>
        <w:rPr>
          <w:rFonts w:ascii="宋体" w:hAnsi="宋体" w:hint="eastAsia"/>
          <w:b/>
          <w:sz w:val="28"/>
          <w:szCs w:val="28"/>
        </w:rPr>
      </w:pPr>
      <w:r>
        <w:rPr>
          <w:rFonts w:ascii="宋体" w:hAnsi="宋体" w:hint="eastAsia"/>
          <w:b/>
          <w:sz w:val="28"/>
          <w:szCs w:val="28"/>
        </w:rPr>
        <w:t>（二） 周边环境</w:t>
      </w:r>
    </w:p>
    <w:p>
      <w:pPr>
        <w:pStyle w:val="Normal0"/>
        <w:ind w:firstLine="420" w:firstLineChars="150"/>
        <w:rPr>
          <w:rFonts w:hint="eastAsia"/>
          <w:color w:val="339966"/>
          <w:sz w:val="28"/>
          <w:szCs w:val="28"/>
        </w:rPr>
      </w:pPr>
      <w:r>
        <w:rPr>
          <w:rFonts w:ascii="宋体" w:hAnsi="宋体" w:hint="eastAsia"/>
          <w:color w:val="339966"/>
          <w:sz w:val="28"/>
          <w:szCs w:val="28"/>
        </w:rPr>
        <w:t>本</w:t>
      </w:r>
      <w:r>
        <w:rPr>
          <w:rFonts w:ascii="宋体" w:hAnsi="宋体" w:hint="eastAsia"/>
          <w:color w:val="339966"/>
          <w:sz w:val="28"/>
          <w:szCs w:val="28"/>
          <w:lang w:eastAsia="zh-CN"/>
        </w:rPr>
        <w:t>相关项目</w:t>
      </w:r>
      <w:r>
        <w:rPr>
          <w:rFonts w:ascii="宋体" w:hAnsi="宋体" w:hint="eastAsia"/>
          <w:color w:val="339966"/>
          <w:sz w:val="28"/>
          <w:szCs w:val="28"/>
        </w:rPr>
        <w:t>北邻海拉尔西街街，东临巴彦淖尔北路，周围有内蒙古之星奔驰4S店、内蒙古庞大兴沃（沃尔沃）4S店，本田、丰田4S店等，并且与内蒙古奥捷奥迪汽车4S店隔街相望，在已形成规模的“汽车销售服务城”内又形成了以“宝马、奔驰、奥迪”的金三角豪华车销售区域，牢牢的够吸引住更多的顾客。同时这里也是呼和浩特市长途汽车通往外地的常跑之路，驾车18分钟可到火车站，28分钟可抵飞机场，30分钟便可驶入京包、呼大等高速路，</w:t>
      </w:r>
      <w:r>
        <w:rPr>
          <w:color w:val="339966"/>
          <w:sz w:val="28"/>
          <w:szCs w:val="28"/>
        </w:rPr>
        <w:t>离市区主干道建设路仅100米，</w:t>
      </w:r>
      <w:r>
        <w:rPr>
          <w:rFonts w:ascii="宋体" w:hAnsi="宋体" w:hint="eastAsia"/>
          <w:color w:val="339966"/>
          <w:sz w:val="28"/>
          <w:szCs w:val="28"/>
        </w:rPr>
        <w:t>交通非常方便，四通八达。</w:t>
      </w:r>
      <w:r>
        <w:rPr>
          <w:color w:val="339966"/>
          <w:sz w:val="28"/>
          <w:szCs w:val="28"/>
        </w:rPr>
        <w:t>地理位置非常优越，是</w:t>
      </w:r>
      <w:r>
        <w:rPr>
          <w:rFonts w:hint="eastAsia"/>
          <w:color w:val="339966"/>
          <w:sz w:val="28"/>
          <w:szCs w:val="28"/>
        </w:rPr>
        <w:t>呼和浩特</w:t>
      </w:r>
      <w:r>
        <w:rPr>
          <w:color w:val="339966"/>
          <w:sz w:val="28"/>
          <w:szCs w:val="28"/>
        </w:rPr>
        <w:t>城市新规划中的黄金地段</w:t>
      </w:r>
      <w:r>
        <w:rPr>
          <w:rFonts w:hint="eastAsia"/>
          <w:color w:val="339966"/>
          <w:sz w:val="28"/>
          <w:szCs w:val="28"/>
        </w:rPr>
        <w:t>。</w:t>
      </w:r>
    </w:p>
    <w:p>
      <w:pPr>
        <w:pStyle w:val="Normal0"/>
        <w:spacing w:line="360" w:lineRule="auto"/>
        <w:ind w:firstLine="358" w:firstLineChars="128"/>
        <w:rPr>
          <w:rFonts w:ascii="宋体" w:hAnsi="宋体" w:hint="eastAsia"/>
          <w:b/>
          <w:color w:val="000000"/>
          <w:spacing w:val="8"/>
          <w:sz w:val="28"/>
          <w:szCs w:val="28"/>
        </w:rPr>
      </w:pPr>
      <w:r>
        <w:rPr>
          <w:rFonts w:ascii="宋体" w:hAnsi="宋体" w:hint="eastAsia"/>
          <w:sz w:val="28"/>
          <w:szCs w:val="28"/>
        </w:rPr>
        <w:t xml:space="preserve"> </w:t>
      </w:r>
      <w:r>
        <w:rPr>
          <w:rFonts w:ascii="宋体" w:hAnsi="宋体" w:hint="eastAsia"/>
          <w:b/>
          <w:color w:val="000000"/>
          <w:spacing w:val="8"/>
          <w:sz w:val="28"/>
          <w:szCs w:val="28"/>
        </w:rPr>
        <w:t xml:space="preserve">（三） </w:t>
      </w:r>
      <w:r>
        <w:rPr>
          <w:rFonts w:ascii="宋体" w:hAnsi="宋体"/>
          <w:b/>
          <w:color w:val="000000"/>
          <w:spacing w:val="8"/>
          <w:sz w:val="28"/>
          <w:szCs w:val="28"/>
        </w:rPr>
        <w:t>建设</w:t>
      </w:r>
      <w:r>
        <w:rPr>
          <w:rFonts w:ascii="宋体" w:hAnsi="宋体" w:hint="eastAsia"/>
          <w:b/>
          <w:color w:val="000000"/>
          <w:spacing w:val="8"/>
          <w:sz w:val="28"/>
          <w:szCs w:val="28"/>
        </w:rPr>
        <w:t>规模与</w:t>
      </w:r>
      <w:r>
        <w:rPr>
          <w:rFonts w:ascii="宋体" w:hAnsi="宋体" w:hint="eastAsia"/>
          <w:b/>
          <w:color w:val="000000"/>
          <w:spacing w:val="8"/>
          <w:sz w:val="28"/>
          <w:szCs w:val="28"/>
          <w:lang w:eastAsia="zh-CN"/>
        </w:rPr>
        <w:t>合适的内容</w:t>
      </w:r>
    </w:p>
    <w:p>
      <w:pPr>
        <w:pStyle w:val="Normal0"/>
        <w:tabs>
          <w:tab w:val="left" w:pos="7560"/>
        </w:tabs>
        <w:spacing w:line="360" w:lineRule="auto"/>
        <w:ind w:firstLine="601"/>
        <w:rPr>
          <w:rFonts w:ascii="宋体" w:hAnsi="宋体" w:hint="eastAsia"/>
          <w:sz w:val="28"/>
          <w:szCs w:val="28"/>
        </w:rPr>
      </w:pPr>
      <w:r>
        <w:rPr>
          <w:rFonts w:ascii="宋体" w:hAnsi="宋体" w:hint="eastAsia"/>
          <w:sz w:val="28"/>
          <w:szCs w:val="28"/>
        </w:rPr>
        <w:t>本</w:t>
      </w:r>
      <w:r>
        <w:rPr>
          <w:rFonts w:ascii="宋体" w:hAnsi="宋体" w:hint="eastAsia"/>
          <w:sz w:val="28"/>
          <w:szCs w:val="28"/>
          <w:lang w:eastAsia="zh-CN"/>
        </w:rPr>
        <w:t>相关项目</w:t>
      </w:r>
      <w:r>
        <w:rPr>
          <w:rFonts w:ascii="宋体" w:hAnsi="宋体" w:hint="eastAsia"/>
          <w:sz w:val="28"/>
          <w:szCs w:val="28"/>
        </w:rPr>
        <w:t>规划总占地面积8000 m</w:t>
      </w:r>
      <w:r>
        <w:rPr>
          <w:rFonts w:ascii="宋体" w:hAnsi="宋体" w:hint="eastAsia"/>
          <w:sz w:val="28"/>
          <w:szCs w:val="28"/>
          <w:vertAlign w:val="superscript"/>
        </w:rPr>
        <w:t>2</w:t>
      </w:r>
      <w:r>
        <w:rPr>
          <w:rFonts w:ascii="宋体" w:hAnsi="宋体" w:hint="eastAsia"/>
          <w:sz w:val="28"/>
          <w:szCs w:val="28"/>
        </w:rPr>
        <w:t>，拟建的4S店是集汽车展示、咨询、销售、预定、信息反馈、市场调研、零配件供应、售后维修保养服务为一体的；</w:t>
      </w:r>
    </w:p>
    <w:p>
      <w:pPr>
        <w:pStyle w:val="Normal0"/>
        <w:tabs>
          <w:tab w:val="left" w:pos="7560"/>
        </w:tabs>
        <w:spacing w:line="360" w:lineRule="auto"/>
        <w:ind w:firstLine="601"/>
        <w:rPr>
          <w:rFonts w:ascii="宋体" w:hAnsi="宋体" w:hint="eastAsia"/>
          <w:sz w:val="28"/>
          <w:szCs w:val="28"/>
        </w:rPr>
        <w:sectPr>
          <w:type w:val="nextPage"/>
          <w:pgSz w:w="11906" w:h="16838"/>
          <w:pgMar w:top="1440" w:right="1797" w:bottom="1440" w:left="1797" w:header="851" w:footer="992" w:gutter="0"/>
          <w:pgNumType w:start="5"/>
          <w:cols w:num="1" w:space="708"/>
          <w:titlePg w:val="0"/>
          <w:docGrid w:type="lines" w:linePitch="312" w:charSpace="0"/>
        </w:sectPr>
      </w:pPr>
      <w:r>
        <w:rPr>
          <w:rFonts w:ascii="宋体" w:hAnsi="宋体" w:hint="eastAsia"/>
          <w:sz w:val="28"/>
          <w:szCs w:val="28"/>
          <w:lang w:eastAsia="zh-CN"/>
        </w:rPr>
        <w:t>相关项目</w:t>
      </w:r>
      <w:r>
        <w:rPr>
          <w:rFonts w:ascii="宋体" w:hAnsi="宋体" w:hint="eastAsia"/>
          <w:sz w:val="28"/>
          <w:szCs w:val="28"/>
        </w:rPr>
        <w:t>具体建设</w:t>
      </w:r>
      <w:r>
        <w:rPr>
          <w:rFonts w:ascii="宋体" w:hAnsi="宋体" w:hint="eastAsia"/>
          <w:sz w:val="28"/>
          <w:szCs w:val="28"/>
          <w:lang w:eastAsia="zh-CN"/>
        </w:rPr>
        <w:t>合适的内容</w:t>
      </w:r>
      <w:r>
        <w:rPr>
          <w:rFonts w:ascii="宋体" w:hAnsi="宋体" w:hint="eastAsia"/>
          <w:sz w:val="28"/>
          <w:szCs w:val="28"/>
        </w:rPr>
        <w:t>如下：</w:t>
      </w:r>
    </w:p>
    <w:p>
      <w:pPr>
        <w:pStyle w:val="Normal0"/>
        <w:tabs>
          <w:tab w:val="left" w:pos="7560"/>
        </w:tabs>
        <w:spacing w:line="360" w:lineRule="auto"/>
        <w:ind w:firstLine="601"/>
        <w:rPr>
          <w:rFonts w:ascii="宋体" w:hAnsi="宋体" w:hint="eastAsia"/>
          <w:sz w:val="28"/>
          <w:szCs w:val="28"/>
        </w:rPr>
      </w:pPr>
      <w:r>
        <w:rPr>
          <w:rFonts w:ascii="宋体" w:hAnsi="宋体" w:hint="eastAsia"/>
          <w:sz w:val="28"/>
          <w:szCs w:val="28"/>
        </w:rPr>
        <w:t>（1）拟建的4S店，总建筑面积8316 m</w:t>
      </w:r>
      <w:r>
        <w:rPr>
          <w:rFonts w:ascii="宋体" w:hAnsi="宋体" w:hint="eastAsia"/>
          <w:sz w:val="28"/>
          <w:szCs w:val="28"/>
          <w:vertAlign w:val="superscript"/>
        </w:rPr>
        <w:t>2</w:t>
      </w:r>
      <w:r>
        <w:rPr>
          <w:rFonts w:ascii="宋体" w:hAnsi="宋体" w:hint="eastAsia"/>
          <w:sz w:val="28"/>
          <w:szCs w:val="28"/>
        </w:rPr>
        <w:t>，三层钢结构。其中一层建筑面积3748 m</w:t>
      </w:r>
      <w:r>
        <w:rPr>
          <w:rFonts w:ascii="宋体" w:hAnsi="宋体" w:hint="eastAsia"/>
          <w:sz w:val="28"/>
          <w:szCs w:val="28"/>
          <w:vertAlign w:val="superscript"/>
        </w:rPr>
        <w:t>2</w:t>
      </w:r>
      <w:r>
        <w:rPr>
          <w:rFonts w:ascii="宋体" w:hAnsi="宋体" w:hint="eastAsia"/>
          <w:sz w:val="28"/>
          <w:szCs w:val="28"/>
        </w:rPr>
        <w:t>，二层建筑面积2692m</w:t>
      </w:r>
      <w:r>
        <w:rPr>
          <w:rFonts w:ascii="宋体" w:hAnsi="宋体" w:hint="eastAsia"/>
          <w:sz w:val="28"/>
          <w:szCs w:val="28"/>
          <w:vertAlign w:val="superscript"/>
        </w:rPr>
        <w:t>2</w:t>
      </w:r>
      <w:r>
        <w:rPr>
          <w:rFonts w:ascii="宋体" w:hAnsi="宋体" w:hint="eastAsia"/>
          <w:sz w:val="28"/>
          <w:szCs w:val="28"/>
        </w:rPr>
        <w:t>，三层建筑面积1876 m</w:t>
      </w:r>
      <w:r>
        <w:rPr>
          <w:rFonts w:ascii="宋体" w:hAnsi="宋体" w:hint="eastAsia"/>
          <w:sz w:val="28"/>
          <w:szCs w:val="28"/>
          <w:vertAlign w:val="superscript"/>
        </w:rPr>
        <w:t>2</w:t>
      </w:r>
      <w:r>
        <w:rPr>
          <w:rFonts w:ascii="宋体" w:hAnsi="宋体" w:hint="eastAsia"/>
          <w:sz w:val="28"/>
          <w:szCs w:val="28"/>
        </w:rPr>
        <w:t>。</w:t>
      </w:r>
    </w:p>
    <w:p>
      <w:pPr>
        <w:pStyle w:val="Normal0"/>
        <w:tabs>
          <w:tab w:val="left" w:pos="7560"/>
        </w:tabs>
        <w:spacing w:line="360" w:lineRule="auto"/>
        <w:ind w:firstLine="601"/>
        <w:rPr>
          <w:rFonts w:ascii="宋体" w:hAnsi="宋体" w:hint="eastAsia"/>
          <w:sz w:val="28"/>
          <w:szCs w:val="28"/>
        </w:rPr>
      </w:pPr>
      <w:r>
        <w:rPr>
          <w:rFonts w:ascii="宋体" w:hAnsi="宋体" w:hint="eastAsia"/>
          <w:sz w:val="28"/>
          <w:szCs w:val="28"/>
        </w:rPr>
        <w:t>（2）建筑物二层屋顶设置屋面停车场，可以停车60辆；</w:t>
      </w:r>
    </w:p>
    <w:p>
      <w:pPr>
        <w:pStyle w:val="Normal0"/>
        <w:tabs>
          <w:tab w:val="left" w:pos="7560"/>
        </w:tabs>
        <w:spacing w:line="360" w:lineRule="auto"/>
        <w:ind w:firstLine="601"/>
        <w:rPr>
          <w:rFonts w:ascii="宋体" w:hAnsi="宋体" w:hint="eastAsia"/>
          <w:sz w:val="28"/>
          <w:szCs w:val="28"/>
        </w:rPr>
      </w:pPr>
      <w:r>
        <w:rPr>
          <w:rFonts w:ascii="宋体" w:hAnsi="宋体" w:hint="eastAsia"/>
          <w:sz w:val="28"/>
          <w:szCs w:val="28"/>
        </w:rPr>
        <w:t>（3）店外部建设停车场；</w:t>
      </w:r>
    </w:p>
    <w:p>
      <w:pPr>
        <w:pStyle w:val="Normal0"/>
        <w:tabs>
          <w:tab w:val="left" w:pos="7560"/>
        </w:tabs>
        <w:spacing w:line="360" w:lineRule="auto"/>
        <w:ind w:firstLine="601"/>
        <w:rPr>
          <w:rFonts w:ascii="宋体" w:hAnsi="宋体" w:hint="eastAsia"/>
          <w:sz w:val="28"/>
          <w:szCs w:val="28"/>
        </w:rPr>
      </w:pPr>
      <w:r>
        <w:rPr>
          <w:rFonts w:ascii="宋体" w:hAnsi="宋体" w:hint="eastAsia"/>
          <w:sz w:val="28"/>
          <w:szCs w:val="28"/>
        </w:rPr>
        <w:t>（4）沿场地周围建设铁围栏；</w:t>
      </w:r>
    </w:p>
    <w:p>
      <w:pPr>
        <w:pStyle w:val="Normal0"/>
        <w:tabs>
          <w:tab w:val="left" w:pos="7560"/>
        </w:tabs>
        <w:spacing w:line="360" w:lineRule="auto"/>
        <w:ind w:firstLine="601"/>
        <w:rPr>
          <w:rFonts w:ascii="宋体" w:hAnsi="宋体" w:hint="eastAsia"/>
          <w:sz w:val="28"/>
          <w:szCs w:val="28"/>
        </w:rPr>
      </w:pPr>
      <w:r>
        <w:rPr>
          <w:rFonts w:ascii="宋体" w:hAnsi="宋体" w:hint="eastAsia"/>
          <w:sz w:val="28"/>
          <w:szCs w:val="28"/>
        </w:rPr>
        <w:t>（5）大门设置门式标牌、旗帜；</w:t>
      </w:r>
    </w:p>
    <w:p>
      <w:pPr>
        <w:pStyle w:val="Normal0"/>
        <w:tabs>
          <w:tab w:val="left" w:pos="7560"/>
        </w:tabs>
        <w:spacing w:line="360" w:lineRule="auto"/>
        <w:ind w:firstLine="601"/>
        <w:rPr>
          <w:rFonts w:ascii="宋体" w:hAnsi="宋体" w:hint="eastAsia"/>
          <w:sz w:val="28"/>
          <w:szCs w:val="28"/>
        </w:rPr>
      </w:pPr>
      <w:r>
        <w:rPr>
          <w:rFonts w:ascii="宋体" w:hAnsi="宋体" w:hint="eastAsia"/>
          <w:sz w:val="28"/>
          <w:szCs w:val="28"/>
        </w:rPr>
        <w:t>（6）购置汽车维修设备一整套；</w:t>
      </w:r>
    </w:p>
    <w:p>
      <w:pPr>
        <w:pStyle w:val="Normal0"/>
        <w:tabs>
          <w:tab w:val="left" w:pos="7560"/>
        </w:tabs>
        <w:spacing w:line="360" w:lineRule="auto"/>
        <w:ind w:firstLine="601"/>
        <w:rPr>
          <w:rFonts w:ascii="宋体" w:hAnsi="宋体" w:hint="eastAsia"/>
          <w:sz w:val="28"/>
          <w:szCs w:val="28"/>
        </w:rPr>
      </w:pPr>
      <w:r>
        <w:rPr>
          <w:rFonts w:ascii="宋体" w:hAnsi="宋体" w:hint="eastAsia"/>
          <w:sz w:val="28"/>
          <w:szCs w:val="28"/>
        </w:rPr>
        <w:t>（7）室外水、暖、电、通信等基础设施管网及场区硬化、绿化等工程建设。</w:t>
      </w:r>
    </w:p>
    <w:p>
      <w:pPr>
        <w:pStyle w:val="Normal0"/>
        <w:spacing w:line="360" w:lineRule="auto"/>
        <w:ind w:left="560"/>
        <w:rPr>
          <w:rFonts w:hint="eastAsia"/>
          <w:b/>
          <w:color w:val="000000"/>
          <w:spacing w:val="20"/>
          <w:sz w:val="28"/>
          <w:szCs w:val="28"/>
        </w:rPr>
      </w:pPr>
      <w:r>
        <w:rPr>
          <w:rFonts w:hint="eastAsia"/>
          <w:color w:val="000000"/>
          <w:spacing w:val="20"/>
          <w:sz w:val="28"/>
          <w:szCs w:val="28"/>
        </w:rPr>
        <w:t>三、</w:t>
      </w:r>
      <w:r>
        <w:rPr>
          <w:rFonts w:hint="eastAsia"/>
          <w:b/>
          <w:color w:val="000000"/>
          <w:spacing w:val="20"/>
          <w:sz w:val="28"/>
          <w:szCs w:val="28"/>
          <w:lang w:eastAsia="zh-CN"/>
        </w:rPr>
        <w:t>相关项目</w:t>
      </w:r>
      <w:r>
        <w:rPr>
          <w:b/>
          <w:color w:val="000000"/>
          <w:spacing w:val="20"/>
          <w:sz w:val="28"/>
          <w:szCs w:val="28"/>
        </w:rPr>
        <w:t>建设</w:t>
      </w:r>
      <w:r>
        <w:rPr>
          <w:rFonts w:hint="eastAsia"/>
          <w:b/>
          <w:color w:val="000000"/>
          <w:spacing w:val="20"/>
          <w:sz w:val="28"/>
          <w:szCs w:val="28"/>
        </w:rPr>
        <w:t>必要性</w:t>
      </w:r>
    </w:p>
    <w:p>
      <w:pPr>
        <w:pStyle w:val="Normal0"/>
        <w:ind w:firstLine="570"/>
        <w:rPr>
          <w:rFonts w:hint="eastAsia"/>
          <w:color w:val="339966"/>
          <w:sz w:val="28"/>
          <w:szCs w:val="28"/>
        </w:rPr>
        <w:sectPr>
          <w:type w:val="nextPage"/>
          <w:pgSz w:w="11906" w:h="16838"/>
          <w:pgMar w:top="1440" w:right="1797" w:bottom="1440" w:left="1797" w:header="851" w:footer="992" w:gutter="0"/>
          <w:pgNumType w:start="6"/>
          <w:cols w:num="1" w:space="708"/>
          <w:titlePg w:val="0"/>
          <w:docGrid w:type="lines" w:linePitch="312" w:charSpace="0"/>
        </w:sectPr>
      </w:pPr>
      <w:r>
        <w:rPr>
          <w:rFonts w:hint="eastAsia"/>
          <w:color w:val="339966"/>
          <w:sz w:val="28"/>
          <w:szCs w:val="28"/>
        </w:rPr>
        <w:t>本</w:t>
      </w:r>
      <w:r>
        <w:rPr>
          <w:rFonts w:hint="eastAsia"/>
          <w:color w:val="339966"/>
          <w:sz w:val="28"/>
          <w:szCs w:val="28"/>
          <w:lang w:eastAsia="zh-CN"/>
        </w:rPr>
        <w:t>相关项目</w:t>
      </w:r>
      <w:r>
        <w:rPr>
          <w:rFonts w:hint="eastAsia"/>
          <w:color w:val="339966"/>
          <w:sz w:val="28"/>
          <w:szCs w:val="28"/>
        </w:rPr>
        <w:t>位于</w:t>
      </w:r>
      <w:r>
        <w:rPr>
          <w:color w:val="339966"/>
          <w:sz w:val="28"/>
          <w:szCs w:val="28"/>
        </w:rPr>
        <w:t>内蒙古</w:t>
      </w:r>
      <w:r>
        <w:rPr>
          <w:rFonts w:hint="eastAsia"/>
          <w:color w:val="339966"/>
          <w:sz w:val="28"/>
          <w:szCs w:val="28"/>
        </w:rPr>
        <w:t>自治区首府呼和浩特市。内蒙古自治区</w:t>
      </w:r>
      <w:r>
        <w:rPr>
          <w:color w:val="339966"/>
          <w:sz w:val="28"/>
          <w:szCs w:val="28"/>
        </w:rPr>
        <w:t>是全国资源最为富集的地区之一，尤其是煤炭资源更是全国领先，</w:t>
      </w:r>
      <w:r>
        <w:rPr>
          <w:rFonts w:hint="eastAsia"/>
          <w:color w:val="339966"/>
          <w:sz w:val="28"/>
          <w:szCs w:val="28"/>
        </w:rPr>
        <w:t>近年来在</w:t>
      </w:r>
      <w:r>
        <w:rPr>
          <w:color w:val="339966"/>
          <w:sz w:val="28"/>
          <w:szCs w:val="28"/>
        </w:rPr>
        <w:t>国家经济增长的大环境</w:t>
      </w:r>
      <w:r>
        <w:rPr>
          <w:rFonts w:hint="eastAsia"/>
          <w:color w:val="339966"/>
          <w:sz w:val="28"/>
          <w:szCs w:val="28"/>
        </w:rPr>
        <w:t>下，依托</w:t>
      </w:r>
      <w:r>
        <w:rPr>
          <w:color w:val="339966"/>
          <w:sz w:val="28"/>
          <w:szCs w:val="28"/>
        </w:rPr>
        <w:t>独特的区位与地理</w:t>
      </w:r>
      <w:r>
        <w:rPr>
          <w:rFonts w:hint="eastAsia"/>
          <w:color w:val="339966"/>
          <w:sz w:val="28"/>
          <w:szCs w:val="28"/>
        </w:rPr>
        <w:t>位置</w:t>
      </w:r>
      <w:r>
        <w:rPr>
          <w:color w:val="339966"/>
          <w:sz w:val="28"/>
          <w:szCs w:val="28"/>
        </w:rPr>
        <w:t>，</w:t>
      </w:r>
      <w:r>
        <w:rPr>
          <w:rFonts w:hint="eastAsia"/>
          <w:color w:val="339966"/>
          <w:sz w:val="28"/>
          <w:szCs w:val="28"/>
        </w:rPr>
        <w:t>凭借丰富的的地质资源优势</w:t>
      </w:r>
      <w:r>
        <w:rPr>
          <w:color w:val="339966"/>
          <w:sz w:val="28"/>
          <w:szCs w:val="28"/>
        </w:rPr>
        <w:t>，</w:t>
      </w:r>
      <w:r>
        <w:rPr>
          <w:rFonts w:cs="Arial" w:hint="eastAsia"/>
          <w:color w:val="339966"/>
          <w:sz w:val="28"/>
          <w:szCs w:val="28"/>
        </w:rPr>
        <w:t>经济持续快速增长， 2001年到2009年，自治区GDP年均增速达18.7%，比全国平均增速高出6.8个百分点，连续7年增速居全国第1位；人均生产总值排名居全国第10位，成为国内除沿海地区以及西部的成都之外，内地经济发展最为强势的城市，也成为</w:t>
      </w:r>
      <w:r>
        <w:rPr>
          <w:rFonts w:hint="eastAsia"/>
          <w:color w:val="339966"/>
          <w:sz w:val="28"/>
          <w:szCs w:val="28"/>
        </w:rPr>
        <w:t>中国经济增长的经济地标。</w:t>
      </w:r>
      <w:r>
        <w:rPr>
          <w:rFonts w:cs="Arial" w:hint="eastAsia"/>
          <w:color w:val="339966"/>
          <w:sz w:val="28"/>
          <w:szCs w:val="28"/>
        </w:rPr>
        <w:t>催生出以经济持续高速增长为特征的“内蒙古现象”，引发中国发展经济看“内蒙古”的态势。</w:t>
      </w:r>
      <w:r>
        <w:rPr>
          <w:rFonts w:hint="eastAsia"/>
          <w:color w:val="339966"/>
          <w:sz w:val="28"/>
          <w:szCs w:val="28"/>
        </w:rPr>
        <w:t>尤其随着呼和浩特、包头、鄂尔多斯三市构成的金三角经济带在内蒙古经济中心位置的确立，即</w:t>
      </w:r>
      <w:r>
        <w:rPr>
          <w:rFonts w:ascii="Arial" w:hAnsi="Arial" w:cs="Arial"/>
          <w:color w:val="339966"/>
          <w:sz w:val="28"/>
          <w:szCs w:val="28"/>
        </w:rPr>
        <w:t>行政中心+重化工基地+资源中心</w:t>
      </w:r>
      <w:r>
        <w:rPr>
          <w:rFonts w:ascii="Arial" w:hAnsi="Arial" w:cs="Arial" w:hint="eastAsia"/>
          <w:color w:val="339966"/>
          <w:sz w:val="28"/>
          <w:szCs w:val="28"/>
        </w:rPr>
        <w:t>，</w:t>
      </w:r>
      <w:r>
        <w:rPr>
          <w:rFonts w:hint="eastAsia"/>
          <w:color w:val="339966"/>
          <w:sz w:val="28"/>
          <w:szCs w:val="28"/>
        </w:rPr>
        <w:t>可以说内蒙古经济正在迎来全面协调发展的最佳历史时期。</w:t>
      </w:r>
    </w:p>
    <w:p>
      <w:pPr>
        <w:pStyle w:val="Normal0"/>
        <w:ind w:firstLine="570"/>
        <w:rPr>
          <w:rFonts w:ascii="宋体" w:hAnsi="宋体" w:hint="eastAsia"/>
          <w:color w:val="339966"/>
          <w:sz w:val="28"/>
          <w:szCs w:val="28"/>
        </w:rPr>
      </w:pPr>
      <w:r>
        <w:rPr>
          <w:rFonts w:hint="eastAsia"/>
          <w:color w:val="339966"/>
          <w:sz w:val="28"/>
          <w:szCs w:val="28"/>
        </w:rPr>
        <w:t>呼和浩特市做为</w:t>
      </w:r>
      <w:hyperlink r:id="rId5" w:tgtFrame="_blank" w:tooltip="内蒙古" w:history="1">
        <w:r>
          <w:rPr>
            <w:rStyle w:val="Hyperlink"/>
            <w:rFonts w:hint="eastAsia"/>
            <w:color w:val="339966"/>
            <w:sz w:val="28"/>
            <w:szCs w:val="28"/>
          </w:rPr>
          <w:t>内蒙古</w:t>
        </w:r>
      </w:hyperlink>
      <w:r>
        <w:rPr>
          <w:rFonts w:hint="eastAsia"/>
          <w:color w:val="339966"/>
          <w:sz w:val="28"/>
          <w:szCs w:val="28"/>
        </w:rPr>
        <w:t>自治区首府和金三角经济带中的一角，是全区政治、经济、文化中心，吸纳各阶层投资人士和高端人才投资、落户</w:t>
      </w:r>
      <w:r>
        <w:rPr>
          <w:rFonts w:ascii="宋体" w:hAnsi="宋体" w:hint="eastAsia"/>
          <w:color w:val="339966"/>
          <w:sz w:val="28"/>
          <w:szCs w:val="28"/>
        </w:rPr>
        <w:t>呼和浩特市，带动了</w:t>
      </w:r>
      <w:r>
        <w:rPr>
          <w:rFonts w:hint="eastAsia"/>
          <w:color w:val="339966"/>
          <w:sz w:val="28"/>
          <w:szCs w:val="28"/>
        </w:rPr>
        <w:t>呼和浩特市的经济发展，</w:t>
      </w:r>
      <w:r>
        <w:rPr>
          <w:rFonts w:ascii="宋体" w:hAnsi="宋体" w:hint="eastAsia"/>
          <w:color w:val="339966"/>
          <w:sz w:val="28"/>
          <w:szCs w:val="28"/>
        </w:rPr>
        <w:t xml:space="preserve">进一步拉动了今天呼和浩特市居民的消费水平，人们对于好车，特别是品牌车的追求越来越成为一种趋势，近年来，鄂尔多斯市的加速发展，以及呼包鄂金三角格局的形成，就大大促进了人们消费观的提高，人们把目光逐渐向奢侈品的行列转移。 </w:t>
      </w:r>
    </w:p>
    <w:p>
      <w:pPr>
        <w:pStyle w:val="Normal0"/>
        <w:ind w:firstLine="570"/>
        <w:rPr>
          <w:rFonts w:ascii="宋体" w:hAnsi="宋体" w:hint="eastAsia"/>
          <w:color w:val="339966"/>
          <w:sz w:val="28"/>
          <w:szCs w:val="28"/>
        </w:rPr>
      </w:pPr>
      <w:r>
        <w:rPr>
          <w:rFonts w:ascii="宋体" w:hAnsi="宋体" w:hint="eastAsia"/>
          <w:color w:val="339966"/>
          <w:sz w:val="28"/>
          <w:szCs w:val="28"/>
        </w:rPr>
        <w:t>截止到</w:t>
      </w:r>
      <w:r>
        <w:rPr>
          <w:rFonts w:ascii="宋体" w:hAnsi="宋体"/>
          <w:color w:val="339966"/>
          <w:sz w:val="28"/>
          <w:szCs w:val="28"/>
        </w:rPr>
        <w:t>2010年</w:t>
      </w:r>
      <w:r>
        <w:rPr>
          <w:rFonts w:ascii="宋体" w:hAnsi="宋体" w:hint="eastAsia"/>
          <w:color w:val="339966"/>
          <w:sz w:val="28"/>
          <w:szCs w:val="28"/>
        </w:rPr>
        <w:t>9</w:t>
      </w:r>
      <w:r>
        <w:rPr>
          <w:rFonts w:ascii="宋体" w:hAnsi="宋体"/>
          <w:color w:val="339966"/>
          <w:sz w:val="28"/>
          <w:szCs w:val="28"/>
        </w:rPr>
        <w:t>月份</w:t>
      </w:r>
      <w:r>
        <w:rPr>
          <w:rFonts w:ascii="宋体" w:hAnsi="宋体" w:hint="eastAsia"/>
          <w:color w:val="339966"/>
          <w:sz w:val="28"/>
          <w:szCs w:val="28"/>
        </w:rPr>
        <w:t>,内蒙古地区的豪华车上牌量已经达到12686台，远远超出山西5936台（山西省为6750台），虽然距离北京58137台还有一定的差距，但在短短的4年里，增长速度翻了4倍，紧随上海、福建、广东等一线沿海经济发达地区，排名全国豪华车上牌率第10位。成为除北京、上海和东部沿海城市，内陆地区唯一一个排名进入前10位的内陆城市。</w:t>
      </w:r>
    </w:p>
    <w:p>
      <w:pPr>
        <w:pStyle w:val="Normal0"/>
        <w:ind w:firstLine="570"/>
        <w:rPr>
          <w:rFonts w:ascii="宋体" w:hAnsi="宋体" w:hint="eastAsia"/>
          <w:color w:val="0000FF"/>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15pt;height:172.5pt" coordsize="21600,21600" o:preferrelative="t" filled="f" stroked="f">
            <v:stroke joinstyle="miter"/>
            <v:imagedata r:id="rId6" o:title=""/>
            <o:lock v:ext="edit" aspectratio="t"/>
            <w10:anchorlock/>
          </v:shape>
        </w:pict>
      </w:r>
    </w:p>
    <w:p>
      <w:pPr>
        <w:pStyle w:val="Normal0"/>
        <w:rPr>
          <w:rFonts w:ascii="宋体" w:hAnsi="宋体" w:hint="eastAsia"/>
          <w:color w:val="339966"/>
          <w:sz w:val="28"/>
          <w:szCs w:val="28"/>
        </w:rPr>
        <w:sectPr>
          <w:type w:val="nextPage"/>
          <w:pgSz w:w="11906" w:h="16838"/>
          <w:pgMar w:top="1440" w:right="1797" w:bottom="1440" w:left="1797" w:header="851" w:footer="992" w:gutter="0"/>
          <w:pgNumType w:start="7"/>
          <w:cols w:num="1" w:space="708"/>
          <w:titlePg w:val="0"/>
          <w:docGrid w:type="lines" w:linePitch="312" w:charSpace="0"/>
        </w:sectPr>
      </w:pPr>
    </w:p>
    <w:p>
      <w:pPr>
        <w:pStyle w:val="Normal0"/>
        <w:rPr>
          <w:rFonts w:ascii="宋体" w:hAnsi="宋体" w:hint="eastAsia"/>
          <w:color w:val="339966"/>
          <w:sz w:val="28"/>
          <w:szCs w:val="28"/>
        </w:rPr>
      </w:pPr>
      <w:r>
        <w:rPr>
          <w:rFonts w:ascii="宋体" w:hAnsi="宋体" w:hint="eastAsia"/>
          <w:color w:val="339966"/>
          <w:sz w:val="28"/>
          <w:szCs w:val="28"/>
        </w:rPr>
        <w:t>2010年9月全国豪华车上牌数量为64441辆，其中宝马为15089辆，占比23%；内蒙古地区9月份豪华车上牌数量为1608辆，宝马上牌266辆，占比17%。远远低于全国平均水平7%。市场可挖掘、客户购买力有着广阔的空间。</w:t>
      </w:r>
    </w:p>
    <w:p>
      <w:pPr>
        <w:pStyle w:val="Normal0"/>
        <w:ind w:firstLine="570"/>
        <w:rPr>
          <w:rFonts w:ascii="宋体" w:hAnsi="宋体" w:hint="eastAsia"/>
          <w:color w:val="0000FF"/>
          <w:sz w:val="28"/>
          <w:szCs w:val="28"/>
        </w:rPr>
      </w:pPr>
      <w:r>
        <w:pict>
          <v:shape id="_x0000_i1026" type="#_x0000_t75" style="width:396.25pt;height:173.2pt" coordsize="21600,21600" o:preferrelative="t" filled="f" stroked="f">
            <v:stroke joinstyle="miter"/>
            <v:imagedata r:id="rId7" o:title=""/>
            <o:lock v:ext="edit" aspectratio="t"/>
            <w10:anchorlock/>
          </v:shape>
        </w:pict>
      </w:r>
    </w:p>
    <w:p>
      <w:pPr>
        <w:pStyle w:val="Normal0"/>
        <w:ind w:firstLine="570"/>
        <w:rPr>
          <w:rFonts w:ascii="宋体" w:hAnsi="宋体" w:hint="eastAsia"/>
          <w:color w:val="339966"/>
          <w:sz w:val="28"/>
          <w:szCs w:val="28"/>
        </w:rPr>
      </w:pPr>
      <w:r>
        <w:rPr>
          <w:rFonts w:ascii="宋体" w:hAnsi="宋体" w:hint="eastAsia"/>
          <w:color w:val="339966"/>
          <w:sz w:val="28"/>
          <w:szCs w:val="28"/>
        </w:rPr>
        <w:t>在全球宝马汽车畅销的大背景下，宝马在中国推出了全系列的产品，价格从20多万的MINI、宝马3系到200万的760，车型定位和价格定位进一步拉进了国内中高收入人群，购买体验世界一线豪华车品牌的需求，也就造就了宝马车辆在全国的供不应求，拿新5系举例，预定定单已持续到2011年4月份。</w:t>
      </w:r>
    </w:p>
    <w:p>
      <w:pPr>
        <w:pStyle w:val="Normal0"/>
        <w:ind w:firstLine="570"/>
        <w:rPr>
          <w:rFonts w:ascii="宋体" w:hAnsi="宋体" w:hint="eastAsia"/>
          <w:color w:val="339966"/>
          <w:sz w:val="28"/>
          <w:szCs w:val="28"/>
        </w:rPr>
      </w:pPr>
      <w:r>
        <w:rPr>
          <w:rFonts w:ascii="宋体" w:hAnsi="宋体" w:hint="eastAsia"/>
          <w:color w:val="339966"/>
          <w:sz w:val="28"/>
          <w:szCs w:val="28"/>
        </w:rPr>
        <w:t>本</w:t>
      </w:r>
      <w:r>
        <w:rPr>
          <w:rFonts w:ascii="宋体" w:hAnsi="宋体" w:hint="eastAsia"/>
          <w:color w:val="339966"/>
          <w:sz w:val="28"/>
          <w:szCs w:val="28"/>
          <w:lang w:eastAsia="zh-CN"/>
        </w:rPr>
        <w:t>相关项目</w:t>
      </w:r>
      <w:r>
        <w:rPr>
          <w:rFonts w:ascii="宋体" w:hAnsi="宋体" w:hint="eastAsia"/>
          <w:color w:val="339966"/>
          <w:sz w:val="28"/>
          <w:szCs w:val="28"/>
        </w:rPr>
        <w:t>的建设就是要立足于解决这一难题，为人们生活、消费提供一个高品牌、集约化、合理化、规模化的宝马汽车服务市场，与此同时，它的建设将会促进呼和浩特汽车行业的进一步发展，引领汽车、特别是品牌汽车消费的发展。因此本</w:t>
      </w:r>
      <w:r>
        <w:rPr>
          <w:rFonts w:ascii="宋体" w:hAnsi="宋体" w:hint="eastAsia"/>
          <w:color w:val="339966"/>
          <w:sz w:val="28"/>
          <w:szCs w:val="28"/>
          <w:lang w:eastAsia="zh-CN"/>
        </w:rPr>
        <w:t>相关项目</w:t>
      </w:r>
      <w:r>
        <w:rPr>
          <w:rFonts w:ascii="宋体" w:hAnsi="宋体" w:hint="eastAsia"/>
          <w:color w:val="339966"/>
          <w:sz w:val="28"/>
          <w:szCs w:val="28"/>
        </w:rPr>
        <w:t>的建设具有一定的必要性。</w:t>
      </w:r>
    </w:p>
    <w:p>
      <w:pPr>
        <w:pStyle w:val="Normal0"/>
        <w:ind w:firstLine="560" w:firstLineChars="200"/>
        <w:rPr>
          <w:rFonts w:ascii="宋体" w:hAnsi="宋体" w:hint="eastAsia"/>
          <w:b/>
          <w:color w:val="000000"/>
          <w:sz w:val="28"/>
          <w:szCs w:val="28"/>
        </w:rPr>
      </w:pPr>
      <w:r>
        <w:rPr>
          <w:rFonts w:hint="eastAsia"/>
          <w:b/>
          <w:sz w:val="28"/>
          <w:szCs w:val="28"/>
        </w:rPr>
        <w:t>四、</w:t>
      </w:r>
      <w:r>
        <w:rPr>
          <w:rFonts w:ascii="宋体" w:hAnsi="宋体" w:hint="eastAsia"/>
          <w:b/>
          <w:sz w:val="28"/>
          <w:szCs w:val="28"/>
          <w:lang w:eastAsia="zh-CN"/>
        </w:rPr>
        <w:t>相关项目</w:t>
      </w:r>
      <w:r>
        <w:rPr>
          <w:rFonts w:ascii="宋体" w:hAnsi="宋体" w:hint="eastAsia"/>
          <w:b/>
          <w:sz w:val="28"/>
          <w:szCs w:val="28"/>
        </w:rPr>
        <w:t>建设</w:t>
      </w:r>
      <w:r>
        <w:rPr>
          <w:rFonts w:ascii="宋体" w:hAnsi="宋体" w:hint="eastAsia"/>
          <w:b/>
          <w:color w:val="000000"/>
          <w:sz w:val="28"/>
          <w:szCs w:val="28"/>
        </w:rPr>
        <w:t>经济可行性 </w:t>
      </w:r>
    </w:p>
    <w:p>
      <w:pPr>
        <w:pStyle w:val="Normal0"/>
        <w:ind w:firstLine="560" w:firstLineChars="200"/>
        <w:rPr>
          <w:rFonts w:ascii="宋体" w:hAnsi="宋体" w:hint="eastAsia"/>
          <w:sz w:val="28"/>
          <w:szCs w:val="28"/>
        </w:rPr>
        <w:sectPr>
          <w:type w:val="nextPage"/>
          <w:pgSz w:w="11906" w:h="16838"/>
          <w:pgMar w:top="1440" w:right="1797" w:bottom="1440" w:left="1797" w:header="851" w:footer="992" w:gutter="0"/>
          <w:pgNumType w:start="8"/>
          <w:cols w:num="1" w:space="708"/>
          <w:titlePg w:val="0"/>
          <w:docGrid w:type="lines" w:linePitch="312" w:charSpace="0"/>
        </w:sectPr>
      </w:pPr>
      <w:r>
        <w:rPr>
          <w:rFonts w:ascii="宋体" w:hAnsi="宋体" w:hint="eastAsia"/>
          <w:sz w:val="28"/>
          <w:szCs w:val="28"/>
        </w:rPr>
        <w:t>近年来，内蒙古的第三产业正如火如荼的发展起来，</w:t>
      </w:r>
      <w:r>
        <w:rPr>
          <w:rFonts w:ascii="宋体" w:hAnsi="宋体"/>
          <w:sz w:val="28"/>
          <w:szCs w:val="28"/>
        </w:rPr>
        <w:t>呼和浩特作为内蒙古自治区商贸、金融、旅游的中心城市，第三产业发展迅速。第三产业增加值已占地区生产总值的56.2%。服务业已经成为拉动全市经济发展的重要力量</w:t>
      </w:r>
      <w:r>
        <w:rPr>
          <w:rFonts w:ascii="宋体" w:hAnsi="宋体" w:hint="eastAsia"/>
          <w:sz w:val="28"/>
          <w:szCs w:val="28"/>
        </w:rPr>
        <w:t>，</w:t>
      </w:r>
    </w:p>
    <w:p>
      <w:pPr>
        <w:pStyle w:val="Normal0"/>
        <w:ind w:firstLine="560" w:firstLineChars="200"/>
        <w:rPr>
          <w:rFonts w:ascii="宋体" w:hAnsi="宋体" w:hint="eastAsia"/>
          <w:sz w:val="28"/>
          <w:szCs w:val="28"/>
        </w:rPr>
      </w:pPr>
      <w:r>
        <w:rPr>
          <w:rFonts w:ascii="宋体" w:hAnsi="宋体"/>
          <w:sz w:val="28"/>
          <w:szCs w:val="28"/>
        </w:rPr>
        <w:t>作为首府最大的优势产业，坚持与工业“双轮驱动”。</w:t>
      </w:r>
      <w:r>
        <w:rPr>
          <w:rFonts w:ascii="宋体" w:hAnsi="宋体" w:hint="eastAsia"/>
          <w:sz w:val="28"/>
          <w:szCs w:val="28"/>
        </w:rPr>
        <w:t xml:space="preserve"> </w:t>
      </w:r>
    </w:p>
    <w:p>
      <w:pPr>
        <w:pStyle w:val="Normal0"/>
        <w:ind w:firstLine="560" w:firstLineChars="200"/>
        <w:rPr>
          <w:rFonts w:ascii="宋体" w:hAnsi="宋体" w:hint="eastAsia"/>
          <w:color w:val="000000"/>
          <w:sz w:val="28"/>
          <w:szCs w:val="28"/>
        </w:rPr>
      </w:pPr>
      <w:r>
        <w:rPr>
          <w:rFonts w:ascii="宋体" w:hAnsi="宋体" w:hint="eastAsia"/>
          <w:sz w:val="28"/>
          <w:szCs w:val="28"/>
        </w:rPr>
        <w:t>山西顺宝行汽车销售服务有限公司年销量近2000台，年销售收入达到12亿元左右。即将成立的呼和浩特市顺宝行汽车销售服务有限公司隶属于山西顺宝行集团，他的建设</w:t>
      </w:r>
      <w:r>
        <w:rPr>
          <w:rFonts w:ascii="宋体" w:hAnsi="宋体" w:hint="eastAsia"/>
          <w:color w:val="000000"/>
          <w:sz w:val="28"/>
          <w:szCs w:val="28"/>
        </w:rPr>
        <w:t>将会对呼和浩特乃至内蒙地区经济的发展起到一定的拉动作用，同时，经济发展又会对汽车销售服务产业起到一定的促进作用。</w:t>
      </w:r>
    </w:p>
    <w:p>
      <w:pPr>
        <w:pStyle w:val="NormalWeb"/>
        <w:shd w:val="clear" w:color="auto" w:fill="FFFFFF"/>
        <w:spacing w:before="0" w:beforeLines="0" w:beforeAutospacing="0" w:after="0" w:afterLines="0" w:afterAutospacing="0" w:line="360" w:lineRule="auto"/>
        <w:jc w:val="center"/>
        <w:rPr>
          <w:rFonts w:hint="eastAsia"/>
          <w:color w:val="000000"/>
          <w:spacing w:val="20"/>
          <w:sz w:val="32"/>
          <w:szCs w:val="32"/>
        </w:rPr>
      </w:pPr>
      <w:r>
        <w:rPr>
          <w:rFonts w:hint="eastAsia"/>
          <w:b/>
          <w:color w:val="000000"/>
          <w:spacing w:val="20"/>
          <w:sz w:val="32"/>
          <w:szCs w:val="32"/>
        </w:rPr>
        <w:t>第二章   市场分析</w:t>
      </w:r>
    </w:p>
    <w:p>
      <w:pPr>
        <w:pStyle w:val="Normal0"/>
        <w:rPr>
          <w:rFonts w:hint="eastAsia"/>
          <w:b/>
          <w:color w:val="339966"/>
          <w:sz w:val="28"/>
          <w:szCs w:val="28"/>
        </w:rPr>
      </w:pPr>
      <w:r>
        <w:rPr>
          <w:rFonts w:hint="eastAsia"/>
          <w:b/>
          <w:color w:val="339966"/>
          <w:sz w:val="28"/>
          <w:szCs w:val="28"/>
        </w:rPr>
        <w:t>一、国内豪华车市场现状和预测</w:t>
      </w:r>
    </w:p>
    <w:p>
      <w:pPr>
        <w:pStyle w:val="Normal0"/>
        <w:ind w:firstLine="560" w:firstLineChars="200"/>
        <w:rPr>
          <w:rFonts w:hint="eastAsia"/>
          <w:color w:val="339966"/>
          <w:sz w:val="28"/>
          <w:szCs w:val="28"/>
        </w:rPr>
        <w:sectPr>
          <w:type w:val="nextPage"/>
          <w:pgSz w:w="11906" w:h="16838"/>
          <w:pgMar w:top="1440" w:right="1797" w:bottom="1440" w:left="1797" w:header="851" w:footer="992" w:gutter="0"/>
          <w:pgNumType w:start="9"/>
          <w:cols w:num="1" w:space="708"/>
          <w:titlePg w:val="0"/>
          <w:docGrid w:type="lines" w:linePitch="312" w:charSpace="0"/>
        </w:sectPr>
      </w:pPr>
      <w:r>
        <w:rPr>
          <w:rFonts w:hint="eastAsia"/>
          <w:color w:val="339966"/>
          <w:sz w:val="28"/>
          <w:szCs w:val="28"/>
        </w:rPr>
        <w:t>2009</w:t>
      </w:r>
      <w:r>
        <w:rPr>
          <w:color w:val="339966"/>
          <w:sz w:val="28"/>
          <w:szCs w:val="28"/>
        </w:rPr>
        <w:t>中国一举成为全球最大的汽车销售市场，国内车市再次为全球各大车企所瞩目，尤其是近几年市场表现一直优异的豪华车市场更加备受青睐。</w:t>
      </w:r>
      <w:r>
        <w:rPr>
          <w:rFonts w:hint="eastAsia"/>
          <w:color w:val="339966"/>
          <w:sz w:val="28"/>
          <w:szCs w:val="28"/>
        </w:rPr>
        <w:t>2010年</w:t>
      </w:r>
      <w:r>
        <w:rPr>
          <w:rFonts w:ascii="ˎ̥" w:hAnsi="ˎ̥" w:cs="宋体"/>
          <w:color w:val="339966"/>
          <w:kern w:val="0"/>
          <w:sz w:val="28"/>
          <w:szCs w:val="28"/>
        </w:rPr>
        <w:t>奥迪、宝马、奔驰等豪华轿车品牌均取得了大幅度增长。有关统计数据显示，</w:t>
      </w:r>
      <w:r>
        <w:rPr>
          <w:rFonts w:ascii="ˎ̥" w:hAnsi="ˎ̥" w:cs="宋体" w:hint="eastAsia"/>
          <w:color w:val="339966"/>
          <w:kern w:val="0"/>
          <w:sz w:val="28"/>
          <w:szCs w:val="28"/>
        </w:rPr>
        <w:t>2010年</w:t>
      </w:r>
      <w:r>
        <w:rPr>
          <w:rFonts w:ascii="ˎ̥" w:hAnsi="ˎ̥" w:cs="宋体"/>
          <w:color w:val="339966"/>
          <w:kern w:val="0"/>
          <w:sz w:val="28"/>
          <w:szCs w:val="28"/>
        </w:rPr>
        <w:t>前三个季度</w:t>
      </w:r>
      <w:r>
        <w:rPr>
          <w:rFonts w:ascii="ˎ̥" w:hAnsi="ˎ̥" w:cs="宋体" w:hint="eastAsia"/>
          <w:color w:val="339966"/>
          <w:kern w:val="0"/>
          <w:sz w:val="28"/>
          <w:szCs w:val="28"/>
        </w:rPr>
        <w:t>中国豪华车销售量达到483530辆，其中</w:t>
      </w:r>
      <w:r>
        <w:rPr>
          <w:rFonts w:ascii="ˎ̥" w:hAnsi="ˎ̥" w:cs="宋体"/>
          <w:color w:val="339966"/>
          <w:kern w:val="0"/>
          <w:sz w:val="28"/>
          <w:szCs w:val="28"/>
        </w:rPr>
        <w:t>奥迪汽车在中国销量达到174907辆，同比去年上升60.7%，继续保持着国内豪华车的领先地位。宝马汽车今年1到9月在中国内地市场卖出了131891辆，同比劲增96%</w:t>
      </w:r>
      <w:r>
        <w:rPr>
          <w:rFonts w:ascii="ˎ̥" w:hAnsi="ˎ̥" w:cs="宋体" w:hint="eastAsia"/>
          <w:color w:val="339966"/>
          <w:kern w:val="0"/>
          <w:sz w:val="28"/>
          <w:szCs w:val="28"/>
        </w:rPr>
        <w:t>。</w:t>
      </w:r>
      <w:r>
        <w:rPr>
          <w:rFonts w:ascii="ˎ̥" w:hAnsi="ˎ̥" w:cs="宋体"/>
          <w:color w:val="339966"/>
          <w:kern w:val="0"/>
          <w:sz w:val="28"/>
          <w:szCs w:val="28"/>
        </w:rPr>
        <w:t>奔驰</w:t>
      </w:r>
      <w:r>
        <w:rPr>
          <w:rFonts w:ascii="ˎ̥" w:hAnsi="ˎ̥" w:cs="宋体" w:hint="eastAsia"/>
          <w:color w:val="339966"/>
          <w:kern w:val="0"/>
          <w:sz w:val="28"/>
          <w:szCs w:val="28"/>
        </w:rPr>
        <w:t>2010年</w:t>
      </w:r>
      <w:r>
        <w:rPr>
          <w:rFonts w:ascii="ˎ̥" w:hAnsi="ˎ̥" w:cs="宋体"/>
          <w:color w:val="339966"/>
          <w:kern w:val="0"/>
          <w:sz w:val="28"/>
          <w:szCs w:val="28"/>
        </w:rPr>
        <w:t>共交付汽车</w:t>
      </w:r>
      <w:r>
        <w:rPr>
          <w:rFonts w:ascii="ˎ̥" w:hAnsi="ˎ̥" w:cs="宋体" w:hint="eastAsia"/>
          <w:color w:val="339966"/>
          <w:kern w:val="0"/>
          <w:sz w:val="28"/>
          <w:szCs w:val="28"/>
        </w:rPr>
        <w:t>101350辆，</w:t>
      </w:r>
      <w:r>
        <w:rPr>
          <w:color w:val="339966"/>
          <w:sz w:val="28"/>
          <w:szCs w:val="28"/>
        </w:rPr>
        <w:t> </w:t>
      </w:r>
      <w:r>
        <w:rPr>
          <w:rFonts w:hint="eastAsia"/>
          <w:color w:val="339966"/>
          <w:sz w:val="28"/>
          <w:szCs w:val="28"/>
        </w:rPr>
        <w:t>以上三家销售量总和占到了中国2010年豪华车整体销量的85%，</w:t>
      </w:r>
      <w:r>
        <w:rPr>
          <w:color w:val="339966"/>
          <w:sz w:val="28"/>
          <w:szCs w:val="28"/>
        </w:rPr>
        <w:t>中国豪华车市场前三位的</w:t>
      </w:r>
      <w:r>
        <w:rPr>
          <w:rFonts w:hint="eastAsia"/>
          <w:color w:val="339966"/>
          <w:sz w:val="28"/>
          <w:szCs w:val="28"/>
        </w:rPr>
        <w:t>排名</w:t>
      </w:r>
      <w:r>
        <w:rPr>
          <w:color w:val="339966"/>
          <w:sz w:val="28"/>
          <w:szCs w:val="28"/>
        </w:rPr>
        <w:t>依然</w:t>
      </w:r>
      <w:r>
        <w:rPr>
          <w:rFonts w:hint="eastAsia"/>
          <w:color w:val="339966"/>
          <w:sz w:val="28"/>
          <w:szCs w:val="28"/>
        </w:rPr>
        <w:t>牢牢的被</w:t>
      </w:r>
      <w:r>
        <w:rPr>
          <w:color w:val="339966"/>
          <w:sz w:val="28"/>
          <w:szCs w:val="28"/>
        </w:rPr>
        <w:t>奥迪、奔驰和宝马</w:t>
      </w:r>
      <w:r>
        <w:rPr>
          <w:rFonts w:hint="eastAsia"/>
          <w:color w:val="339966"/>
          <w:sz w:val="28"/>
          <w:szCs w:val="28"/>
        </w:rPr>
        <w:t>所占据</w:t>
      </w:r>
      <w:r>
        <w:rPr>
          <w:color w:val="339966"/>
          <w:sz w:val="28"/>
          <w:szCs w:val="28"/>
        </w:rPr>
        <w:t>。</w:t>
      </w:r>
    </w:p>
    <w:p>
      <w:pPr>
        <w:pStyle w:val="Normal0"/>
        <w:ind w:firstLine="420" w:firstLineChars="200"/>
        <w:rPr>
          <w:rFonts w:hint="eastAsia"/>
          <w:color w:val="339966"/>
          <w:sz w:val="28"/>
          <w:szCs w:val="28"/>
        </w:rPr>
      </w:pPr>
      <w:r>
        <w:pict>
          <v:shape id="_x0000_i1027" type="#_x0000_t75" style="width:365.2pt;height:191.2pt" coordsize="21600,21600" o:preferrelative="t" filled="f" stroked="f">
            <v:stroke joinstyle="miter"/>
            <v:imagedata r:id="rId8" o:title=""/>
            <o:lock v:ext="edit" aspectratio="t"/>
            <w10:anchorlock/>
          </v:shape>
        </w:pict>
      </w:r>
    </w:p>
    <w:p>
      <w:pPr>
        <w:pStyle w:val="Normal0"/>
        <w:ind w:firstLine="560" w:firstLineChars="200"/>
        <w:rPr>
          <w:rFonts w:hint="eastAsia"/>
          <w:color w:val="339966"/>
          <w:sz w:val="28"/>
          <w:szCs w:val="28"/>
        </w:rPr>
      </w:pPr>
    </w:p>
    <w:p>
      <w:pPr>
        <w:pStyle w:val="Normal0"/>
        <w:ind w:firstLine="560" w:firstLineChars="200"/>
        <w:rPr>
          <w:rFonts w:hint="eastAsia"/>
          <w:color w:val="339966"/>
          <w:sz w:val="28"/>
          <w:szCs w:val="28"/>
        </w:rPr>
      </w:pPr>
      <w:r>
        <w:rPr>
          <w:color w:val="339966"/>
          <w:sz w:val="28"/>
          <w:szCs w:val="28"/>
        </w:rPr>
        <w:pict>
          <v:group id="_x0000_s1026" o:spid="_x0000_i1028" style="width:365.25pt;height:191.25pt" coordsize="7305,3825">
            <o:lock v:ext="edit" aspectratio="f"/>
            <v:shape id="_x0000_s1029" o:spid="_x0000_s1029" type="#_x0000_t75" style="width:7305;height:3825;position:absolute" coordsize="21600,21600" filled="f" stroked="f">
              <o:lock v:ext="edit" aspectratio="t" text="t"/>
            </v:shape>
            <v:rect id="_x0000_s1030" o:spid="_x0000_s1030" style="width:7140;height:375;left:75;position:absolute;top:75" coordsize="21600,21600" filled="t" fillcolor="navy" stroked="f">
              <v:fill color2="white"/>
              <o:lock v:ext="edit" aspectratio="f"/>
            </v:rect>
            <v:rect id="_x0000_s1031" o:spid="_x0000_s1031" style="width:7140;height:225;left:75;position:absolute;top:450" coordsize="21600,21600" filled="t" fillcolor="#00007e" stroked="f">
              <v:fill color2="white"/>
              <o:lock v:ext="edit" aspectratio="f"/>
            </v:rect>
            <v:rect id="_x0000_s1032" o:spid="_x0000_s1032" style="width:7140;height:240;left:75;position:absolute;top:675" coordsize="21600,21600" filled="t" fillcolor="#00007c" stroked="f">
              <v:fill color2="white"/>
              <o:lock v:ext="edit" aspectratio="f"/>
            </v:rect>
            <v:rect id="_x0000_s1033" o:spid="_x0000_s1033" style="width:7140;height:105;left:75;position:absolute;top:915" coordsize="21600,21600" filled="t" fillcolor="#00007a" stroked="f">
              <v:fill color2="white"/>
              <o:lock v:ext="edit" aspectratio="f"/>
            </v:rect>
            <v:rect id="_x0000_s1034" o:spid="_x0000_s1034" style="width:7140;height:120;left:75;position:absolute;top:1020" coordsize="21600,21600" filled="t" fillcolor="#000078" stroked="f">
              <v:fill color2="white"/>
              <o:lock v:ext="edit" aspectratio="f"/>
            </v:rect>
            <v:rect id="_x0000_s1035" o:spid="_x0000_s1035" style="width:7140;height:105;left:75;position:absolute;top:1140" coordsize="21600,21600" filled="t" fillcolor="#000076" stroked="f">
              <v:fill color2="white"/>
              <o:lock v:ext="edit" aspectratio="f"/>
            </v:rect>
            <v:rect id="_x0000_s1036" o:spid="_x0000_s1036" style="width:7140;height:120;left:75;position:absolute;top:1245" coordsize="21600,21600" filled="t" fillcolor="#000074" stroked="f">
              <v:fill color2="white"/>
              <o:lock v:ext="edit" aspectratio="f"/>
            </v:rect>
            <v:rect id="_x0000_s1037" o:spid="_x0000_s1037" style="width:7140;height:105;left:75;position:absolute;top:1365" coordsize="21600,21600" filled="t" fillcolor="#000072" stroked="f">
              <v:fill color2="white"/>
              <o:lock v:ext="edit" aspectratio="f"/>
            </v:rect>
            <v:rect id="_x0000_s1038" o:spid="_x0000_s1038" style="width:7140;height:75;left:75;position:absolute;top:1470" coordsize="21600,21600" filled="t" fillcolor="#000070" stroked="f">
              <v:fill color2="white"/>
              <o:lock v:ext="edit" aspectratio="f"/>
            </v:rect>
            <v:rect id="_x0000_s1039" o:spid="_x0000_s1039" style="width:7140;height:60;left:75;position:absolute;top:1545" coordsize="21600,21600" filled="t" fillcolor="#00006e" stroked="f">
              <v:fill color2="white"/>
              <o:lock v:ext="edit" aspectratio="f"/>
            </v:rect>
            <v:rect id="_x0000_s1040" o:spid="_x0000_s1040" style="width:7140;height:105;left:75;position:absolute;top:1605" coordsize="21600,21600" filled="t" fillcolor="#00006c" stroked="f">
              <v:fill color2="white"/>
              <o:lock v:ext="edit" aspectratio="f"/>
            </v:rect>
            <v:rect id="_x0000_s1041" o:spid="_x0000_s1041" style="width:7140;height:75;left:75;position:absolute;top:1710" coordsize="21600,21600" filled="t" fillcolor="#00006a" stroked="f">
              <v:fill color2="white"/>
              <o:lock v:ext="edit" aspectratio="f"/>
            </v:rect>
            <v:rect id="_x0000_s1042" o:spid="_x0000_s1042" style="width:7140;height:90;left:75;position:absolute;top:1785" coordsize="21600,21600" filled="t" fillcolor="#000068" stroked="f">
              <v:fill color2="white"/>
              <o:lock v:ext="edit" aspectratio="f"/>
            </v:rect>
            <v:rect id="_x0000_s1043" o:spid="_x0000_s1043" style="width:7140;height:45;left:75;position:absolute;top:1875" coordsize="21600,21600" filled="t" fillcolor="#006" stroked="f">
              <v:fill color2="white"/>
              <o:lock v:ext="edit" aspectratio="f"/>
            </v:rect>
            <v:rect id="_x0000_s1044" o:spid="_x0000_s1044" style="width:7140;height:60;left:75;position:absolute;top:1920" coordsize="21600,21600" filled="t" fillcolor="#000064" stroked="f">
              <v:fill color2="white"/>
              <o:lock v:ext="edit" aspectratio="f"/>
            </v:rect>
            <v:rect id="_x0000_s1045" o:spid="_x0000_s1045" style="width:7140;height:75;left:75;position:absolute;top:1980" coordsize="21600,21600" filled="t" fillcolor="#000062" stroked="f">
              <v:fill color2="white"/>
              <o:lock v:ext="edit" aspectratio="f"/>
            </v:rect>
            <v:rect id="_x0000_s1046" o:spid="_x0000_s1046" style="width:7140;height:75;left:75;position:absolute;top:2055" coordsize="21600,21600" filled="t" fillcolor="#000060" stroked="f">
              <v:fill color2="white"/>
              <o:lock v:ext="edit" aspectratio="f"/>
            </v:rect>
            <v:rect id="_x0000_s1047" o:spid="_x0000_s1047" style="width:7140;height:60;left:75;position:absolute;top:2130" coordsize="21600,21600" filled="t" fillcolor="#00005e" stroked="f">
              <v:fill color2="white"/>
              <o:lock v:ext="edit" aspectratio="f"/>
            </v:rect>
            <v:rect id="_x0000_s1048" o:spid="_x0000_s1048" style="width:7140;height:75;left:75;position:absolute;top:2190" coordsize="21600,21600" filled="t" fillcolor="#00005c" stroked="f">
              <v:fill color2="white"/>
              <o:lock v:ext="edit" aspectratio="f"/>
            </v:rect>
            <v:rect id="_x0000_s1049" o:spid="_x0000_s1049" style="width:7140;height:60;left:75;position:absolute;top:2265" coordsize="21600,21600" filled="t" fillcolor="#00005a" stroked="f">
              <v:fill color2="white"/>
              <o:lock v:ext="edit" aspectratio="f"/>
            </v:rect>
            <v:rect id="_x0000_s1050" o:spid="_x0000_s1050" style="width:7140;height:60;left:75;position:absolute;top:2325" coordsize="21600,21600" filled="t" fillcolor="#000058" stroked="f">
              <v:fill color2="white"/>
              <o:lock v:ext="edit" aspectratio="f"/>
            </v:rect>
            <v:rect id="_x0000_s1051" o:spid="_x0000_s1051" style="width:7140;height:75;left:75;position:absolute;top:2385" coordsize="21600,21600" filled="t" fillcolor="#000056" stroked="f">
              <v:fill color2="white"/>
              <o:lock v:ext="edit" aspectratio="f"/>
            </v:rect>
            <v:rect id="_x0000_s1052" o:spid="_x0000_s1052" style="width:7140;height:75;left:75;position:absolute;top:2460" coordsize="21600,21600" filled="t" fillcolor="#000054" stroked="f">
              <v:fill color2="white"/>
              <o:lock v:ext="edit" aspectratio="f"/>
            </v:rect>
            <v:rect id="_x0000_s1053" o:spid="_x0000_s1053" style="width:7140;height:45;left:75;position:absolute;top:2535" coordsize="21600,21600" filled="t" fillcolor="#000052" stroked="f">
              <v:fill color2="white"/>
              <o:lock v:ext="edit" aspectratio="f"/>
            </v:rect>
            <v:rect id="_x0000_s1054" o:spid="_x0000_s1054" style="width:7140;height:90;left:75;position:absolute;top:2580" coordsize="21600,21600" filled="t" fillcolor="#000050" stroked="f">
              <v:fill color2="white"/>
              <o:lock v:ext="edit" aspectratio="f"/>
            </v:rect>
            <v:rect id="_x0000_s1055" o:spid="_x0000_s1055" style="width:7140;height:60;left:75;position:absolute;top:2670" coordsize="21600,21600" filled="t" fillcolor="#00004e" stroked="f">
              <v:fill color2="white"/>
              <o:lock v:ext="edit" aspectratio="f"/>
            </v:rect>
            <v:rect id="_x0000_s1056" o:spid="_x0000_s1056" style="width:7140;height:75;left:75;position:absolute;top:2730" coordsize="21600,21600" filled="t" fillcolor="#00004c" stroked="f">
              <v:fill color2="white"/>
              <o:lock v:ext="edit" aspectratio="f"/>
            </v:rect>
            <v:rect id="_x0000_s1057" o:spid="_x0000_s1057" style="width:7140;height:75;left:75;position:absolute;top:2805" coordsize="21600,21600" filled="t" fillcolor="#00004a" stroked="f">
              <v:fill color2="white"/>
              <o:lock v:ext="edit" aspectratio="f"/>
            </v:rect>
            <v:rect id="_x0000_s1058" o:spid="_x0000_s1058" style="width:7140;height:90;left:75;position:absolute;top:2880" coordsize="21600,21600" filled="t" fillcolor="#000048" stroked="f">
              <v:fill color2="white"/>
              <o:lock v:ext="edit" aspectratio="f"/>
            </v:rect>
            <v:rect id="_x0000_s1059" o:spid="_x0000_s1059" style="width:7140;height:120;left:75;position:absolute;top:2970" coordsize="21600,21600" filled="t" fillcolor="#000046" stroked="f">
              <v:fill color2="white"/>
              <o:lock v:ext="edit" aspectratio="f"/>
            </v:rect>
            <v:rect id="_x0000_s1060" o:spid="_x0000_s1060" style="width:7140;height:75;left:75;position:absolute;top:3090" coordsize="21600,21600" filled="t" fillcolor="#004" stroked="f">
              <v:fill color2="white"/>
              <o:lock v:ext="edit" aspectratio="f"/>
            </v:rect>
            <v:rect id="_x0000_s1061" o:spid="_x0000_s1061" style="width:7140;height:90;left:75;position:absolute;top:3165" coordsize="21600,21600" filled="t" fillcolor="#000042" stroked="f">
              <v:fill color2="white"/>
              <o:lock v:ext="edit" aspectratio="f"/>
            </v:rect>
            <v:rect id="_x0000_s1062" o:spid="_x0000_s1062" style="width:7140;height:180;left:75;position:absolute;top:3255" coordsize="21600,21600" filled="t" fillcolor="#000040" stroked="f">
              <v:fill color2="white"/>
              <o:lock v:ext="edit" aspectratio="f"/>
            </v:rect>
            <v:rect id="_x0000_s1063" o:spid="_x0000_s1063" style="width:7140;height:120;left:75;position:absolute;top:3435" coordsize="21600,21600" filled="t" fillcolor="#00003e" stroked="f">
              <v:fill color2="white"/>
              <o:lock v:ext="edit" aspectratio="f"/>
            </v:rect>
            <v:rect id="_x0000_s1064" o:spid="_x0000_s1064" style="width:7140;height:195;left:75;position:absolute;top:3555" coordsize="21600,21600" filled="t" fillcolor="#00003b" stroked="f">
              <v:fill color2="white"/>
              <o:lock v:ext="edit" aspectratio="f"/>
            </v:rect>
            <v:rect id="_x0000_s1065" o:spid="_x0000_s1065" style="width:7140;height:3675;left:75;position:absolute;top:75" coordsize="21600,21600" filled="f" stroked="t" strokecolor="black">
              <v:stroke joinstyle="miter"/>
              <o:lock v:ext="edit" aspectratio="f"/>
            </v:rect>
            <v:shape id="未知" o:spid="_x0000_s1066" style="width:810;height:345;left:2700;position:absolute;top:1845" coordsize="810,345" path="m810,225hal,hal,120hal810,345hal810,225haxe" filled="t" fillcolor="#668080" stroked="f">
              <v:fill color2="white"/>
              <v:path arrowok="t"/>
              <o:lock v:ext="edit" aspectratio="f"/>
            </v:shape>
            <v:shape id="未知" o:spid="_x0000_s1067" style="width:810;height:405;left:2700;position:absolute;top:1665" coordsize="810,405" path="m,180hal30,165hal60,150hal90,120hal135,105hal180,90hal225,75hal255,60hal300,60hal345,45hal390,30hal435,30hal495,15hal540,15hal600,hal660,hal705,hal750,hal810,hal810,405hal,180haxe" filled="t" fillcolor="#cff" stroked="f">
              <v:fill color2="white"/>
              <v:path arrowok="t"/>
              <o:lock v:ext="edit" aspectratio="f"/>
            </v:shape>
            <v:shape id="未知" o:spid="_x0000_s1068" style="width:225;height:375;left:4605;position:absolute;top:2115" coordsize="225,375" path="m225,hal225,15hal210,45hal210,60hal195,90hal180,120hal165,135hal150,150hal120,180hal90,195hal60,210hal30,240hal,255hal,375hal30,360hal60,330hal90,315hal120,300hal150,270hal165,255hal180,240hal195,210hal210,180hal210,165hal225,135hal225,120hal225,haxe" filled="t" fillcolor="#4d4d80" stroked="f">
              <v:fill color2="white"/>
              <v:path arrowok="t"/>
              <o:lock v:ext="edit" aspectratio="f"/>
            </v:shape>
            <v:shape id="未知" o:spid="_x0000_s1069" style="width:750;height:375;left:3855;position:absolute;top:2115" coordsize="750,375" path="m,hal750,255hal750,375hal,120hal,haxe" filled="t" fillcolor="#4d4d80" stroked="f">
              <v:fill color2="white"/>
              <v:path arrowok="t"/>
              <o:lock v:ext="edit" aspectratio="f"/>
            </v:shape>
            <v:shape id="未知" o:spid="_x0000_s1070" style="width:975;height:675;left:3855;position:absolute;top:1710" coordsize="975,675" path="m,hal45,hal120,hal165,hal210,hal285,15hal330,15hal375,30hal435,45hal480,45hal525,60hal585,75hal630,90hal660,105hal705,120hal750,150hal780,165hal810,180hal840,195hal870,225hal900,255hal915,270hal930,285hal945,315hal960,330hal960,360hal975,390hal975,405hal975,435hal960,465hal960,480hal945,495hal930,525hal915,555hal900,570hal870,600hal840,615hal810,630hal780,660hal750,675hal,405hal,haxe" filled="t" fillcolor="#99f" stroked="f">
              <v:fill color2="white"/>
              <v:path arrowok="t"/>
              <o:lock v:ext="edit" aspectratio="f"/>
            </v:shape>
            <v:shape id="未知" o:spid="_x0000_s1071" style="width:540;height:480;left:2430;position:absolute;top:2190" coordsize="540,480" path="m540,360hal495,345hal450,345hal405,330hal375,315hal330,300hal300,285hal255,270hal225,255hal195,240hal165,225hal120,195hal105,180hal75,165hal60,135hal45,120hal30,105hal15,75hal15,60hal,45hal,15hal,hal,120hal,135hal,165hal15,180hal15,195hal30,225hal45,240hal60,255hal75,285hal105,300hal120,315hal165,345hal195,360hal225,375hal255,390hal300,405hal330,420hal375,435hal405,450hal450,465hal495,465hal540,480hal540,360haxe" filled="t" fillcolor="#808066" stroked="f">
              <v:fill color2="white"/>
              <v:path arrowok="t"/>
              <o:lock v:ext="edit" aspectratio="f"/>
            </v:shape>
            <v:shape id="未知" o:spid="_x0000_s1072" style="width:420;height:480;left:2985;position:absolute;top:2190" coordsize="420,480" path="m420,hal,360hal,480hal420,120hal420,haxe" filled="t" fillcolor="#808066" stroked="f">
              <v:fill color2="white"/>
              <v:path arrowok="t"/>
              <o:lock v:ext="edit" aspectratio="f"/>
            </v:shape>
            <v:shape id="未知" o:spid="_x0000_s1073" style="width:975;height:600;left:2430;position:absolute;top:1965" coordsize="975,600" path="m540,600hal495,585hal435,570hal405,555hal360,555hal315,540hal270,510hal240,495hal210,480hal180,465hal135,435hal105,420hal90,405hal60,390hal45,360hal30,330hal15,315hal,285hal,270hal,240hal,225hal,195hal,165hal15,150hal30,135hal45,105hal60,75hal75,60hal105,45hal135,15hal165,hal975,225hal540,600haxe" filled="t" fillcolor="#ffc" stroked="f">
              <v:fill color2="white"/>
              <v:path arrowok="t"/>
              <o:lock v:ext="edit" aspectratio="f"/>
            </v:shape>
            <v:shape id="未知" o:spid="_x0000_s1074" style="width:1185;height:270;left:3240;position:absolute;top:2520" coordsize="1185,270" path="m1185,hal1140,15hal1110,30hal1065,45hal1020,60hal975,75hal930,90hal885,105hal840,105hal780,120hal735,120hal690,135hal630,135hal585,135hal540,150hal465,150hal420,150hal360,150hal315,150hal255,135hal210,135hal150,135hal105,120hal45,120hal,105hal,225hal45,240hal105,240hal150,255hal210,255hal255,255hal315,270hal360,270hal420,270hal465,270hal540,270hal585,255hal630,255hal690,255hal735,240hal780,240hal840,225hal885,225hal930,210hal975,195hal1020,180hal1065,165hal1110,150hal1140,135hal1185,120hal1185,haxe" filled="t" fillcolor="#4d1a33" stroked="f">
              <v:fill color2="white"/>
              <v:path arrowok="t"/>
              <o:lock v:ext="edit" aspectratio="f"/>
            </v:shape>
            <v:shape id="未知" o:spid="_x0000_s1075" style="width:1185;height:420;left:3240;position:absolute;top:2265" coordsize="1185,420" path="m1185,270hal1140,285hal1110,300hal1065,315hal1020,330hal975,345hal930,360hal885,375hal840,375hal780,390hal735,390hal690,405hal630,405hal585,405hal540,420hal465,420hal420,420hal360,420hal315,420hal255,405hal210,405hal150,405hal105,390hal45,390hal,375hal435,hal1185,270haxe" filled="t" fillcolor="#936" stroked="f">
              <v:fill color2="white"/>
              <v:path arrowok="t"/>
              <o:lock v:ext="edit" aspectratio="f"/>
            </v:shape>
            <v:rect id="_x0000_s1076" o:spid="_x0000_s1076" style="width:622;height:624;left:1395;mso-wrap-style:none;position:absolute;top:240" coordsize="21600,21600" filled="f" stroked="f">
              <o:lock v:ext="edit" aspectratio="f"/>
              <v:textbox style="mso-fit-shape-to-text:t" inset="0,0,0,0">
                <w:txbxContent>
                  <w:p>
                    <w:pPr>
                      <w:pStyle w:val="Normal0"/>
                    </w:pPr>
                    <w:r>
                      <w:rPr>
                        <w:rFonts w:ascii="Arial" w:hAnsi="Arial" w:cs="Arial"/>
                        <w:color w:val="FFFFFF"/>
                        <w:sz w:val="28"/>
                        <w:szCs w:val="28"/>
                      </w:rPr>
                      <w:t>2010</w:t>
                    </w:r>
                  </w:p>
                </w:txbxContent>
              </v:textbox>
            </v:rect>
            <v:rect id="_x0000_s1077" o:spid="_x0000_s1077" style="width:281;height:624;left:2055;mso-wrap-style:none;position:absolute;top:270" coordsize="21600,21600" filled="f" stroked="f">
              <o:lock v:ext="edit" aspectratio="f"/>
              <v:textbox style="mso-fit-shape-to-text:t" inset="0,0,0,0">
                <w:txbxContent>
                  <w:p>
                    <w:pPr>
                      <w:pStyle w:val="Normal0"/>
                    </w:pPr>
                    <w:r>
                      <w:rPr>
                        <w:rFonts w:ascii="宋体" w:cs="宋体" w:hint="eastAsia"/>
                        <w:color w:val="FFFFFF"/>
                        <w:sz w:val="28"/>
                        <w:szCs w:val="28"/>
                      </w:rPr>
                      <w:t>年</w:t>
                    </w:r>
                  </w:p>
                </w:txbxContent>
              </v:textbox>
            </v:rect>
            <v:rect id="_x0000_s1078" o:spid="_x0000_s1078" style="width:404;height:624;left:2340;mso-wrap-style:none;position:absolute;top:240" coordsize="21600,21600" filled="f" stroked="f">
              <o:lock v:ext="edit" aspectratio="f"/>
              <v:textbox style="mso-fit-shape-to-text:t" inset="0,0,0,0">
                <w:txbxContent>
                  <w:p>
                    <w:pPr>
                      <w:pStyle w:val="Normal0"/>
                    </w:pPr>
                    <w:r>
                      <w:rPr>
                        <w:rFonts w:ascii="Arial" w:hAnsi="Arial" w:cs="Arial"/>
                        <w:color w:val="FFFFFF"/>
                        <w:sz w:val="28"/>
                        <w:szCs w:val="28"/>
                      </w:rPr>
                      <w:t>1-9</w:t>
                    </w:r>
                  </w:p>
                </w:txbxContent>
              </v:textbox>
            </v:rect>
            <v:rect id="_x0000_s1079" o:spid="_x0000_s1079" style="width:3921;height:624;left:2760;mso-wrap-style:none;position:absolute;top:270" coordsize="21600,21600" filled="f" stroked="f">
              <o:lock v:ext="edit" aspectratio="f"/>
              <v:textbox style="mso-fit-shape-to-text:t" inset="0,0,0,0">
                <w:txbxContent>
                  <w:p>
                    <w:pPr>
                      <w:pStyle w:val="Normal0"/>
                    </w:pPr>
                    <w:r>
                      <w:rPr>
                        <w:rFonts w:ascii="宋体" w:cs="宋体" w:hint="eastAsia"/>
                        <w:color w:val="FFFFFF"/>
                        <w:sz w:val="28"/>
                        <w:szCs w:val="28"/>
                      </w:rPr>
                      <w:t>月份三大豪华车品牌市场占有率</w:t>
                    </w:r>
                  </w:p>
                </w:txbxContent>
              </v:textbox>
            </v:rect>
            <v:rect id="_x0000_s1080" o:spid="_x0000_s1080" style="width:421;height:312;left:4785;mso-wrap-style:none;position:absolute;top:1620" coordsize="21600,21600" filled="f" stroked="f">
              <o:lock v:ext="edit" aspectratio="f"/>
              <v:textbox style="mso-fit-shape-to-text:t" inset="0,0,0,0">
                <w:txbxContent>
                  <w:p>
                    <w:pPr>
                      <w:pStyle w:val="Normal0"/>
                    </w:pPr>
                    <w:r>
                      <w:rPr>
                        <w:rFonts w:ascii="宋体" w:cs="宋体" w:hint="eastAsia"/>
                        <w:b/>
                        <w:bCs/>
                        <w:color w:val="FFFFFF"/>
                      </w:rPr>
                      <w:t>奥迪</w:t>
                    </w:r>
                  </w:p>
                </w:txbxContent>
              </v:textbox>
            </v:rect>
            <v:rect id="_x0000_s1081" o:spid="_x0000_s1081" style="width:317;height:312;left:4815;mso-wrap-style:none;position:absolute;top:1860" coordsize="21600,21600" filled="f" stroked="f">
              <o:lock v:ext="edit" aspectratio="f"/>
              <v:textbox style="mso-fit-shape-to-text:t" inset="0,0,0,0">
                <w:txbxContent>
                  <w:p>
                    <w:pPr>
                      <w:pStyle w:val="Normal0"/>
                    </w:pPr>
                    <w:r>
                      <w:rPr>
                        <w:rFonts w:ascii="宋体" w:cs="宋体"/>
                        <w:b/>
                        <w:bCs/>
                        <w:color w:val="FFFFFF"/>
                      </w:rPr>
                      <w:t>36%</w:t>
                    </w:r>
                  </w:p>
                </w:txbxContent>
              </v:textbox>
            </v:rect>
            <v:rect id="_x0000_s1082" o:spid="_x0000_s1082" style="width:421;height:312;left:3825;mso-wrap-style:none;position:absolute;top:2835" coordsize="21600,21600" filled="f" stroked="f">
              <o:lock v:ext="edit" aspectratio="f"/>
              <v:textbox style="mso-fit-shape-to-text:t" inset="0,0,0,0">
                <w:txbxContent>
                  <w:p>
                    <w:pPr>
                      <w:pStyle w:val="Normal0"/>
                    </w:pPr>
                    <w:r>
                      <w:rPr>
                        <w:rFonts w:ascii="宋体" w:cs="宋体" w:hint="eastAsia"/>
                        <w:b/>
                        <w:bCs/>
                        <w:color w:val="FFFFFF"/>
                      </w:rPr>
                      <w:t>奔驰</w:t>
                    </w:r>
                  </w:p>
                </w:txbxContent>
              </v:textbox>
            </v:rect>
            <v:rect id="_x0000_s1083" o:spid="_x0000_s1083" style="width:317;height:312;left:3855;mso-wrap-style:none;position:absolute;top:3075" coordsize="21600,21600" filled="f" stroked="f">
              <o:lock v:ext="edit" aspectratio="f"/>
              <v:textbox style="mso-fit-shape-to-text:t" inset="0,0,0,0">
                <w:txbxContent>
                  <w:p>
                    <w:pPr>
                      <w:pStyle w:val="Normal0"/>
                    </w:pPr>
                    <w:r>
                      <w:rPr>
                        <w:rFonts w:ascii="宋体" w:cs="宋体"/>
                        <w:b/>
                        <w:bCs/>
                        <w:color w:val="FFFFFF"/>
                      </w:rPr>
                      <w:t>21%</w:t>
                    </w:r>
                  </w:p>
                </w:txbxContent>
              </v:textbox>
            </v:rect>
            <v:rect id="_x0000_s1084" o:spid="_x0000_s1084" style="width:421;height:312;left:1995;mso-wrap-style:none;position:absolute;top:2295" coordsize="21600,21600" filled="f" stroked="f">
              <o:lock v:ext="edit" aspectratio="f"/>
              <v:textbox style="mso-fit-shape-to-text:t" inset="0,0,0,0">
                <w:txbxContent>
                  <w:p>
                    <w:pPr>
                      <w:pStyle w:val="Normal0"/>
                    </w:pPr>
                    <w:r>
                      <w:rPr>
                        <w:rFonts w:ascii="宋体" w:cs="宋体" w:hint="eastAsia"/>
                        <w:b/>
                        <w:bCs/>
                        <w:color w:val="FFFFFF"/>
                      </w:rPr>
                      <w:t>宝马</w:t>
                    </w:r>
                  </w:p>
                </w:txbxContent>
              </v:textbox>
            </v:rect>
            <v:rect id="_x0000_s1085" o:spid="_x0000_s1085" style="width:317;height:312;left:2025;mso-wrap-style:none;position:absolute;top:2535" coordsize="21600,21600" filled="f" stroked="f">
              <o:lock v:ext="edit" aspectratio="f"/>
              <v:textbox style="mso-fit-shape-to-text:t" inset="0,0,0,0">
                <w:txbxContent>
                  <w:p>
                    <w:pPr>
                      <w:pStyle w:val="Normal0"/>
                    </w:pPr>
                    <w:r>
                      <w:rPr>
                        <w:rFonts w:ascii="宋体" w:cs="宋体"/>
                        <w:b/>
                        <w:bCs/>
                        <w:color w:val="FFFFFF"/>
                      </w:rPr>
                      <w:t>27%</w:t>
                    </w:r>
                  </w:p>
                </w:txbxContent>
              </v:textbox>
            </v:rect>
            <v:rect id="_x0000_s1086" o:spid="_x0000_s1086" style="width:843;height:312;left:2175;mso-wrap-style:none;position:absolute;top:1230" coordsize="21600,21600" filled="f" stroked="f">
              <o:lock v:ext="edit" aspectratio="f"/>
              <v:textbox style="mso-fit-shape-to-text:t" inset="0,0,0,0">
                <w:txbxContent>
                  <w:p>
                    <w:pPr>
                      <w:pStyle w:val="Normal0"/>
                    </w:pPr>
                    <w:r>
                      <w:rPr>
                        <w:rFonts w:ascii="宋体" w:cs="宋体" w:hint="eastAsia"/>
                        <w:b/>
                        <w:bCs/>
                        <w:color w:val="FFFFFF"/>
                      </w:rPr>
                      <w:t>其余品牌</w:t>
                    </w:r>
                  </w:p>
                </w:txbxContent>
              </v:textbox>
            </v:rect>
            <v:rect id="_x0000_s1087" o:spid="_x0000_s1087" style="width:317;height:312;left:2415;mso-wrap-style:none;position:absolute;top:1470" coordsize="21600,21600" filled="f" stroked="f">
              <o:lock v:ext="edit" aspectratio="f"/>
              <v:textbox style="mso-fit-shape-to-text:t" inset="0,0,0,0">
                <w:txbxContent>
                  <w:p>
                    <w:pPr>
                      <w:pStyle w:val="Normal0"/>
                    </w:pPr>
                    <w:r>
                      <w:rPr>
                        <w:rFonts w:ascii="宋体" w:cs="宋体"/>
                        <w:b/>
                        <w:bCs/>
                        <w:color w:val="FFFFFF"/>
                      </w:rPr>
                      <w:t>16%</w:t>
                    </w:r>
                  </w:p>
                </w:txbxContent>
              </v:textbox>
            </v:rect>
            <v:rect id="_x0000_s1088" o:spid="_x0000_s1088" style="width:7140;height:3675;left:75;position:absolute;top:75" coordsize="21600,21600" filled="f" stroked="t" strokecolor="black">
              <v:stroke joinstyle="miter"/>
              <o:lock v:ext="edit" aspectratio="f"/>
            </v:rect>
            <w10:anchorlock/>
          </v:group>
        </w:pict>
      </w:r>
    </w:p>
    <w:p>
      <w:pPr>
        <w:pStyle w:val="Normal0"/>
        <w:ind w:firstLine="280" w:firstLineChars="100"/>
        <w:rPr>
          <w:rFonts w:hint="eastAsia"/>
          <w:color w:val="339966"/>
          <w:sz w:val="28"/>
          <w:szCs w:val="28"/>
        </w:rPr>
      </w:pPr>
      <w:r>
        <w:rPr>
          <w:rFonts w:hint="eastAsia"/>
          <w:color w:val="339966"/>
          <w:sz w:val="28"/>
          <w:szCs w:val="28"/>
        </w:rPr>
        <w:t>同时</w:t>
      </w:r>
      <w:r>
        <w:rPr>
          <w:color w:val="339966"/>
          <w:sz w:val="28"/>
          <w:szCs w:val="28"/>
        </w:rPr>
        <w:t>经过2009</w:t>
      </w:r>
      <w:r>
        <w:rPr>
          <w:rFonts w:hint="eastAsia"/>
          <w:color w:val="339966"/>
          <w:sz w:val="28"/>
          <w:szCs w:val="28"/>
        </w:rPr>
        <w:t>、</w:t>
      </w:r>
      <w:r>
        <w:rPr>
          <w:color w:val="339966"/>
          <w:sz w:val="28"/>
          <w:szCs w:val="28"/>
        </w:rPr>
        <w:t>2010年两年迅猛增长的态势，</w:t>
      </w:r>
      <w:r>
        <w:rPr>
          <w:rFonts w:hint="eastAsia"/>
          <w:color w:val="339966"/>
          <w:sz w:val="28"/>
          <w:szCs w:val="28"/>
        </w:rPr>
        <w:t>2011年豪华车市场将依然</w:t>
      </w:r>
      <w:r>
        <w:rPr>
          <w:color w:val="339966"/>
          <w:sz w:val="28"/>
          <w:szCs w:val="28"/>
        </w:rPr>
        <w:t>会保持这一增势</w:t>
      </w:r>
      <w:r>
        <w:rPr>
          <w:rFonts w:hint="eastAsia"/>
          <w:color w:val="339966"/>
          <w:sz w:val="28"/>
          <w:szCs w:val="28"/>
        </w:rPr>
        <w:t>，主要是依靠：</w:t>
      </w:r>
    </w:p>
    <w:p>
      <w:pPr>
        <w:pStyle w:val="Normal0"/>
        <w:ind w:firstLine="280" w:firstLineChars="100"/>
        <w:rPr>
          <w:rFonts w:hint="eastAsia"/>
          <w:color w:val="339966"/>
          <w:sz w:val="28"/>
          <w:szCs w:val="28"/>
        </w:rPr>
      </w:pPr>
      <w:r>
        <w:rPr>
          <w:rFonts w:hint="eastAsia"/>
          <w:color w:val="339966"/>
          <w:sz w:val="28"/>
          <w:szCs w:val="28"/>
        </w:rPr>
        <w:t>1、</w:t>
      </w:r>
      <w:r>
        <w:rPr>
          <w:color w:val="339966"/>
          <w:sz w:val="28"/>
          <w:szCs w:val="28"/>
        </w:rPr>
        <w:t>中国经济发展非常稳健，基础非常好</w:t>
      </w:r>
      <w:r>
        <w:rPr>
          <w:rFonts w:hint="eastAsia"/>
          <w:color w:val="339966"/>
          <w:sz w:val="28"/>
          <w:szCs w:val="28"/>
        </w:rPr>
        <w:t>；</w:t>
      </w:r>
    </w:p>
    <w:p>
      <w:pPr>
        <w:pStyle w:val="Normal0"/>
        <w:ind w:firstLine="280" w:firstLineChars="100"/>
        <w:rPr>
          <w:rFonts w:hint="eastAsia"/>
          <w:color w:val="339966"/>
          <w:sz w:val="28"/>
          <w:szCs w:val="28"/>
        </w:rPr>
      </w:pPr>
      <w:r>
        <w:rPr>
          <w:rFonts w:hint="eastAsia"/>
          <w:color w:val="339966"/>
          <w:sz w:val="28"/>
          <w:szCs w:val="28"/>
        </w:rPr>
        <w:t>2、各厂商</w:t>
      </w:r>
      <w:r>
        <w:rPr>
          <w:rFonts w:ascii="Arial" w:hAnsi="Arial" w:cs="Arial"/>
          <w:color w:val="339966"/>
          <w:sz w:val="28"/>
          <w:szCs w:val="28"/>
        </w:rPr>
        <w:t>为中国市场</w:t>
      </w:r>
      <w:r>
        <w:rPr>
          <w:rFonts w:ascii="Arial" w:hAnsi="Arial" w:cs="Arial" w:hint="eastAsia"/>
          <w:color w:val="339966"/>
          <w:sz w:val="28"/>
          <w:szCs w:val="28"/>
        </w:rPr>
        <w:t>量身定制推出</w:t>
      </w:r>
      <w:r>
        <w:rPr>
          <w:rFonts w:ascii="Arial" w:hAnsi="Arial" w:cs="Arial"/>
          <w:color w:val="339966"/>
          <w:sz w:val="28"/>
          <w:szCs w:val="28"/>
        </w:rPr>
        <w:t>加长和小型化、低排量豪华车，满足市场的细分化需求；</w:t>
      </w:r>
      <w:r>
        <w:rPr>
          <w:rFonts w:hint="eastAsia"/>
          <w:color w:val="339966"/>
          <w:sz w:val="28"/>
          <w:szCs w:val="28"/>
        </w:rPr>
        <w:t xml:space="preserve"> </w:t>
      </w:r>
    </w:p>
    <w:p>
      <w:pPr>
        <w:pStyle w:val="Normal0"/>
        <w:ind w:firstLine="280" w:firstLineChars="100"/>
        <w:rPr>
          <w:rFonts w:hint="eastAsia"/>
          <w:color w:val="339966"/>
          <w:sz w:val="28"/>
          <w:szCs w:val="28"/>
        </w:rPr>
        <w:sectPr>
          <w:type w:val="nextPage"/>
          <w:pgSz w:w="11906" w:h="16838"/>
          <w:pgMar w:top="1440" w:right="1797" w:bottom="1440" w:left="1797" w:header="851" w:footer="992" w:gutter="0"/>
          <w:pgNumType w:start="10"/>
          <w:cols w:num="1" w:space="708"/>
          <w:titlePg w:val="0"/>
          <w:docGrid w:type="lines" w:linePitch="312" w:charSpace="0"/>
        </w:sectPr>
      </w:pPr>
      <w:r>
        <w:rPr>
          <w:rFonts w:hint="eastAsia"/>
          <w:color w:val="339966"/>
          <w:sz w:val="28"/>
          <w:szCs w:val="28"/>
        </w:rPr>
        <w:t>3、</w:t>
      </w:r>
      <w:r>
        <w:rPr>
          <w:rFonts w:ascii="Arial" w:hAnsi="Arial" w:cs="Arial"/>
          <w:color w:val="339966"/>
          <w:sz w:val="28"/>
          <w:szCs w:val="28"/>
        </w:rPr>
        <w:t>中国在全球豪华车市场的份额，位列全球豪华车市场第四名。</w:t>
      </w:r>
      <w:r>
        <w:rPr>
          <w:color w:val="339966"/>
          <w:sz w:val="28"/>
          <w:szCs w:val="28"/>
        </w:rPr>
        <w:t>一般来说，一个成熟的汽车市场，豪华车所占比例在</w:t>
      </w:r>
      <w:r>
        <w:rPr>
          <w:rFonts w:hint="eastAsia"/>
          <w:color w:val="339966"/>
          <w:sz w:val="28"/>
          <w:szCs w:val="28"/>
        </w:rPr>
        <w:t>20</w:t>
      </w:r>
      <w:r>
        <w:rPr>
          <w:color w:val="339966"/>
          <w:sz w:val="28"/>
          <w:szCs w:val="28"/>
        </w:rPr>
        <w:t>%左右，美国是</w:t>
      </w:r>
      <w:r>
        <w:rPr>
          <w:rFonts w:hint="eastAsia"/>
          <w:color w:val="339966"/>
          <w:sz w:val="28"/>
          <w:szCs w:val="28"/>
        </w:rPr>
        <w:t>20</w:t>
      </w:r>
    </w:p>
    <w:p>
      <w:pPr>
        <w:pStyle w:val="Normal0"/>
        <w:ind w:firstLine="280" w:firstLineChars="100"/>
        <w:rPr>
          <w:rFonts w:hint="eastAsia"/>
          <w:color w:val="339966"/>
          <w:sz w:val="28"/>
          <w:szCs w:val="28"/>
        </w:rPr>
      </w:pPr>
      <w:r>
        <w:rPr>
          <w:color w:val="339966"/>
          <w:sz w:val="28"/>
          <w:szCs w:val="28"/>
        </w:rPr>
        <w:t>%，德国则达到30%。而目前中国不到5%，这一数字与其他国家和地区的成熟豪华车市场相比相对低，这代表未来潜能还是非常大。</w:t>
      </w:r>
    </w:p>
    <w:p>
      <w:pPr>
        <w:pStyle w:val="Normal0"/>
        <w:ind w:firstLine="280" w:firstLineChars="100"/>
        <w:rPr>
          <w:rFonts w:hint="eastAsia"/>
          <w:color w:val="339966"/>
          <w:sz w:val="28"/>
          <w:szCs w:val="28"/>
        </w:rPr>
      </w:pPr>
      <w:r>
        <w:rPr>
          <w:rFonts w:hint="eastAsia"/>
          <w:color w:val="339966"/>
          <w:sz w:val="28"/>
          <w:szCs w:val="28"/>
        </w:rPr>
        <w:t>4、</w:t>
      </w:r>
      <w:r>
        <w:rPr>
          <w:color w:val="339966"/>
          <w:sz w:val="28"/>
          <w:szCs w:val="28"/>
        </w:rPr>
        <w:t>虽然车船税等限制大排量车政策即将出台，但是对于豪车消费者来说，其买豪车的目的就在于与众不同，显示身价和地位。因此，车船税等并不能打压豪车的消费需求，相反，很可能是一种促进。其市场增幅至少在30%以上。</w:t>
      </w:r>
    </w:p>
    <w:p>
      <w:pPr>
        <w:pStyle w:val="Normal0"/>
        <w:rPr>
          <w:rFonts w:hint="eastAsia"/>
          <w:b/>
          <w:color w:val="339966"/>
          <w:sz w:val="28"/>
          <w:szCs w:val="28"/>
        </w:rPr>
      </w:pPr>
      <w:r>
        <w:rPr>
          <w:rFonts w:ascii="宋体" w:hAnsi="宋体" w:cs="宋体" w:hint="eastAsia"/>
          <w:color w:val="339966"/>
          <w:kern w:val="0"/>
          <w:sz w:val="28"/>
          <w:szCs w:val="28"/>
        </w:rPr>
        <w:t>5、</w:t>
      </w:r>
      <w:r>
        <w:rPr>
          <w:rFonts w:ascii="宋体" w:hAnsi="宋体" w:cs="宋体"/>
          <w:color w:val="339966"/>
          <w:kern w:val="0"/>
          <w:sz w:val="28"/>
          <w:szCs w:val="28"/>
        </w:rPr>
        <w:t>近年来，国</w:t>
      </w:r>
      <w:r>
        <w:rPr>
          <w:rFonts w:ascii="宋体" w:hAnsi="宋体" w:cs="宋体" w:hint="eastAsia"/>
          <w:color w:val="339966"/>
          <w:kern w:val="0"/>
          <w:sz w:val="28"/>
          <w:szCs w:val="28"/>
        </w:rPr>
        <w:t>内</w:t>
      </w:r>
      <w:r>
        <w:rPr>
          <w:rFonts w:ascii="宋体" w:hAnsi="宋体" w:cs="宋体"/>
          <w:color w:val="339966"/>
          <w:kern w:val="0"/>
          <w:sz w:val="28"/>
          <w:szCs w:val="28"/>
        </w:rPr>
        <w:t>经济飞速发展，国民的投资方式从过去的单一性逐渐走向了多元化。富裕阶层财产性收入的增加，使他们拥有了购买豪华车的能力</w:t>
      </w:r>
      <w:r>
        <w:rPr>
          <w:rFonts w:ascii="宋体" w:hAnsi="宋体" w:cs="宋体" w:hint="eastAsia"/>
          <w:color w:val="339966"/>
          <w:kern w:val="0"/>
          <w:sz w:val="28"/>
          <w:szCs w:val="28"/>
        </w:rPr>
        <w:t>。</w:t>
      </w:r>
      <w:r>
        <w:rPr>
          <w:rFonts w:ascii="宋体" w:hAnsi="宋体" w:cs="宋体"/>
          <w:color w:val="339966"/>
          <w:kern w:val="0"/>
          <w:sz w:val="28"/>
          <w:szCs w:val="28"/>
        </w:rPr>
        <w:t>最新全球财富报告显示，全球拥有100万美元资产以上的富翁人数</w:t>
      </w:r>
      <w:r>
        <w:rPr>
          <w:rFonts w:ascii="宋体" w:hAnsi="宋体" w:cs="宋体" w:hint="eastAsia"/>
          <w:color w:val="339966"/>
          <w:kern w:val="0"/>
          <w:sz w:val="28"/>
          <w:szCs w:val="28"/>
        </w:rPr>
        <w:t>2009</w:t>
      </w:r>
      <w:r>
        <w:rPr>
          <w:rFonts w:ascii="宋体" w:hAnsi="宋体" w:cs="宋体"/>
          <w:color w:val="339966"/>
          <w:kern w:val="0"/>
          <w:sz w:val="28"/>
          <w:szCs w:val="28"/>
        </w:rPr>
        <w:t>年回升至1000万。其中，美国仍是百万富翁最多的国家，而中国则排名第四，成为2009年全球百万富翁数量增长最快的国家</w:t>
      </w:r>
      <w:r>
        <w:rPr>
          <w:rFonts w:ascii="宋体" w:hAnsi="宋体" w:cs="宋体" w:hint="eastAsia"/>
          <w:color w:val="339966"/>
          <w:kern w:val="0"/>
          <w:sz w:val="28"/>
          <w:szCs w:val="28"/>
        </w:rPr>
        <w:t>。</w:t>
      </w:r>
      <w:r>
        <w:rPr>
          <w:rFonts w:ascii="宋体" w:hAnsi="宋体" w:cs="宋体"/>
          <w:color w:val="339966"/>
          <w:kern w:val="0"/>
          <w:sz w:val="28"/>
          <w:szCs w:val="28"/>
        </w:rPr>
        <w:t>豪华车销量之所以能够快速增长，除了购买豪华车的消费群体收入增加之外，人们也更愿意购买豪华车。随着</w:t>
      </w:r>
      <w:r>
        <w:rPr>
          <w:rFonts w:ascii="宋体" w:hAnsi="宋体" w:cs="宋体" w:hint="eastAsia"/>
          <w:color w:val="339966"/>
          <w:kern w:val="0"/>
          <w:sz w:val="28"/>
          <w:szCs w:val="28"/>
        </w:rPr>
        <w:t>国内</w:t>
      </w:r>
      <w:r>
        <w:rPr>
          <w:rFonts w:ascii="宋体" w:hAnsi="宋体" w:cs="宋体"/>
          <w:color w:val="339966"/>
          <w:kern w:val="0"/>
          <w:sz w:val="28"/>
          <w:szCs w:val="28"/>
        </w:rPr>
        <w:t>新贵的增多，具有“奢华”情结的</w:t>
      </w:r>
      <w:r>
        <w:rPr>
          <w:rFonts w:ascii="宋体" w:hAnsi="宋体" w:cs="宋体" w:hint="eastAsia"/>
          <w:color w:val="339966"/>
          <w:kern w:val="0"/>
          <w:sz w:val="28"/>
          <w:szCs w:val="28"/>
        </w:rPr>
        <w:t>国内</w:t>
      </w:r>
      <w:r>
        <w:rPr>
          <w:rFonts w:ascii="宋体" w:hAnsi="宋体" w:cs="宋体"/>
          <w:color w:val="339966"/>
          <w:kern w:val="0"/>
          <w:sz w:val="28"/>
          <w:szCs w:val="28"/>
        </w:rPr>
        <w:t>消费市场仍有较大潜力。</w:t>
      </w:r>
      <w:r>
        <w:rPr>
          <w:color w:val="339966"/>
          <w:sz w:val="28"/>
          <w:szCs w:val="28"/>
        </w:rPr>
        <w:t>新兴富</w:t>
      </w:r>
      <w:r>
        <w:rPr>
          <w:rFonts w:hint="eastAsia"/>
          <w:color w:val="339966"/>
          <w:sz w:val="28"/>
          <w:szCs w:val="28"/>
        </w:rPr>
        <w:t>贵</w:t>
      </w:r>
      <w:r>
        <w:rPr>
          <w:color w:val="339966"/>
          <w:sz w:val="28"/>
          <w:szCs w:val="28"/>
        </w:rPr>
        <w:t>需要购买一辆豪华车来展现自身的成功与自信</w:t>
      </w:r>
      <w:r>
        <w:rPr>
          <w:rFonts w:hint="eastAsia"/>
          <w:color w:val="339966"/>
          <w:sz w:val="28"/>
          <w:szCs w:val="28"/>
        </w:rPr>
        <w:t>。</w:t>
      </w:r>
      <w:r>
        <w:rPr>
          <w:rFonts w:ascii="宋体" w:hAnsi="宋体" w:cs="宋体"/>
          <w:color w:val="339966"/>
          <w:kern w:val="0"/>
          <w:sz w:val="28"/>
          <w:szCs w:val="28"/>
        </w:rPr>
        <w:t>同时，国内豪华车品牌的增多，也在推动着豪华车市场的增长。</w:t>
      </w:r>
      <w:r>
        <w:rPr>
          <w:color w:val="339966"/>
          <w:sz w:val="28"/>
          <w:szCs w:val="28"/>
        </w:rPr>
        <w:t>到2015年</w:t>
      </w:r>
      <w:r>
        <w:rPr>
          <w:rFonts w:hint="eastAsia"/>
          <w:color w:val="339966"/>
          <w:sz w:val="28"/>
          <w:szCs w:val="28"/>
        </w:rPr>
        <w:t>未来国内</w:t>
      </w:r>
      <w:r>
        <w:rPr>
          <w:color w:val="339966"/>
          <w:sz w:val="28"/>
          <w:szCs w:val="28"/>
        </w:rPr>
        <w:t>豪车的销量</w:t>
      </w:r>
      <w:r>
        <w:rPr>
          <w:rFonts w:hint="eastAsia"/>
          <w:color w:val="339966"/>
          <w:sz w:val="28"/>
          <w:szCs w:val="28"/>
        </w:rPr>
        <w:t>将增长4-5倍。</w:t>
      </w:r>
    </w:p>
    <w:p>
      <w:pPr>
        <w:pStyle w:val="Normal0"/>
        <w:rPr>
          <w:rFonts w:hint="eastAsia"/>
          <w:b/>
          <w:sz w:val="28"/>
          <w:szCs w:val="28"/>
        </w:rPr>
      </w:pPr>
      <w:r>
        <w:rPr>
          <w:rFonts w:hint="eastAsia"/>
          <w:b/>
          <w:sz w:val="28"/>
          <w:szCs w:val="28"/>
        </w:rPr>
        <w:t>二、呼和浩特市汽车市场发展</w:t>
      </w:r>
    </w:p>
    <w:p>
      <w:pPr>
        <w:pStyle w:val="Normal0"/>
        <w:ind w:firstLine="560" w:firstLineChars="200"/>
        <w:rPr>
          <w:rFonts w:ascii="宋体" w:hAnsi="宋体" w:hint="eastAsia"/>
          <w:color w:val="339966"/>
          <w:sz w:val="28"/>
          <w:szCs w:val="28"/>
        </w:rPr>
        <w:sectPr>
          <w:type w:val="nextPage"/>
          <w:pgSz w:w="11906" w:h="16838"/>
          <w:pgMar w:top="1440" w:right="1797" w:bottom="1440" w:left="1797" w:header="851" w:footer="992" w:gutter="0"/>
          <w:pgNumType w:start="11"/>
          <w:cols w:num="1" w:space="708"/>
          <w:titlePg w:val="0"/>
          <w:docGrid w:type="lines" w:linePitch="312" w:charSpace="0"/>
        </w:sectPr>
      </w:pPr>
      <w:r>
        <w:rPr>
          <w:rFonts w:ascii="宋体" w:hAnsi="宋体" w:hint="eastAsia"/>
          <w:color w:val="339966"/>
          <w:sz w:val="28"/>
          <w:szCs w:val="28"/>
        </w:rPr>
        <w:t>呼和浩特市汽车市场迅速发展，汽车消费逐渐成为居民消费升级的热点和亮点之一。汽车市场品牌及营销网络的完善和齐全丰富了消费者的心理预期，各种车展、促销活动的举办一定程度上刺激了消费者的购买欲望，再加上媒体上汽车类宣传广告的增多，总体上已经具备了相对成熟的市场环境。</w:t>
      </w:r>
    </w:p>
    <w:p>
      <w:pPr>
        <w:pStyle w:val="Normal0"/>
        <w:ind w:firstLine="560" w:firstLineChars="200"/>
        <w:rPr>
          <w:rFonts w:hint="eastAsia"/>
          <w:color w:val="339966"/>
          <w:sz w:val="28"/>
          <w:szCs w:val="28"/>
        </w:rPr>
      </w:pPr>
      <w:r>
        <w:rPr>
          <w:rFonts w:hint="eastAsia"/>
          <w:color w:val="339966"/>
          <w:sz w:val="28"/>
          <w:szCs w:val="28"/>
        </w:rPr>
        <w:t>（1）豪华车市场占比递增</w:t>
      </w:r>
    </w:p>
    <w:p>
      <w:pPr>
        <w:pStyle w:val="Normal0"/>
        <w:ind w:firstLine="560" w:firstLineChars="200"/>
        <w:rPr>
          <w:rFonts w:ascii="宋体" w:hAnsi="宋体" w:hint="eastAsia"/>
          <w:color w:val="339966"/>
          <w:sz w:val="28"/>
          <w:szCs w:val="28"/>
        </w:rPr>
      </w:pPr>
      <w:r>
        <w:rPr>
          <w:rFonts w:ascii="宋体" w:hAnsi="宋体" w:hint="eastAsia"/>
          <w:color w:val="339966"/>
          <w:sz w:val="28"/>
          <w:szCs w:val="28"/>
        </w:rPr>
        <w:t>2010年1-9月份内蒙古地区豪华车上牌辆为12686辆，其中宝马1917辆；2009年豪华车上牌辆为10872辆，其中宝马1307辆；内蒙地区豪华车连续2年递增，与全国豪华车平均每年递增比率23%相比，还有7%的提高空间。</w:t>
      </w:r>
    </w:p>
    <w:p>
      <w:pPr>
        <w:pStyle w:val="Normal0"/>
        <w:ind w:firstLine="420" w:firstLineChars="200"/>
        <w:rPr>
          <w:rFonts w:ascii="宋体" w:hAnsi="宋体" w:hint="eastAsia"/>
          <w:color w:val="339966"/>
          <w:sz w:val="28"/>
          <w:szCs w:val="28"/>
        </w:rPr>
      </w:pPr>
      <w:r>
        <w:pict>
          <v:shape id="_x0000_i1089" type="#_x0000_t75" style="width:383.9pt;height:181.5pt" coordsize="21600,21600" o:preferrelative="t" filled="f" stroked="f">
            <v:stroke joinstyle="miter"/>
            <v:imagedata r:id="rId9" o:title=""/>
            <o:lock v:ext="edit" aspectratio="t"/>
            <w10:anchorlock/>
          </v:shape>
        </w:pict>
      </w:r>
    </w:p>
    <w:p>
      <w:pPr>
        <w:pStyle w:val="Normal0"/>
        <w:ind w:firstLine="560" w:firstLineChars="200"/>
        <w:rPr>
          <w:rFonts w:hint="eastAsia"/>
          <w:color w:val="339966"/>
          <w:sz w:val="28"/>
          <w:szCs w:val="28"/>
        </w:rPr>
      </w:pPr>
      <w:r>
        <w:rPr>
          <w:rFonts w:hint="eastAsia"/>
          <w:color w:val="339966"/>
          <w:sz w:val="28"/>
          <w:szCs w:val="28"/>
        </w:rPr>
        <w:t>（2）“二手车”交易市场发展较快</w:t>
      </w:r>
    </w:p>
    <w:p>
      <w:pPr>
        <w:pStyle w:val="Normal0"/>
        <w:ind w:firstLine="560" w:firstLineChars="200"/>
        <w:rPr>
          <w:rFonts w:ascii="宋体" w:hAnsi="宋体" w:hint="eastAsia"/>
          <w:color w:val="339966"/>
          <w:sz w:val="28"/>
          <w:szCs w:val="28"/>
        </w:rPr>
      </w:pPr>
      <w:r>
        <w:rPr>
          <w:rFonts w:ascii="宋体" w:hAnsi="宋体" w:hint="eastAsia"/>
          <w:color w:val="339966"/>
          <w:sz w:val="28"/>
          <w:szCs w:val="28"/>
        </w:rPr>
        <w:t>近年来，呼和浩特市汽车市场不断发展壮大，新车销售量节节攀升，大批款式新、配置高、价格适中的新车大量涌入市场，一些有一定经济实力的单位及个人纷纷更换“座驾”，促进“二手车”从城市到乡镇、从高收入者向中低收入者流动，使“二手车”交易市场充满活力。</w:t>
      </w:r>
    </w:p>
    <w:p>
      <w:pPr>
        <w:pStyle w:val="Normal0"/>
        <w:ind w:firstLine="560" w:firstLineChars="200"/>
        <w:rPr>
          <w:rFonts w:hint="eastAsia"/>
          <w:color w:val="339966"/>
          <w:sz w:val="28"/>
          <w:szCs w:val="28"/>
        </w:rPr>
      </w:pPr>
      <w:r>
        <w:rPr>
          <w:color w:val="339966"/>
          <w:sz w:val="28"/>
          <w:szCs w:val="28"/>
        </w:rPr>
        <w:t>二手车在公众的心理一直都是以低端车型为主要目标，而</w:t>
      </w:r>
      <w:r>
        <w:rPr>
          <w:rFonts w:ascii="宋体" w:hAnsi="宋体" w:hint="eastAsia"/>
          <w:color w:val="339966"/>
          <w:sz w:val="28"/>
          <w:szCs w:val="28"/>
        </w:rPr>
        <w:t>呼和浩特顺宝行开展的尊选二手车业务将将</w:t>
      </w:r>
      <w:r>
        <w:rPr>
          <w:color w:val="339966"/>
          <w:sz w:val="28"/>
          <w:szCs w:val="28"/>
        </w:rPr>
        <w:t>宝马等一系列的豪华品牌</w:t>
      </w:r>
      <w:r>
        <w:rPr>
          <w:rFonts w:hint="eastAsia"/>
          <w:color w:val="339966"/>
          <w:sz w:val="28"/>
          <w:szCs w:val="28"/>
        </w:rPr>
        <w:t>引入呼和浩特市二手车市场，帮助更多中层收入人群有机会购买到宝马这一豪华品牌。</w:t>
      </w:r>
    </w:p>
    <w:p>
      <w:pPr>
        <w:pStyle w:val="Normal0"/>
        <w:ind w:firstLine="560" w:firstLineChars="200"/>
        <w:rPr>
          <w:rFonts w:hint="eastAsia"/>
          <w:color w:val="339966"/>
          <w:sz w:val="28"/>
          <w:szCs w:val="28"/>
        </w:rPr>
        <w:sectPr>
          <w:type w:val="nextPage"/>
          <w:pgSz w:w="11906" w:h="16838"/>
          <w:pgMar w:top="1440" w:right="1797" w:bottom="1440" w:left="1797" w:header="851" w:footer="992" w:gutter="0"/>
          <w:pgNumType w:start="12"/>
          <w:cols w:num="1" w:space="708"/>
          <w:titlePg w:val="0"/>
          <w:docGrid w:type="lines" w:linePitch="312" w:charSpace="0"/>
        </w:sectPr>
      </w:pPr>
      <w:r>
        <w:rPr>
          <w:color w:val="339966"/>
          <w:sz w:val="28"/>
          <w:szCs w:val="28"/>
        </w:rPr>
        <w:t>据了解，发达国家二手车销量早已与新车持平，甚至高于新车，</w:t>
      </w:r>
    </w:p>
    <w:p>
      <w:pPr>
        <w:pStyle w:val="Normal0"/>
        <w:ind w:firstLine="560" w:firstLineChars="200"/>
        <w:rPr>
          <w:rFonts w:hint="eastAsia"/>
          <w:color w:val="339966"/>
          <w:sz w:val="28"/>
          <w:szCs w:val="28"/>
        </w:rPr>
      </w:pPr>
      <w:r>
        <w:rPr>
          <w:rFonts w:hint="eastAsia"/>
          <w:color w:val="339966"/>
          <w:sz w:val="28"/>
          <w:szCs w:val="28"/>
        </w:rPr>
        <w:t>呼和浩特的高端品牌二手车市场还是一个空白，呼和浩特顺宝行尊选二手车业务的开展，会</w:t>
      </w:r>
      <w:r>
        <w:rPr>
          <w:rFonts w:ascii="宋体" w:hAnsi="宋体" w:hint="eastAsia"/>
          <w:color w:val="339966"/>
          <w:sz w:val="28"/>
          <w:szCs w:val="28"/>
        </w:rPr>
        <w:t>更好地促进了呼和浩特市“二手车”交易市场的稳步、健康发展。圆众多</w:t>
      </w:r>
      <w:r>
        <w:rPr>
          <w:color w:val="339966"/>
          <w:sz w:val="28"/>
          <w:szCs w:val="28"/>
        </w:rPr>
        <w:t>消费者选择一款高端二手车来实现自己拥有豪华品牌车的梦想和愿望。</w:t>
      </w:r>
    </w:p>
    <w:p>
      <w:pPr>
        <w:pStyle w:val="Normal0"/>
        <w:ind w:firstLine="274" w:firstLineChars="98"/>
        <w:rPr>
          <w:rFonts w:ascii="宋体" w:hAnsi="宋体" w:hint="eastAsia"/>
          <w:b/>
          <w:color w:val="000000"/>
          <w:sz w:val="28"/>
          <w:szCs w:val="28"/>
        </w:rPr>
      </w:pPr>
      <w:r>
        <w:rPr>
          <w:rFonts w:ascii="宋体" w:hAnsi="宋体" w:hint="eastAsia"/>
          <w:b/>
          <w:color w:val="000000"/>
          <w:sz w:val="28"/>
          <w:szCs w:val="28"/>
        </w:rPr>
        <w:t>三、呼和浩特市汽车市场的预测</w:t>
      </w:r>
    </w:p>
    <w:p>
      <w:pPr>
        <w:pStyle w:val="Normal0"/>
        <w:ind w:firstLine="560" w:firstLineChars="200"/>
        <w:rPr>
          <w:rFonts w:ascii="宋体" w:hAnsi="宋体" w:hint="eastAsia"/>
          <w:color w:val="000000"/>
          <w:sz w:val="28"/>
          <w:szCs w:val="28"/>
        </w:rPr>
      </w:pPr>
      <w:r>
        <w:rPr>
          <w:rFonts w:ascii="宋体" w:hAnsi="宋体"/>
          <w:color w:val="000000"/>
          <w:sz w:val="28"/>
          <w:szCs w:val="28"/>
        </w:rPr>
        <w:t>2008年我国人均GDP达3300美元，已达到汽车快速进入家庭的水平，但千人汽车保有量约为37辆，与世界平均水平130辆还有较大差距。继续完善和落实促进消费的政策措施，有利于汽车消费需求进一步释放，促进经济平稳较快增长。</w:t>
      </w:r>
      <w:r>
        <w:rPr>
          <w:rFonts w:ascii="宋体" w:hAnsi="宋体" w:hint="eastAsia"/>
          <w:color w:val="000000"/>
          <w:sz w:val="28"/>
          <w:szCs w:val="28"/>
        </w:rPr>
        <w:t>到2013年内蒙古地区豪华车的市场当年销售辆将突破2.5万辆。</w:t>
      </w:r>
    </w:p>
    <w:p>
      <w:pPr>
        <w:pStyle w:val="Normal0"/>
        <w:ind w:firstLine="420" w:firstLineChars="200"/>
      </w:pPr>
      <w:r>
        <w:pict>
          <v:shape id="_x0000_i1090" type="#_x0000_t75" style="width:405.2pt;height:181.5pt" coordsize="21600,21600" o:preferrelative="t" filled="f" stroked="f">
            <v:stroke joinstyle="miter"/>
            <v:imagedata r:id="rId10" o:title=""/>
            <o:lock v:ext="edit" aspectratio="t"/>
            <w10:anchorlock/>
          </v:shape>
        </w:pict>
      </w:r>
    </w:p>
    <w:p>
      <w:pPr>
        <w:pStyle w:val="Normal0"/>
        <w:ind w:firstLine="420" w:firstLineChars="200"/>
        <w:rPr>
          <w:rFonts w:hint="eastAsia"/>
        </w:rPr>
      </w:pPr>
    </w:p>
    <w:p>
      <w:pPr>
        <w:pStyle w:val="Normal0"/>
        <w:ind w:firstLine="420" w:firstLineChars="200"/>
        <w:rPr>
          <w:rFonts w:hint="eastAsia"/>
        </w:rPr>
        <w:sectPr>
          <w:type w:val="nextPage"/>
          <w:pgSz w:w="11906" w:h="16838"/>
          <w:pgMar w:top="1440" w:right="1797" w:bottom="1440" w:left="1797" w:header="851" w:footer="992" w:gutter="0"/>
          <w:pgNumType w:start="13"/>
          <w:cols w:num="1" w:space="708"/>
          <w:titlePg w:val="0"/>
          <w:docGrid w:type="lines" w:linePitch="312" w:charSpace="0"/>
        </w:sectPr>
      </w:pPr>
    </w:p>
    <w:p>
      <w:pPr>
        <w:pStyle w:val="Normal0"/>
        <w:ind w:firstLine="560" w:firstLineChars="200"/>
        <w:rPr>
          <w:rFonts w:ascii="宋体" w:hAnsi="宋体" w:hint="eastAsia"/>
          <w:color w:val="000000"/>
          <w:sz w:val="28"/>
          <w:szCs w:val="28"/>
        </w:rPr>
      </w:pPr>
      <w:r>
        <w:rPr>
          <w:rFonts w:ascii="宋体" w:hAnsi="宋体"/>
          <w:color w:val="000000"/>
          <w:sz w:val="28"/>
          <w:szCs w:val="28"/>
        </w:rPr>
        <w:pict>
          <v:group id="_x0000_s1089" o:spid="_x0000_i1091" style="width:365.25pt;height:191.25pt" coordsize="7305,3825">
            <v:shape id="_x0000_s1092" o:spid="_x0000_s1092" type="#_x0000_t75" style="width:7305;height:3825;position:absolute" coordsize="21600,21600" o:preferrelative="f" filled="f" stroked="f">
              <v:stroke joinstyle="miter"/>
              <o:lock v:ext="edit" aspectratio="t" text="t"/>
            </v:shape>
            <v:rect id="_x0000_s1093" o:spid="_x0000_s1093" style="width:7140;height:3675;left:75;position:absolute;top:75" coordsize="21600,21600" filled="t" fillcolor="white" stroked="t">
              <o:lock v:ext="edit" aspectratio="f"/>
            </v:rect>
            <v:shape id="未知" o:spid="_x0000_s1094" style="width:4770;height:375;left:1020;position:absolute;top:2820" coordsize="4770,375" path="m,375hal495,hal4770,hal4275,375hal,375haxe" filled="t" fillcolor="gray" stroked="f">
              <v:path arrowok="t"/>
              <o:lock v:ext="edit" aspectratio="f"/>
            </v:shape>
            <v:shape id="未知" o:spid="_x0000_s1095" style="width:495;height:2460;left:1020;position:absolute;top:735" coordsize="495,2460" path="m,2460hal,375hal495,hal495,2085hal,2460haxe" filled="t" fillcolor="silver" stroked="f">
              <v:path arrowok="t"/>
              <o:lock v:ext="edit" aspectratio="f"/>
            </v:shape>
            <v:rect id="_x0000_s1096" o:spid="_x0000_s1096" style="width:4275;height:2085;left:1515;position:absolute;top:735" coordsize="21600,21600" filled="t" fillcolor="silver" stroked="f">
              <o:lock v:ext="edit" aspectratio="f"/>
            </v:rect>
            <v:shape id="未知" o:spid="_x0000_s1097" style="width:4770;height:375;left:1020;position:absolute;top:2820" coordsize="318,25" path="m,25hal33,hal318,hae" filled="f" stroked="t">
              <v:path arrowok="t"/>
              <o:lock v:ext="edit" aspectratio="f"/>
            </v:shape>
            <v:shape id="未知" o:spid="_x0000_s1098" style="width:4770;height:375;left:1020;position:absolute;top:2130" coordsize="318,25" path="m,25hal33,hal318,hae" filled="f" stroked="t">
              <v:path arrowok="t"/>
              <o:lock v:ext="edit" aspectratio="f"/>
            </v:shape>
            <v:shape id="未知" o:spid="_x0000_s1099" style="width:4770;height:375;left:1020;position:absolute;top:1425" coordsize="318,25" path="m,25hal33,hal318,hae" filled="f" stroked="t">
              <v:path arrowok="t"/>
              <o:lock v:ext="edit" aspectratio="f"/>
            </v:shape>
            <v:shape id="未知" o:spid="_x0000_s1100" style="width:4770;height:375;left:1020;position:absolute;top:735" coordsize="318,25" path="m,25hal33,hal318,hae" filled="f" stroked="t">
              <v:path arrowok="t"/>
              <o:lock v:ext="edit" aspectratio="f"/>
            </v:shape>
            <v:shape id="未知" o:spid="_x0000_s1101" style="width:4770;height:375;left:1020;position:absolute;top:2820" coordsize="4770,375" path="m4770,hal4275,375hal,375hal495,hal4770,haxe" filled="f" stroked="t">
              <v:path arrowok="t"/>
              <o:lock v:ext="edit" aspectratio="f"/>
            </v:shape>
            <v:shape id="未知" o:spid="_x0000_s1102" style="width:495;height:2460;left:1020;position:absolute;top:735" coordsize="495,2460" path="m,2460hal,375hal495,hal495,2085hal,2460haxe" filled="f" stroked="t" strokecolor="gray">
              <v:path arrowok="t"/>
              <o:lock v:ext="edit" aspectratio="f"/>
            </v:shape>
            <v:rect id="_x0000_s1103" o:spid="_x0000_s1103" style="width:4275;height:2085;left:1515;position:absolute;top:735" coordsize="21600,21600" filled="f" stroked="t" strokecolor="gray">
              <o:lock v:ext="edit" aspectratio="f"/>
            </v:rect>
            <v:shape id="未知" o:spid="_x0000_s1104" style="width:195;height:1275;left:2175;position:absolute;top:1815" coordsize="195,1275" path="m,1275hal,150hal195,hal195,1125hal,1275haxe" filled="t" fillcolor="#4d4d80" stroked="t">
              <v:path arrowok="t"/>
              <o:lock v:ext="edit" aspectratio="f"/>
            </v:shape>
            <v:rect id="_x0000_s1105" o:spid="_x0000_s1105" style="width:570;height:1125;left:1605;position:absolute;top:1965" coordsize="21600,21600" filled="t" fillcolor="#99f" stroked="t">
              <o:lock v:ext="edit" aspectratio="f"/>
            </v:rect>
            <v:shape id="未知" o:spid="_x0000_s1106" style="width:765;height:150;left:1605;position:absolute;top:1815" coordsize="765,150" path="m570,150hal765,hal195,hal,150hal570,150haxe" filled="t" fillcolor="#7373bf" stroked="t">
              <v:path arrowok="t"/>
              <o:lock v:ext="edit" aspectratio="f"/>
            </v:shape>
            <v:rect id="_x0000_s1107" o:spid="_x0000_s1107" style="width:361;height:312;left:1695;mso-wrap-style:none;position:absolute;top:2415" coordsize="21600,21600" filled="f" stroked="f">
              <o:lock v:ext="edit" aspectratio="f"/>
              <v:textbox style="mso-fit-shape-to-text:t" inset="0,0,0,0">
                <w:txbxContent>
                  <w:p>
                    <w:pPr>
                      <w:pStyle w:val="Normal0"/>
                    </w:pPr>
                    <w:r>
                      <w:rPr>
                        <w:rFonts w:ascii="宋体" w:cs="宋体"/>
                        <w:color w:val="000000"/>
                        <w:sz w:val="24"/>
                      </w:rPr>
                      <w:t>800</w:t>
                    </w:r>
                  </w:p>
                </w:txbxContent>
              </v:textbox>
            </v:rect>
            <v:shape id="未知" o:spid="_x0000_s1108" style="width:195;height:1530;left:3585;position:absolute;top:1560" coordsize="195,1530" path="m,1530hal,150hal195,hal195,1380hal,1530haxe" filled="t" fillcolor="#4d4d80" stroked="t">
              <v:path arrowok="t"/>
              <o:lock v:ext="edit" aspectratio="f"/>
            </v:shape>
            <v:rect id="_x0000_s1109" o:spid="_x0000_s1109" style="width:555;height:1380;left:3030;position:absolute;top:1710" coordsize="21600,21600" filled="t" fillcolor="#99f" stroked="t">
              <o:lock v:ext="edit" aspectratio="f"/>
            </v:rect>
            <v:shape id="未知" o:spid="_x0000_s1110" style="width:750;height:150;left:3030;position:absolute;top:1560" coordsize="750,150" path="m555,150hal750,hal195,hal,150hal555,150haxe" filled="t" fillcolor="#7373bf" stroked="t">
              <v:path arrowok="t"/>
              <o:lock v:ext="edit" aspectratio="f"/>
            </v:shape>
            <v:rect id="_x0000_s1111" o:spid="_x0000_s1111" style="width:361;height:312;left:3120;mso-wrap-style:none;position:absolute;top:2295" coordsize="21600,21600" filled="f" stroked="f">
              <o:lock v:ext="edit" aspectratio="f"/>
              <v:textbox style="mso-fit-shape-to-text:t" inset="0,0,0,0">
                <w:txbxContent>
                  <w:p>
                    <w:pPr>
                      <w:pStyle w:val="Normal0"/>
                    </w:pPr>
                    <w:r>
                      <w:rPr>
                        <w:rFonts w:ascii="宋体" w:cs="宋体"/>
                        <w:color w:val="000000"/>
                        <w:sz w:val="24"/>
                      </w:rPr>
                      <w:t>984</w:t>
                    </w:r>
                  </w:p>
                </w:txbxContent>
              </v:textbox>
            </v:rect>
            <v:shape id="未知" o:spid="_x0000_s1112" style="width:195;height:1845;left:5010;position:absolute;top:1245" coordsize="195,1845" path="m,1845hal,150hal195,hal195,1695hal,1845haxe" filled="t" fillcolor="#4d4d80" stroked="t">
              <v:path arrowok="t"/>
              <o:lock v:ext="edit" aspectratio="f"/>
            </v:shape>
            <v:rect id="_x0000_s1113" o:spid="_x0000_s1113" style="width:570;height:1695;left:4440;position:absolute;top:1395" coordsize="21600,21600" filled="t" fillcolor="#99f" stroked="t">
              <o:lock v:ext="edit" aspectratio="f"/>
            </v:rect>
            <v:shape id="未知" o:spid="_x0000_s1114" style="width:765;height:150;left:4440;position:absolute;top:1245" coordsize="765,150" path="m570,150hal765,hal195,hal,150hal570,150haxe" filled="t" fillcolor="#7373bf" stroked="t">
              <v:path arrowok="t"/>
              <o:lock v:ext="edit" aspectratio="f"/>
            </v:shape>
            <v:rect id="_x0000_s1115" o:spid="_x0000_s1115" style="width:481;height:312;left:4485;mso-wrap-style:none;position:absolute;top:2130" coordsize="21600,21600" filled="f" stroked="f">
              <o:lock v:ext="edit" aspectratio="f"/>
              <v:textbox style="mso-fit-shape-to-text:t" inset="0,0,0,0">
                <w:txbxContent>
                  <w:p>
                    <w:pPr>
                      <w:pStyle w:val="Normal0"/>
                    </w:pPr>
                    <w:r>
                      <w:rPr>
                        <w:rFonts w:ascii="宋体" w:cs="宋体"/>
                        <w:color w:val="000000"/>
                        <w:sz w:val="24"/>
                      </w:rPr>
                      <w:t>1210</w:t>
                    </w:r>
                  </w:p>
                </w:txbxContent>
              </v:textbox>
            </v:rect>
            <v:line id="_x0000_s1116" o:spid="_x0000_s1116" style="flip:y;position:absolute" from="1020,1110" to="1020,3195" coordsize="21600,21600" stroked="t">
              <o:lock v:ext="edit" aspectratio="f"/>
            </v:line>
            <v:line id="_x0000_s1117" o:spid="_x0000_s1117" style="flip:x;position:absolute" from="1020,3195" to="1065,3195" coordsize="21600,21600" stroked="t">
              <o:lock v:ext="edit" aspectratio="f"/>
            </v:line>
            <v:line id="_x0000_s1118" o:spid="_x0000_s1118" style="flip:x;position:absolute" from="1020,2505" to="1065,2505" coordsize="21600,21600" stroked="t">
              <o:lock v:ext="edit" aspectratio="f"/>
            </v:line>
            <v:line id="_x0000_s1119" o:spid="_x0000_s1119" style="flip:x;position:absolute" from="1020,1800" to="1065,1800" coordsize="21600,21600" stroked="t">
              <o:lock v:ext="edit" aspectratio="f"/>
            </v:line>
            <v:line id="_x0000_s1120" o:spid="_x0000_s1120" style="flip:x;position:absolute" from="1020,1110" to="1065,1110" coordsize="21600,21600" stroked="t">
              <o:lock v:ext="edit" aspectratio="f"/>
            </v:line>
            <v:rect id="_x0000_s1121" o:spid="_x0000_s1121" style="width:121;height:312;left:870;mso-wrap-style:none;position:absolute;top:3090" coordsize="21600,21600" filled="f" stroked="f">
              <o:lock v:ext="edit" aspectratio="f"/>
              <v:textbox style="mso-fit-shape-to-text:t" inset="0,0,0,0">
                <w:txbxContent>
                  <w:p>
                    <w:pPr>
                      <w:pStyle w:val="Normal0"/>
                    </w:pPr>
                    <w:r>
                      <w:rPr>
                        <w:rFonts w:ascii="宋体" w:cs="宋体"/>
                        <w:color w:val="000000"/>
                        <w:sz w:val="24"/>
                      </w:rPr>
                      <w:t>0</w:t>
                    </w:r>
                  </w:p>
                </w:txbxContent>
              </v:textbox>
            </v:rect>
            <v:rect id="_x0000_s1122" o:spid="_x0000_s1122" style="width:361;height:312;left:630;mso-wrap-style:none;position:absolute;top:2400" coordsize="21600,21600" filled="f" stroked="f">
              <o:lock v:ext="edit" aspectratio="f"/>
              <v:textbox style="mso-fit-shape-to-text:t" inset="0,0,0,0">
                <w:txbxContent>
                  <w:p>
                    <w:pPr>
                      <w:pStyle w:val="Normal0"/>
                    </w:pPr>
                    <w:r>
                      <w:rPr>
                        <w:rFonts w:ascii="宋体" w:cs="宋体"/>
                        <w:color w:val="000000"/>
                        <w:sz w:val="24"/>
                      </w:rPr>
                      <w:t>500</w:t>
                    </w:r>
                  </w:p>
                </w:txbxContent>
              </v:textbox>
            </v:rect>
            <v:rect id="_x0000_s1123" o:spid="_x0000_s1123" style="width:481;height:312;left:510;mso-wrap-style:none;position:absolute;top:1695" coordsize="21600,21600" filled="f" stroked="f">
              <o:lock v:ext="edit" aspectratio="f"/>
              <v:textbox style="mso-fit-shape-to-text:t" inset="0,0,0,0">
                <w:txbxContent>
                  <w:p>
                    <w:pPr>
                      <w:pStyle w:val="Normal0"/>
                    </w:pPr>
                    <w:r>
                      <w:rPr>
                        <w:rFonts w:ascii="宋体" w:cs="宋体"/>
                        <w:color w:val="000000"/>
                        <w:sz w:val="24"/>
                      </w:rPr>
                      <w:t>1000</w:t>
                    </w:r>
                  </w:p>
                </w:txbxContent>
              </v:textbox>
            </v:rect>
            <v:rect id="_x0000_s1124" o:spid="_x0000_s1124" style="width:481;height:312;left:510;mso-wrap-style:none;position:absolute;top:1005" coordsize="21600,21600" filled="f" stroked="f">
              <o:lock v:ext="edit" aspectratio="f"/>
              <v:textbox style="mso-fit-shape-to-text:t" inset="0,0,0,0">
                <w:txbxContent>
                  <w:p>
                    <w:pPr>
                      <w:pStyle w:val="Normal0"/>
                    </w:pPr>
                    <w:r>
                      <w:rPr>
                        <w:rFonts w:ascii="宋体" w:cs="宋体"/>
                        <w:color w:val="000000"/>
                        <w:sz w:val="24"/>
                      </w:rPr>
                      <w:t>1500</w:t>
                    </w:r>
                  </w:p>
                </w:txbxContent>
              </v:textbox>
            </v:rect>
            <v:line id="_x0000_s1125" o:spid="_x0000_s1125" style="position:absolute" from="1020,3195" to="5295,3195" coordsize="21600,21600" stroked="t">
              <o:lock v:ext="edit" aspectratio="f"/>
            </v:line>
            <v:line id="_x0000_s1126" o:spid="_x0000_s1126" style="position:absolute" from="1020,3150" to="1020,3195" coordsize="21600,21600" stroked="t">
              <o:lock v:ext="edit" aspectratio="f"/>
            </v:line>
            <v:line id="_x0000_s1127" o:spid="_x0000_s1127" style="position:absolute" from="2445,3150" to="2445,3195" coordsize="21600,21600" stroked="t">
              <o:lock v:ext="edit" aspectratio="f"/>
            </v:line>
            <v:line id="_x0000_s1128" o:spid="_x0000_s1128" style="position:absolute" from="3870,3150" to="3870,3195" coordsize="21600,21600" stroked="t">
              <o:lock v:ext="edit" aspectratio="f"/>
            </v:line>
            <v:line id="_x0000_s1129" o:spid="_x0000_s1129" style="position:absolute" from="5295,3150" to="5295,3195" coordsize="21600,21600" stroked="t">
              <o:lock v:ext="edit" aspectratio="f"/>
            </v:line>
            <v:rect id="_x0000_s1130" o:spid="_x0000_s1130" style="width:781;height:312;left:1380;mso-wrap-style:none;position:absolute;top:3255" coordsize="21600,21600" filled="f" stroked="f">
              <o:lock v:ext="edit" aspectratio="f"/>
              <v:textbox style="mso-fit-shape-to-text:t" inset="0,0,0,0">
                <w:txbxContent>
                  <w:p>
                    <w:pPr>
                      <w:pStyle w:val="Normal0"/>
                    </w:pPr>
                    <w:r>
                      <w:rPr>
                        <w:rFonts w:ascii="宋体" w:cs="宋体" w:hint="eastAsia"/>
                        <w:color w:val="000000"/>
                        <w:sz w:val="24"/>
                      </w:rPr>
                      <w:t>2011年</w:t>
                    </w:r>
                  </w:p>
                </w:txbxContent>
              </v:textbox>
            </v:rect>
            <v:rect id="_x0000_s1131" o:spid="_x0000_s1131" style="width:781;height:312;left:2805;mso-wrap-style:none;position:absolute;top:3255" coordsize="21600,21600" filled="f" stroked="f">
              <o:lock v:ext="edit" aspectratio="f"/>
              <v:textbox style="mso-fit-shape-to-text:t" inset="0,0,0,0">
                <w:txbxContent>
                  <w:p>
                    <w:pPr>
                      <w:pStyle w:val="Normal0"/>
                    </w:pPr>
                    <w:r>
                      <w:rPr>
                        <w:rFonts w:ascii="宋体" w:cs="宋体" w:hint="eastAsia"/>
                        <w:color w:val="000000"/>
                        <w:sz w:val="24"/>
                      </w:rPr>
                      <w:t>2012年</w:t>
                    </w:r>
                  </w:p>
                </w:txbxContent>
              </v:textbox>
            </v:rect>
            <v:rect id="_x0000_s1132" o:spid="_x0000_s1132" style="width:781;height:312;left:4230;mso-wrap-style:none;position:absolute;top:3255" coordsize="21600,21600" filled="f" stroked="f">
              <o:lock v:ext="edit" aspectratio="f"/>
              <v:textbox style="mso-fit-shape-to-text:t" inset="0,0,0,0">
                <w:txbxContent>
                  <w:p>
                    <w:pPr>
                      <w:pStyle w:val="Normal0"/>
                    </w:pPr>
                    <w:r>
                      <w:rPr>
                        <w:rFonts w:ascii="宋体" w:cs="宋体" w:hint="eastAsia"/>
                        <w:color w:val="000000"/>
                        <w:sz w:val="24"/>
                      </w:rPr>
                      <w:t>2013年</w:t>
                    </w:r>
                  </w:p>
                </w:txbxContent>
              </v:textbox>
            </v:rect>
            <v:rect id="_x0000_s1133" o:spid="_x0000_s1133" style="width:4621;height:312;left:1545;mso-wrap-style:none;position:absolute;top:210" coordsize="21600,21600" filled="f" stroked="f">
              <o:lock v:ext="edit" aspectratio="f"/>
              <v:textbox style="mso-fit-shape-to-text:t" inset="0,0,0,0">
                <w:txbxContent>
                  <w:p>
                    <w:pPr>
                      <w:pStyle w:val="Normal0"/>
                    </w:pPr>
                    <w:r>
                      <w:rPr>
                        <w:rFonts w:ascii="宋体" w:cs="宋体" w:hint="eastAsia"/>
                        <w:color w:val="000000"/>
                        <w:sz w:val="24"/>
                      </w:rPr>
                      <w:t>2011--2013年宝马在呼和浩特的销售量预测</w:t>
                    </w:r>
                  </w:p>
                </w:txbxContent>
              </v:textbox>
            </v:rect>
            <v:rect id="_x0000_s1134" o:spid="_x0000_s1134" style="width:945;height:315;left:6210;position:absolute;top:1995" coordsize="21600,21600" filled="t" fillcolor="white" stroked="t">
              <o:lock v:ext="edit" aspectratio="f"/>
            </v:rect>
            <v:rect id="_x0000_s1135" o:spid="_x0000_s1135" style="width:135;height:135;left:6300;position:absolute;top:2115" coordsize="21600,21600" filled="t" fillcolor="#99f" stroked="t">
              <o:lock v:ext="edit" aspectratio="f"/>
            </v:rect>
            <v:rect id="_x0000_s1136" o:spid="_x0000_s1136" style="width:661;height:312;left:6510;mso-wrap-style:none;position:absolute;top:2055" coordsize="21600,21600" filled="f" stroked="f">
              <o:lock v:ext="edit" aspectratio="f"/>
              <v:textbox style="mso-fit-shape-to-text:t" inset="0,0,0,0">
                <w:txbxContent>
                  <w:p>
                    <w:pPr>
                      <w:pStyle w:val="Normal0"/>
                    </w:pPr>
                    <w:r>
                      <w:rPr>
                        <w:rFonts w:ascii="宋体" w:cs="宋体" w:hint="eastAsia"/>
                        <w:color w:val="000000"/>
                        <w:sz w:val="24"/>
                      </w:rPr>
                      <w:t>系列1</w:t>
                    </w:r>
                  </w:p>
                </w:txbxContent>
              </v:textbox>
            </v:rect>
            <v:rect id="_x0000_s1137" o:spid="_x0000_s1137" style="width:7140;height:3675;left:75;position:absolute;top:75" coordsize="21600,21600" filled="f" stroked="t">
              <o:lock v:ext="edit" aspectratio="f"/>
            </v:rect>
            <w10:anchorlock/>
          </v:group>
        </w:pict>
      </w:r>
    </w:p>
    <w:p>
      <w:pPr>
        <w:pStyle w:val="NormalWeb"/>
        <w:shd w:val="clear" w:color="auto" w:fill="FFFFFF"/>
        <w:spacing w:before="0" w:beforeLines="0" w:beforeAutospacing="0" w:after="0" w:afterLines="0" w:afterAutospacing="0" w:line="360" w:lineRule="auto"/>
        <w:jc w:val="both"/>
        <w:rPr>
          <w:rFonts w:ascii="ˎ̥" w:hAnsi="ˎ̥" w:cs="宋体" w:hint="eastAsia"/>
          <w:b/>
          <w:sz w:val="28"/>
          <w:szCs w:val="28"/>
        </w:rPr>
      </w:pPr>
      <w:r>
        <w:rPr>
          <w:rFonts w:ascii="ˎ̥" w:hAnsi="ˎ̥" w:cs="宋体" w:hint="eastAsia"/>
          <w:b/>
          <w:sz w:val="28"/>
          <w:szCs w:val="28"/>
        </w:rPr>
        <w:t>四、</w:t>
      </w:r>
      <w:r>
        <w:rPr>
          <w:rFonts w:ascii="ˎ̥" w:hAnsi="ˎ̥" w:cs="宋体"/>
          <w:b/>
          <w:sz w:val="28"/>
          <w:szCs w:val="28"/>
        </w:rPr>
        <w:t>市场风险分析</w:t>
      </w:r>
      <w:r>
        <w:rPr>
          <w:rFonts w:ascii="ˎ̥" w:hAnsi="ˎ̥" w:cs="宋体"/>
          <w:sz w:val="28"/>
          <w:szCs w:val="28"/>
        </w:rPr>
        <w:br/>
      </w:r>
      <w:r>
        <w:rPr>
          <w:rFonts w:ascii="ˎ̥" w:hAnsi="ˎ̥" w:cs="宋体" w:hint="eastAsia"/>
          <w:sz w:val="28"/>
          <w:szCs w:val="28"/>
        </w:rPr>
        <w:t>1、</w:t>
      </w:r>
      <w:r>
        <w:rPr>
          <w:rFonts w:ascii="ˎ̥" w:hAnsi="ˎ̥" w:cs="宋体" w:hint="eastAsia"/>
          <w:b/>
          <w:sz w:val="28"/>
          <w:szCs w:val="28"/>
        </w:rPr>
        <w:t>客户群体分析</w:t>
      </w:r>
    </w:p>
    <w:p>
      <w:pPr>
        <w:pStyle w:val="NormalWeb"/>
        <w:shd w:val="clear" w:color="auto" w:fill="FFFFFF"/>
        <w:spacing w:before="0" w:beforeLines="0" w:beforeAutospacing="0" w:after="0" w:afterLines="0" w:afterAutospacing="0" w:line="360" w:lineRule="auto"/>
        <w:ind w:firstLine="549" w:firstLineChars="196"/>
        <w:jc w:val="both"/>
        <w:rPr>
          <w:rFonts w:hint="eastAsia"/>
          <w:spacing w:val="8"/>
          <w:sz w:val="28"/>
          <w:szCs w:val="28"/>
        </w:rPr>
      </w:pPr>
      <w:r>
        <w:rPr>
          <w:rFonts w:ascii="ˎ̥" w:hAnsi="ˎ̥" w:cs="宋体" w:hint="eastAsia"/>
          <w:sz w:val="28"/>
          <w:szCs w:val="28"/>
        </w:rPr>
        <w:t>该</w:t>
      </w:r>
      <w:r>
        <w:rPr>
          <w:rFonts w:ascii="ˎ̥" w:hAnsi="ˎ̥" w:cs="宋体" w:hint="eastAsia"/>
          <w:sz w:val="28"/>
          <w:szCs w:val="28"/>
          <w:lang w:eastAsia="zh-CN"/>
        </w:rPr>
        <w:t>相关项目</w:t>
      </w:r>
      <w:r>
        <w:rPr>
          <w:rFonts w:ascii="ˎ̥" w:hAnsi="ˎ̥" w:cs="宋体" w:hint="eastAsia"/>
          <w:sz w:val="28"/>
          <w:szCs w:val="28"/>
        </w:rPr>
        <w:t>主要服务于</w:t>
      </w:r>
      <w:r>
        <w:rPr>
          <w:rFonts w:hint="eastAsia"/>
          <w:color w:val="000000"/>
          <w:sz w:val="28"/>
          <w:szCs w:val="28"/>
        </w:rPr>
        <w:t>呼和浩特市</w:t>
      </w:r>
      <w:r>
        <w:rPr>
          <w:rFonts w:ascii="ˎ̥" w:hAnsi="ˎ̥" w:cs="宋体" w:hint="eastAsia"/>
          <w:sz w:val="28"/>
          <w:szCs w:val="28"/>
        </w:rPr>
        <w:t>企事业单位，</w:t>
      </w:r>
      <w:r>
        <w:rPr>
          <w:rFonts w:hint="eastAsia"/>
          <w:color w:val="000000"/>
          <w:sz w:val="28"/>
          <w:szCs w:val="28"/>
        </w:rPr>
        <w:t>呼和浩特市</w:t>
      </w:r>
      <w:r>
        <w:rPr>
          <w:rFonts w:ascii="ˎ̥" w:hAnsi="ˎ̥" w:cs="宋体" w:hint="eastAsia"/>
          <w:sz w:val="28"/>
          <w:szCs w:val="28"/>
        </w:rPr>
        <w:t>著名企业高管</w:t>
      </w:r>
      <w:r>
        <w:rPr>
          <w:rFonts w:ascii="Arial" w:hAnsi="Arial" w:cs="Arial" w:hint="eastAsia"/>
          <w:color w:val="000000"/>
          <w:sz w:val="21"/>
          <w:szCs w:val="21"/>
        </w:rPr>
        <w:t>、</w:t>
      </w:r>
      <w:r>
        <w:rPr>
          <w:rFonts w:ascii="Arial" w:hAnsi="Arial" w:cs="Arial" w:hint="eastAsia"/>
          <w:color w:val="000000"/>
          <w:sz w:val="28"/>
          <w:szCs w:val="28"/>
        </w:rPr>
        <w:t>私营企业投资人，同时服务</w:t>
      </w:r>
      <w:r>
        <w:rPr>
          <w:spacing w:val="8"/>
          <w:sz w:val="28"/>
          <w:szCs w:val="28"/>
        </w:rPr>
        <w:t>金融、电信、铁路、公路、自来水、电力等垄断性行业</w:t>
      </w:r>
      <w:r>
        <w:rPr>
          <w:rFonts w:hint="eastAsia"/>
          <w:spacing w:val="8"/>
          <w:sz w:val="28"/>
          <w:szCs w:val="28"/>
        </w:rPr>
        <w:t>从业性人员。由于他们：</w:t>
      </w:r>
    </w:p>
    <w:p>
      <w:pPr>
        <w:pStyle w:val="NormalWeb"/>
        <w:shd w:val="clear" w:color="auto" w:fill="FFFFFF"/>
        <w:spacing w:before="0" w:beforeLines="0" w:beforeAutospacing="0" w:after="0" w:afterLines="0" w:afterAutospacing="0" w:line="360" w:lineRule="auto"/>
        <w:ind w:left="139" w:firstLine="480" w:leftChars="66" w:firstLineChars="200"/>
        <w:jc w:val="both"/>
        <w:rPr>
          <w:rFonts w:ascii="ˎ̥" w:hAnsi="ˎ̥" w:cs="宋体" w:hint="eastAsia"/>
          <w:sz w:val="28"/>
          <w:szCs w:val="28"/>
        </w:rPr>
      </w:pPr>
      <w:r>
        <w:rPr>
          <w:rFonts w:hint="eastAsia"/>
          <w:spacing w:val="8"/>
        </w:rPr>
        <w:t>1）</w:t>
      </w:r>
      <w:r>
        <w:rPr>
          <w:rFonts w:ascii="ˎ̥" w:hAnsi="ˎ̥" w:cs="宋体"/>
          <w:sz w:val="28"/>
          <w:szCs w:val="28"/>
        </w:rPr>
        <w:t>职业稳定：</w:t>
      </w:r>
      <w:r>
        <w:rPr>
          <w:rFonts w:ascii="ˎ̥" w:hAnsi="ˎ̥" w:cs="宋体" w:hint="eastAsia"/>
          <w:sz w:val="28"/>
          <w:szCs w:val="28"/>
        </w:rPr>
        <w:t>政府和垄断性企业员工</w:t>
      </w:r>
      <w:r>
        <w:rPr>
          <w:rFonts w:ascii="ˎ̥" w:hAnsi="ˎ̥" w:cs="宋体"/>
          <w:sz w:val="28"/>
          <w:szCs w:val="28"/>
        </w:rPr>
        <w:t>的职业相对来说比较稳定，同时随着经济水平的不断提高，人们对文化的追求也提高到了新的位置，随之而来的是收入水平也逐步的提高。</w:t>
      </w:r>
      <w:r>
        <w:rPr>
          <w:rFonts w:ascii="ˎ̥" w:hAnsi="ˎ̥" w:cs="宋体"/>
          <w:sz w:val="28"/>
          <w:szCs w:val="28"/>
        </w:rPr>
        <w:br/>
      </w:r>
      <w:r>
        <w:rPr>
          <w:rFonts w:ascii="ˎ̥" w:hAnsi="ˎ̥" w:cs="宋体" w:hint="eastAsia"/>
          <w:sz w:val="28"/>
          <w:szCs w:val="28"/>
        </w:rPr>
        <w:t xml:space="preserve">    </w:t>
      </w:r>
      <w:r>
        <w:rPr>
          <w:rFonts w:ascii="ˎ̥" w:hAnsi="ˎ̥" w:cs="宋体"/>
          <w:sz w:val="28"/>
          <w:szCs w:val="28"/>
        </w:rPr>
        <w:t>2）收入稳定：</w:t>
      </w:r>
      <w:r>
        <w:rPr>
          <w:rFonts w:ascii="ˎ̥" w:hAnsi="ˎ̥" w:cs="宋体" w:hint="eastAsia"/>
          <w:sz w:val="28"/>
          <w:szCs w:val="28"/>
        </w:rPr>
        <w:t>著名企业高管</w:t>
      </w:r>
      <w:r>
        <w:rPr>
          <w:rFonts w:ascii="Arial" w:hAnsi="Arial" w:cs="Arial" w:hint="eastAsia"/>
          <w:color w:val="000000"/>
          <w:sz w:val="21"/>
          <w:szCs w:val="21"/>
        </w:rPr>
        <w:t>、</w:t>
      </w:r>
      <w:r>
        <w:rPr>
          <w:rFonts w:ascii="Arial" w:hAnsi="Arial" w:cs="Arial" w:hint="eastAsia"/>
          <w:color w:val="000000"/>
          <w:sz w:val="28"/>
          <w:szCs w:val="28"/>
        </w:rPr>
        <w:t>私营企业投资人，</w:t>
      </w:r>
      <w:r>
        <w:rPr>
          <w:rFonts w:ascii="ˎ̥" w:hAnsi="ˎ̥" w:cs="宋体"/>
          <w:sz w:val="28"/>
          <w:szCs w:val="28"/>
        </w:rPr>
        <w:t>，他们都属于高收入阶层。</w:t>
      </w:r>
      <w:r>
        <w:rPr>
          <w:rFonts w:ascii="ˎ̥" w:hAnsi="ˎ̥" w:cs="宋体"/>
          <w:sz w:val="28"/>
          <w:szCs w:val="28"/>
        </w:rPr>
        <w:br/>
      </w:r>
      <w:r>
        <w:rPr>
          <w:rFonts w:ascii="ˎ̥" w:hAnsi="ˎ̥" w:cs="宋体" w:hint="eastAsia"/>
          <w:sz w:val="28"/>
          <w:szCs w:val="28"/>
        </w:rPr>
        <w:t xml:space="preserve">     </w:t>
      </w:r>
      <w:r>
        <w:rPr>
          <w:rFonts w:ascii="ˎ̥" w:hAnsi="ˎ̥" w:cs="宋体"/>
          <w:sz w:val="28"/>
          <w:szCs w:val="28"/>
        </w:rPr>
        <w:t>这就意味着该</w:t>
      </w:r>
      <w:r>
        <w:rPr>
          <w:rFonts w:ascii="ˎ̥" w:hAnsi="ˎ̥" w:cs="宋体" w:hint="eastAsia"/>
          <w:sz w:val="28"/>
          <w:szCs w:val="28"/>
          <w:lang w:eastAsia="zh-CN"/>
        </w:rPr>
        <w:t>相关项目</w:t>
      </w:r>
      <w:r>
        <w:rPr>
          <w:rFonts w:ascii="ˎ̥" w:hAnsi="ˎ̥" w:cs="宋体"/>
          <w:sz w:val="28"/>
          <w:szCs w:val="28"/>
        </w:rPr>
        <w:t>的变现性较好，比较容易出手，这也是</w:t>
      </w:r>
      <w:r>
        <w:rPr>
          <w:rFonts w:ascii="ˎ̥" w:hAnsi="ˎ̥" w:cs="宋体" w:hint="eastAsia"/>
          <w:sz w:val="28"/>
          <w:szCs w:val="28"/>
          <w:lang w:eastAsia="zh-CN"/>
        </w:rPr>
        <w:t>相关项目</w:t>
      </w:r>
      <w:r>
        <w:rPr>
          <w:rFonts w:ascii="ˎ̥" w:hAnsi="ˎ̥" w:cs="宋体"/>
          <w:sz w:val="28"/>
          <w:szCs w:val="28"/>
        </w:rPr>
        <w:t>投资本金安全性的保证。所以投资风险不会太大</w:t>
      </w:r>
      <w:r>
        <w:rPr>
          <w:rFonts w:ascii="ˎ̥" w:hAnsi="ˎ̥" w:cs="宋体" w:hint="eastAsia"/>
          <w:sz w:val="28"/>
          <w:szCs w:val="28"/>
        </w:rPr>
        <w:t>。</w:t>
      </w:r>
      <w:r>
        <w:rPr>
          <w:rFonts w:ascii="ˎ̥" w:hAnsi="ˎ̥" w:cs="宋体"/>
          <w:sz w:val="28"/>
          <w:szCs w:val="28"/>
        </w:rPr>
        <w:br/>
      </w:r>
      <w:r>
        <w:rPr>
          <w:rFonts w:ascii="ˎ̥" w:hAnsi="ˎ̥" w:cs="宋体" w:hint="eastAsia"/>
          <w:sz w:val="28"/>
          <w:szCs w:val="28"/>
        </w:rPr>
        <w:t>2、</w:t>
      </w:r>
      <w:r>
        <w:rPr>
          <w:rFonts w:ascii="ˎ̥" w:hAnsi="ˎ̥" w:cs="宋体" w:hint="eastAsia"/>
          <w:b/>
          <w:sz w:val="28"/>
          <w:szCs w:val="28"/>
        </w:rPr>
        <w:t>政策风险</w:t>
      </w:r>
    </w:p>
    <w:p>
      <w:pPr>
        <w:pStyle w:val="NormalWeb"/>
        <w:shd w:val="clear" w:color="auto" w:fill="FFFFFF"/>
        <w:spacing w:before="0" w:beforeLines="0" w:beforeAutospacing="0" w:after="0" w:afterLines="0" w:afterAutospacing="0" w:line="360" w:lineRule="auto"/>
        <w:ind w:left="139" w:firstLine="560" w:leftChars="66" w:firstLineChars="200"/>
        <w:jc w:val="both"/>
        <w:rPr>
          <w:rFonts w:ascii="ˎ̥" w:hAnsi="ˎ̥" w:cs="宋体" w:hint="eastAsia"/>
          <w:sz w:val="28"/>
          <w:szCs w:val="28"/>
        </w:rPr>
        <w:sectPr>
          <w:type w:val="nextPage"/>
          <w:pgSz w:w="11906" w:h="16838"/>
          <w:pgMar w:top="1440" w:right="1797" w:bottom="1440" w:left="1797" w:header="851" w:footer="992" w:gutter="0"/>
          <w:pgNumType w:start="14"/>
          <w:cols w:num="1" w:space="708"/>
          <w:titlePg w:val="0"/>
          <w:docGrid w:type="lines" w:linePitch="312" w:charSpace="0"/>
        </w:sectPr>
      </w:pPr>
    </w:p>
    <w:p>
      <w:pPr>
        <w:pStyle w:val="NormalWeb"/>
        <w:shd w:val="clear" w:color="auto" w:fill="FFFFFF"/>
        <w:spacing w:before="0" w:beforeLines="0" w:beforeAutospacing="0" w:after="0" w:afterLines="0" w:afterAutospacing="0" w:line="360" w:lineRule="auto"/>
        <w:ind w:left="139" w:firstLine="560" w:leftChars="66" w:firstLineChars="200"/>
        <w:jc w:val="both"/>
        <w:rPr>
          <w:rFonts w:ascii="ˎ̥" w:hAnsi="ˎ̥" w:cs="宋体" w:hint="eastAsia"/>
          <w:sz w:val="28"/>
          <w:szCs w:val="28"/>
        </w:rPr>
      </w:pPr>
      <w:r>
        <w:rPr>
          <w:rFonts w:ascii="ˎ̥" w:hAnsi="ˎ̥" w:cs="宋体" w:hint="eastAsia"/>
          <w:sz w:val="28"/>
          <w:szCs w:val="28"/>
        </w:rPr>
        <w:t>2008年-2009年，在遭遇金融危机的情况下，政府拉动内需，汽车行业颁布了10个政策，主要集中在消费、耗能和技术方面。政府的主要目的是引导消费者小排量，环保节能的产品，促进新能源发展，因而，汽车行业整体风险性下降。因为，我们的风险性较小。</w:t>
      </w:r>
    </w:p>
    <w:p>
      <w:pPr>
        <w:pStyle w:val="NormalWeb"/>
        <w:shd w:val="clear" w:color="auto" w:fill="FFFFFF"/>
        <w:spacing w:before="0" w:beforeLines="0" w:beforeAutospacing="0" w:after="0" w:afterLines="0" w:afterAutospacing="0" w:line="360" w:lineRule="auto"/>
        <w:jc w:val="both"/>
        <w:rPr>
          <w:rFonts w:ascii="ˎ̥" w:hAnsi="ˎ̥" w:cs="宋体" w:hint="eastAsia"/>
          <w:sz w:val="28"/>
          <w:szCs w:val="28"/>
        </w:rPr>
      </w:pPr>
      <w:r>
        <w:rPr>
          <w:rFonts w:ascii="ˎ̥" w:hAnsi="ˎ̥" w:cs="宋体" w:hint="eastAsia"/>
          <w:sz w:val="28"/>
          <w:szCs w:val="28"/>
        </w:rPr>
        <w:t>3、竞争风险小</w:t>
      </w:r>
    </w:p>
    <w:p>
      <w:pPr>
        <w:pStyle w:val="NormalWeb"/>
        <w:shd w:val="clear" w:color="auto" w:fill="FFFFFF"/>
        <w:spacing w:before="0" w:beforeLines="0" w:beforeAutospacing="0" w:after="0" w:afterLines="0" w:afterAutospacing="0" w:line="360" w:lineRule="auto"/>
        <w:jc w:val="both"/>
        <w:rPr>
          <w:rFonts w:ascii="ˎ̥" w:hAnsi="ˎ̥" w:cs="宋体" w:hint="eastAsia"/>
          <w:color w:val="008000"/>
          <w:sz w:val="28"/>
          <w:szCs w:val="28"/>
        </w:rPr>
      </w:pPr>
      <w:r>
        <w:rPr>
          <w:rFonts w:ascii="ˎ̥" w:hAnsi="ˎ̥" w:cs="宋体" w:hint="eastAsia"/>
          <w:color w:val="008000"/>
          <w:sz w:val="28"/>
          <w:szCs w:val="28"/>
        </w:rPr>
        <w:t xml:space="preserve">  豪华车市场近几年呈持续增长趋势，奥迪、宝马、奔驰牢牢占领了中国市场前3名的位置，其市场份额占到了整体豪华车销售的85%，其品牌认可度和产品的高性能已深入人心，在中国，开宝马、做奔驰是高富裕人群的首要选择，同时宝马所倡导的“动感、高性能、驾驶乐趣”又满足了新兴年轻新贵们的心理需求。加之申请豪华车品牌代理，考核</w:t>
      </w:r>
      <w:r>
        <w:rPr>
          <w:rFonts w:ascii="ˎ̥" w:hAnsi="ˎ̥" w:cs="宋体" w:hint="eastAsia"/>
          <w:color w:val="008000"/>
          <w:sz w:val="28"/>
          <w:szCs w:val="28"/>
          <w:lang w:eastAsia="zh-CN"/>
        </w:rPr>
        <w:t>相关项目</w:t>
      </w:r>
      <w:r>
        <w:rPr>
          <w:rFonts w:ascii="ˎ̥" w:hAnsi="ˎ̥" w:cs="宋体" w:hint="eastAsia"/>
          <w:color w:val="008000"/>
          <w:sz w:val="28"/>
          <w:szCs w:val="28"/>
        </w:rPr>
        <w:t>多、要求高，不仅仅是资金的考核，还要有成熟的</w:t>
      </w:r>
      <w:r>
        <w:rPr>
          <w:rFonts w:ascii="ˎ̥" w:hAnsi="ˎ̥" w:cs="宋体" w:hint="eastAsia"/>
          <w:color w:val="008000"/>
          <w:sz w:val="28"/>
          <w:szCs w:val="28"/>
          <w:lang w:eastAsia="zh-CN"/>
        </w:rPr>
        <w:t>管理管控</w:t>
      </w:r>
      <w:r>
        <w:rPr>
          <w:rFonts w:ascii="ˎ̥" w:hAnsi="ˎ̥" w:cs="宋体" w:hint="eastAsia"/>
          <w:color w:val="008000"/>
          <w:sz w:val="28"/>
          <w:szCs w:val="28"/>
        </w:rPr>
        <w:t>团队，敏锐的市场开发人员、新</w:t>
      </w:r>
      <w:r>
        <w:rPr>
          <w:rFonts w:ascii="ˎ̥" w:hAnsi="ˎ̥" w:cs="宋体" w:hint="eastAsia"/>
          <w:color w:val="008000"/>
          <w:sz w:val="28"/>
          <w:szCs w:val="28"/>
          <w:lang w:eastAsia="zh-CN"/>
        </w:rPr>
        <w:t>相关项目</w:t>
      </w:r>
      <w:r>
        <w:rPr>
          <w:rFonts w:ascii="ˎ̥" w:hAnsi="ˎ̥" w:cs="宋体" w:hint="eastAsia"/>
          <w:color w:val="008000"/>
          <w:sz w:val="28"/>
          <w:szCs w:val="28"/>
        </w:rPr>
        <w:t>的网络发展团队等等一系列，使豪华车市场的竞争风险性相对较小。</w:t>
      </w:r>
    </w:p>
    <w:p>
      <w:pPr>
        <w:pStyle w:val="NormalWeb"/>
        <w:shd w:val="clear" w:color="auto" w:fill="FFFFFF"/>
        <w:spacing w:before="0" w:beforeLines="0" w:beforeAutospacing="0" w:after="0" w:afterLines="0" w:afterAutospacing="0" w:line="360" w:lineRule="auto"/>
        <w:jc w:val="both"/>
        <w:rPr>
          <w:rFonts w:ascii="ˎ̥" w:hAnsi="ˎ̥" w:cs="宋体" w:hint="eastAsia"/>
          <w:color w:val="008000"/>
          <w:sz w:val="28"/>
          <w:szCs w:val="28"/>
        </w:rPr>
      </w:pPr>
    </w:p>
    <w:p>
      <w:pPr>
        <w:pStyle w:val="Normal0"/>
        <w:spacing w:line="360" w:lineRule="auto"/>
        <w:jc w:val="center"/>
        <w:rPr>
          <w:rFonts w:hint="eastAsia"/>
          <w:b/>
          <w:sz w:val="32"/>
          <w:szCs w:val="32"/>
        </w:rPr>
      </w:pPr>
      <w:r>
        <w:rPr>
          <w:rFonts w:hint="eastAsia"/>
          <w:b/>
          <w:sz w:val="32"/>
          <w:szCs w:val="32"/>
        </w:rPr>
        <w:t>第三章   经营可行性分析</w:t>
      </w:r>
    </w:p>
    <w:p>
      <w:pPr>
        <w:pStyle w:val="Normal0"/>
        <w:ind w:firstLine="560" w:firstLineChars="200"/>
        <w:rPr>
          <w:rFonts w:ascii="宋体" w:hAnsi="宋体" w:hint="eastAsia"/>
          <w:color w:val="000000"/>
          <w:sz w:val="28"/>
          <w:szCs w:val="28"/>
        </w:rPr>
      </w:pPr>
      <w:r>
        <w:rPr>
          <w:rFonts w:ascii="宋体" w:hAnsi="宋体" w:hint="eastAsia"/>
          <w:color w:val="000000"/>
          <w:sz w:val="28"/>
          <w:szCs w:val="28"/>
        </w:rPr>
        <w:t>呼和浩特市作为内蒙古自治区政治、经济、文化中心和“呼包鄂金三角区”金融服务中心，近几年经济发展和城市建设得到了快速提升，并凭借完善的城市功能、市场环境、居住条件，吸引了周边盟市中高收入群体的投资置业，从而极大带动了居民消费能力和档次，成为我国西部地区最为活跃的城市之一。</w:t>
      </w:r>
    </w:p>
    <w:p>
      <w:pPr>
        <w:pStyle w:val="Normal0"/>
        <w:ind w:firstLine="560" w:firstLineChars="200"/>
        <w:rPr>
          <w:rFonts w:ascii="宋体" w:hAnsi="宋体" w:hint="eastAsia"/>
          <w:color w:val="000000"/>
          <w:sz w:val="28"/>
          <w:szCs w:val="28"/>
        </w:rPr>
        <w:sectPr>
          <w:type w:val="nextPage"/>
          <w:pgSz w:w="11906" w:h="16838"/>
          <w:pgMar w:top="1440" w:right="1797" w:bottom="1440" w:left="1797" w:header="851" w:footer="992" w:gutter="0"/>
          <w:pgNumType w:start="15"/>
          <w:cols w:num="1" w:space="708"/>
          <w:titlePg w:val="0"/>
          <w:docGrid w:type="lines" w:linePitch="312" w:charSpace="0"/>
        </w:sectPr>
      </w:pPr>
      <w:r>
        <w:rPr>
          <w:rFonts w:ascii="宋体" w:hAnsi="宋体" w:hint="eastAsia"/>
          <w:color w:val="000000"/>
          <w:sz w:val="28"/>
          <w:szCs w:val="28"/>
        </w:rPr>
        <w:t>随着城乡经济的快速发展和人们收入水平的不断提高，呼和浩特市汽车保有量也呈现出爆发式增长态势。目前呼和浩特市机动车保有量达到30万辆，占全区机动车保有量的17%，同比增长23.9%，与2006年相比，短短两年时间里</w:t>
      </w:r>
      <w:r>
        <w:rPr>
          <w:rFonts w:ascii="宋体" w:hAnsi="宋体"/>
          <w:color w:val="000000"/>
          <w:sz w:val="28"/>
          <w:szCs w:val="28"/>
        </w:rPr>
        <w:t>增长了53%，其中私家车拥有量增长66%</w:t>
      </w:r>
    </w:p>
    <w:p>
      <w:pPr>
        <w:pStyle w:val="Normal0"/>
        <w:ind w:firstLine="560" w:firstLineChars="200"/>
        <w:rPr>
          <w:rFonts w:ascii="宋体" w:hAnsi="宋体" w:hint="eastAsia"/>
          <w:color w:val="000000"/>
          <w:sz w:val="28"/>
          <w:szCs w:val="28"/>
        </w:rPr>
      </w:pPr>
      <w:r>
        <w:rPr>
          <w:rFonts w:ascii="宋体" w:hAnsi="宋体" w:hint="eastAsia"/>
          <w:color w:val="000000"/>
          <w:sz w:val="28"/>
          <w:szCs w:val="28"/>
        </w:rPr>
        <w:t>，每百户拥有量达到了8.04辆</w:t>
      </w:r>
      <w:r>
        <w:rPr>
          <w:rFonts w:ascii="宋体" w:hAnsi="宋体"/>
          <w:color w:val="000000"/>
          <w:sz w:val="28"/>
          <w:szCs w:val="28"/>
        </w:rPr>
        <w:t>。</w:t>
      </w:r>
    </w:p>
    <w:p>
      <w:pPr>
        <w:pStyle w:val="Normal0"/>
        <w:ind w:firstLine="560" w:firstLineChars="200"/>
        <w:rPr>
          <w:rFonts w:ascii="宋体" w:hAnsi="宋体" w:hint="eastAsia"/>
          <w:color w:val="000000"/>
          <w:sz w:val="28"/>
          <w:szCs w:val="28"/>
        </w:rPr>
      </w:pPr>
      <w:r>
        <w:rPr>
          <w:rFonts w:ascii="宋体" w:hAnsi="宋体" w:hint="eastAsia"/>
          <w:color w:val="000000"/>
          <w:sz w:val="28"/>
          <w:szCs w:val="28"/>
        </w:rPr>
        <w:t>在此背景下，呼和浩特市快速发展的市场空间，吸引了</w:t>
      </w:r>
      <w:r>
        <w:rPr>
          <w:rFonts w:ascii="宋体" w:hAnsi="宋体"/>
          <w:color w:val="000000"/>
          <w:sz w:val="28"/>
          <w:szCs w:val="28"/>
        </w:rPr>
        <w:t>奔驰、宝马、陆虎、雷克萨斯、日产、丰田、</w:t>
      </w:r>
      <w:r>
        <w:rPr>
          <w:rFonts w:ascii="宋体" w:hAnsi="宋体" w:hint="eastAsia"/>
          <w:color w:val="000000"/>
          <w:sz w:val="28"/>
          <w:szCs w:val="28"/>
        </w:rPr>
        <w:t>本田</w:t>
      </w:r>
      <w:r>
        <w:rPr>
          <w:rFonts w:ascii="宋体" w:hAnsi="宋体"/>
          <w:color w:val="000000"/>
          <w:sz w:val="28"/>
          <w:szCs w:val="28"/>
        </w:rPr>
        <w:t>、大众、通用等50</w:t>
      </w:r>
      <w:r>
        <w:rPr>
          <w:rFonts w:ascii="宋体" w:hAnsi="宋体" w:hint="eastAsia"/>
          <w:color w:val="000000"/>
          <w:sz w:val="28"/>
          <w:szCs w:val="28"/>
        </w:rPr>
        <w:t>余个汽车</w:t>
      </w:r>
      <w:r>
        <w:rPr>
          <w:rFonts w:ascii="宋体" w:hAnsi="宋体"/>
          <w:color w:val="000000"/>
          <w:sz w:val="28"/>
          <w:szCs w:val="28"/>
        </w:rPr>
        <w:t>品牌</w:t>
      </w:r>
      <w:r>
        <w:rPr>
          <w:rFonts w:ascii="宋体" w:hAnsi="宋体" w:hint="eastAsia"/>
          <w:color w:val="000000"/>
          <w:sz w:val="28"/>
          <w:szCs w:val="28"/>
        </w:rPr>
        <w:t>的入住，</w:t>
      </w:r>
      <w:r>
        <w:rPr>
          <w:rFonts w:ascii="宋体" w:hAnsi="宋体"/>
          <w:color w:val="000000"/>
          <w:sz w:val="28"/>
          <w:szCs w:val="28"/>
        </w:rPr>
        <w:t>目前呼和浩特市已经有70多家各类汽车销售公司，</w:t>
      </w:r>
      <w:r>
        <w:rPr>
          <w:rFonts w:ascii="宋体" w:hAnsi="宋体" w:hint="eastAsia"/>
          <w:color w:val="000000"/>
          <w:sz w:val="28"/>
          <w:szCs w:val="28"/>
        </w:rPr>
        <w:t>兴建</w:t>
      </w:r>
      <w:r>
        <w:rPr>
          <w:rFonts w:ascii="宋体" w:hAnsi="宋体"/>
          <w:color w:val="000000"/>
          <w:sz w:val="28"/>
          <w:szCs w:val="28"/>
        </w:rPr>
        <w:t>了一大批辐射周边盟市及旗县的汽车销售4S店</w:t>
      </w:r>
      <w:r>
        <w:rPr>
          <w:rFonts w:ascii="宋体" w:hAnsi="宋体" w:hint="eastAsia"/>
          <w:color w:val="000000"/>
          <w:sz w:val="28"/>
          <w:szCs w:val="28"/>
        </w:rPr>
        <w:t>，形成了高中低档多种产品结构，为广大城乡消费者提供了多样化选择</w:t>
      </w:r>
      <w:r>
        <w:rPr>
          <w:rFonts w:ascii="宋体" w:hAnsi="宋体"/>
          <w:color w:val="000000"/>
          <w:sz w:val="28"/>
          <w:szCs w:val="28"/>
        </w:rPr>
        <w:t>。</w:t>
      </w:r>
    </w:p>
    <w:p>
      <w:pPr>
        <w:pStyle w:val="Normal0"/>
        <w:ind w:firstLine="560" w:firstLineChars="200"/>
        <w:rPr>
          <w:rFonts w:ascii="宋体" w:hAnsi="宋体" w:hint="eastAsia"/>
          <w:color w:val="000000"/>
          <w:sz w:val="28"/>
          <w:szCs w:val="28"/>
        </w:rPr>
      </w:pPr>
      <w:r>
        <w:rPr>
          <w:rFonts w:ascii="宋体" w:hAnsi="宋体"/>
          <w:color w:val="000000"/>
          <w:sz w:val="28"/>
          <w:szCs w:val="28"/>
        </w:rPr>
        <w:t>近年来，随着内蒙古社会经济的快速发展，人们收入水平的不断提高，在“衣、食、住、行”基本消费中，继“住”的消费热点形成后，又出现了新的消费热点，汽车消费热。私家车发展迅速，</w:t>
      </w:r>
      <w:r>
        <w:rPr>
          <w:rFonts w:ascii="宋体" w:hAnsi="宋体" w:hint="eastAsia"/>
          <w:color w:val="000000"/>
          <w:sz w:val="28"/>
          <w:szCs w:val="28"/>
        </w:rPr>
        <w:t>近几年</w:t>
      </w:r>
      <w:r>
        <w:rPr>
          <w:rFonts w:ascii="宋体" w:hAnsi="宋体"/>
          <w:color w:val="000000"/>
          <w:sz w:val="28"/>
          <w:szCs w:val="28"/>
        </w:rPr>
        <w:t>全区汽车保有量增长了30%多，全区汽车保有量突破80万辆。</w:t>
      </w:r>
      <w:r>
        <w:rPr>
          <w:rFonts w:ascii="宋体" w:hAnsi="宋体" w:hint="eastAsia"/>
          <w:color w:val="000000"/>
          <w:sz w:val="28"/>
          <w:szCs w:val="28"/>
        </w:rPr>
        <w:t>仅</w:t>
      </w:r>
      <w:r>
        <w:rPr>
          <w:rFonts w:ascii="宋体" w:hAnsi="宋体"/>
          <w:color w:val="000000"/>
          <w:sz w:val="28"/>
          <w:szCs w:val="28"/>
        </w:rPr>
        <w:t>鄂尔多斯市私人汽车保有量达</w:t>
      </w:r>
      <w:r>
        <w:rPr>
          <w:rFonts w:ascii="宋体" w:hAnsi="宋体" w:hint="eastAsia"/>
          <w:color w:val="000000"/>
          <w:sz w:val="28"/>
          <w:szCs w:val="28"/>
        </w:rPr>
        <w:t>209060</w:t>
      </w:r>
      <w:r>
        <w:rPr>
          <w:rFonts w:ascii="宋体" w:hAnsi="宋体"/>
          <w:color w:val="000000"/>
          <w:sz w:val="28"/>
          <w:szCs w:val="28"/>
        </w:rPr>
        <w:t>辆，占汽车总量的</w:t>
      </w:r>
      <w:r>
        <w:rPr>
          <w:rFonts w:ascii="宋体" w:hAnsi="宋体" w:hint="eastAsia"/>
          <w:color w:val="000000"/>
          <w:sz w:val="28"/>
          <w:szCs w:val="28"/>
        </w:rPr>
        <w:t>87.79</w:t>
      </w:r>
      <w:r>
        <w:rPr>
          <w:rFonts w:ascii="宋体" w:hAnsi="宋体"/>
          <w:color w:val="000000"/>
          <w:sz w:val="28"/>
          <w:szCs w:val="28"/>
        </w:rPr>
        <w:t>％。私人汽车和摩托车保有量占私人机动车总量的</w:t>
      </w:r>
      <w:r>
        <w:rPr>
          <w:rFonts w:ascii="宋体" w:hAnsi="宋体" w:hint="eastAsia"/>
          <w:color w:val="000000"/>
          <w:sz w:val="28"/>
          <w:szCs w:val="28"/>
        </w:rPr>
        <w:t>96.13</w:t>
      </w:r>
      <w:r>
        <w:rPr>
          <w:rFonts w:ascii="宋体" w:hAnsi="宋体"/>
          <w:color w:val="000000"/>
          <w:sz w:val="28"/>
          <w:szCs w:val="28"/>
        </w:rPr>
        <w:t>％</w:t>
      </w:r>
      <w:r>
        <w:rPr>
          <w:rFonts w:ascii="宋体" w:hAnsi="宋体" w:hint="eastAsia"/>
          <w:color w:val="000000"/>
          <w:sz w:val="28"/>
          <w:szCs w:val="28"/>
        </w:rPr>
        <w:t>。</w:t>
      </w:r>
    </w:p>
    <w:p>
      <w:pPr>
        <w:pStyle w:val="Normal0"/>
        <w:ind w:firstLine="560" w:firstLineChars="200"/>
        <w:rPr>
          <w:rFonts w:ascii="宋体" w:hAnsi="宋体" w:hint="eastAsia"/>
          <w:color w:val="000000"/>
          <w:sz w:val="28"/>
          <w:szCs w:val="28"/>
        </w:rPr>
      </w:pPr>
      <w:r>
        <w:rPr>
          <w:rFonts w:ascii="宋体" w:hAnsi="宋体"/>
          <w:color w:val="000000"/>
          <w:sz w:val="28"/>
          <w:szCs w:val="28"/>
        </w:rPr>
        <w:t>现在不仅市府东胜私家车的数量多，各个旗区私家车的数量也在与日俱增。据有关部门统计资料显示，</w:t>
      </w:r>
    </w:p>
    <w:p>
      <w:pPr>
        <w:pStyle w:val="Normal0"/>
        <w:numPr>
          <w:ilvl w:val="0"/>
          <w:numId w:val="2"/>
        </w:numPr>
        <w:rPr>
          <w:rFonts w:ascii="宋体" w:hAnsi="宋体" w:hint="eastAsia"/>
          <w:color w:val="000000"/>
          <w:sz w:val="28"/>
          <w:szCs w:val="28"/>
        </w:rPr>
      </w:pPr>
      <w:r>
        <w:rPr>
          <w:rFonts w:ascii="宋体" w:hAnsi="宋体" w:hint="eastAsia"/>
          <w:color w:val="000000"/>
          <w:sz w:val="28"/>
          <w:szCs w:val="28"/>
        </w:rPr>
        <w:t>2007</w:t>
      </w:r>
      <w:r>
        <w:rPr>
          <w:rFonts w:ascii="宋体" w:hAnsi="宋体"/>
          <w:color w:val="000000"/>
          <w:sz w:val="28"/>
          <w:szCs w:val="28"/>
        </w:rPr>
        <w:t>年底东胜区私家车为</w:t>
      </w:r>
      <w:r>
        <w:rPr>
          <w:rFonts w:ascii="宋体" w:hAnsi="宋体" w:hint="eastAsia"/>
          <w:color w:val="000000"/>
          <w:sz w:val="28"/>
          <w:szCs w:val="28"/>
        </w:rPr>
        <w:t>42697</w:t>
      </w:r>
      <w:r>
        <w:rPr>
          <w:rFonts w:ascii="宋体" w:hAnsi="宋体"/>
          <w:color w:val="000000"/>
          <w:sz w:val="28"/>
          <w:szCs w:val="28"/>
        </w:rPr>
        <w:t>辆，截至今年５月１日前为</w:t>
      </w:r>
      <w:r>
        <w:rPr>
          <w:rFonts w:ascii="宋体" w:hAnsi="宋体" w:hint="eastAsia"/>
          <w:color w:val="000000"/>
          <w:sz w:val="28"/>
          <w:szCs w:val="28"/>
        </w:rPr>
        <w:t>48216</w:t>
      </w:r>
      <w:r>
        <w:rPr>
          <w:rFonts w:ascii="宋体" w:hAnsi="宋体"/>
          <w:color w:val="000000"/>
          <w:sz w:val="28"/>
          <w:szCs w:val="28"/>
        </w:rPr>
        <w:t>辆；</w:t>
      </w:r>
    </w:p>
    <w:p>
      <w:pPr>
        <w:pStyle w:val="Normal0"/>
        <w:numPr>
          <w:ilvl w:val="0"/>
          <w:numId w:val="2"/>
        </w:numPr>
        <w:rPr>
          <w:rFonts w:ascii="宋体" w:hAnsi="宋体" w:hint="eastAsia"/>
          <w:color w:val="000000"/>
          <w:sz w:val="28"/>
          <w:szCs w:val="28"/>
        </w:rPr>
      </w:pPr>
      <w:r>
        <w:rPr>
          <w:rFonts w:ascii="宋体" w:hAnsi="宋体"/>
          <w:color w:val="000000"/>
          <w:sz w:val="28"/>
          <w:szCs w:val="28"/>
        </w:rPr>
        <w:t>达拉特旗为</w:t>
      </w:r>
      <w:r>
        <w:rPr>
          <w:rFonts w:ascii="宋体" w:hAnsi="宋体" w:hint="eastAsia"/>
          <w:color w:val="000000"/>
          <w:sz w:val="28"/>
          <w:szCs w:val="28"/>
        </w:rPr>
        <w:t>17512</w:t>
      </w:r>
      <w:r>
        <w:rPr>
          <w:rFonts w:ascii="宋体" w:hAnsi="宋体"/>
          <w:color w:val="000000"/>
          <w:sz w:val="28"/>
          <w:szCs w:val="28"/>
        </w:rPr>
        <w:t>辆，５月１日前为</w:t>
      </w:r>
      <w:r>
        <w:rPr>
          <w:rFonts w:ascii="宋体" w:hAnsi="宋体" w:hint="eastAsia"/>
          <w:color w:val="000000"/>
          <w:sz w:val="28"/>
          <w:szCs w:val="28"/>
        </w:rPr>
        <w:t>19865</w:t>
      </w:r>
      <w:r>
        <w:rPr>
          <w:rFonts w:ascii="宋体" w:hAnsi="宋体"/>
          <w:color w:val="000000"/>
          <w:sz w:val="28"/>
          <w:szCs w:val="28"/>
        </w:rPr>
        <w:t>辆；</w:t>
      </w:r>
    </w:p>
    <w:p>
      <w:pPr>
        <w:pStyle w:val="Normal0"/>
        <w:numPr>
          <w:ilvl w:val="0"/>
          <w:numId w:val="2"/>
        </w:numPr>
        <w:rPr>
          <w:rFonts w:ascii="宋体" w:hAnsi="宋体" w:hint="eastAsia"/>
          <w:color w:val="000000"/>
          <w:sz w:val="28"/>
          <w:szCs w:val="28"/>
        </w:rPr>
      </w:pPr>
      <w:r>
        <w:rPr>
          <w:rFonts w:ascii="宋体" w:hAnsi="宋体"/>
          <w:color w:val="000000"/>
          <w:sz w:val="28"/>
          <w:szCs w:val="28"/>
        </w:rPr>
        <w:t>伊金霍洛旗、准格尔旗为</w:t>
      </w:r>
      <w:r>
        <w:rPr>
          <w:rFonts w:ascii="宋体" w:hAnsi="宋体" w:hint="eastAsia"/>
          <w:color w:val="000000"/>
          <w:sz w:val="28"/>
          <w:szCs w:val="28"/>
        </w:rPr>
        <w:t>16193</w:t>
      </w:r>
      <w:r>
        <w:rPr>
          <w:rFonts w:ascii="宋体" w:hAnsi="宋体"/>
          <w:color w:val="000000"/>
          <w:sz w:val="28"/>
          <w:szCs w:val="28"/>
        </w:rPr>
        <w:t>辆，</w:t>
      </w:r>
      <w:r>
        <w:rPr>
          <w:rFonts w:ascii="宋体" w:hAnsi="宋体" w:hint="eastAsia"/>
          <w:color w:val="000000"/>
          <w:sz w:val="28"/>
          <w:szCs w:val="28"/>
        </w:rPr>
        <w:t>5</w:t>
      </w:r>
      <w:r>
        <w:rPr>
          <w:rFonts w:ascii="宋体" w:hAnsi="宋体"/>
          <w:color w:val="000000"/>
          <w:sz w:val="28"/>
          <w:szCs w:val="28"/>
        </w:rPr>
        <w:t>月１日前为</w:t>
      </w:r>
      <w:r>
        <w:rPr>
          <w:rFonts w:ascii="宋体" w:hAnsi="宋体" w:hint="eastAsia"/>
          <w:color w:val="000000"/>
          <w:sz w:val="28"/>
          <w:szCs w:val="28"/>
        </w:rPr>
        <w:t>18491</w:t>
      </w:r>
      <w:r>
        <w:rPr>
          <w:rFonts w:ascii="宋体" w:hAnsi="宋体"/>
          <w:color w:val="000000"/>
          <w:sz w:val="28"/>
          <w:szCs w:val="28"/>
        </w:rPr>
        <w:t>辆；</w:t>
      </w:r>
    </w:p>
    <w:p>
      <w:pPr>
        <w:pStyle w:val="Normal0"/>
        <w:numPr>
          <w:ilvl w:val="0"/>
          <w:numId w:val="2"/>
        </w:numPr>
        <w:rPr>
          <w:rFonts w:ascii="宋体" w:hAnsi="宋体" w:hint="eastAsia"/>
          <w:color w:val="000000"/>
          <w:sz w:val="28"/>
          <w:szCs w:val="28"/>
        </w:rPr>
      </w:pPr>
      <w:r>
        <w:rPr>
          <w:rFonts w:ascii="宋体" w:hAnsi="宋体"/>
          <w:color w:val="000000"/>
          <w:sz w:val="28"/>
          <w:szCs w:val="28"/>
        </w:rPr>
        <w:t>杭锦旗为</w:t>
      </w:r>
      <w:r>
        <w:rPr>
          <w:rFonts w:ascii="宋体" w:hAnsi="宋体" w:hint="eastAsia"/>
          <w:color w:val="000000"/>
          <w:sz w:val="28"/>
          <w:szCs w:val="28"/>
        </w:rPr>
        <w:t>5548</w:t>
      </w:r>
      <w:r>
        <w:rPr>
          <w:rFonts w:ascii="宋体" w:hAnsi="宋体"/>
          <w:color w:val="000000"/>
          <w:sz w:val="28"/>
          <w:szCs w:val="28"/>
        </w:rPr>
        <w:t>辆，５月１日前为</w:t>
      </w:r>
      <w:r>
        <w:rPr>
          <w:rFonts w:ascii="宋体" w:hAnsi="宋体" w:hint="eastAsia"/>
          <w:color w:val="000000"/>
          <w:sz w:val="28"/>
          <w:szCs w:val="28"/>
        </w:rPr>
        <w:t>6413</w:t>
      </w:r>
      <w:r>
        <w:rPr>
          <w:rFonts w:ascii="宋体" w:hAnsi="宋体"/>
          <w:color w:val="000000"/>
          <w:sz w:val="28"/>
          <w:szCs w:val="28"/>
        </w:rPr>
        <w:t>辆；</w:t>
      </w:r>
    </w:p>
    <w:p>
      <w:pPr>
        <w:pStyle w:val="Normal0"/>
        <w:numPr>
          <w:ilvl w:val="0"/>
          <w:numId w:val="2"/>
        </w:numPr>
        <w:rPr>
          <w:rFonts w:ascii="宋体" w:hAnsi="宋体" w:hint="eastAsia"/>
          <w:color w:val="000000"/>
          <w:sz w:val="28"/>
          <w:szCs w:val="28"/>
        </w:rPr>
      </w:pPr>
      <w:r>
        <w:rPr>
          <w:rFonts w:ascii="宋体" w:hAnsi="宋体"/>
          <w:color w:val="000000"/>
          <w:sz w:val="28"/>
          <w:szCs w:val="28"/>
        </w:rPr>
        <w:t>鄂托克前旗为</w:t>
      </w:r>
      <w:r>
        <w:rPr>
          <w:rFonts w:ascii="宋体" w:hAnsi="宋体" w:hint="eastAsia"/>
          <w:color w:val="000000"/>
          <w:sz w:val="28"/>
          <w:szCs w:val="28"/>
        </w:rPr>
        <w:t>2772</w:t>
      </w:r>
      <w:r>
        <w:rPr>
          <w:rFonts w:ascii="宋体" w:hAnsi="宋体"/>
          <w:color w:val="000000"/>
          <w:sz w:val="28"/>
          <w:szCs w:val="28"/>
        </w:rPr>
        <w:t>辆，５月１日前为</w:t>
      </w:r>
      <w:r>
        <w:rPr>
          <w:rFonts w:ascii="宋体" w:hAnsi="宋体" w:hint="eastAsia"/>
          <w:color w:val="000000"/>
          <w:sz w:val="28"/>
          <w:szCs w:val="28"/>
        </w:rPr>
        <w:t>2995</w:t>
      </w:r>
      <w:r>
        <w:rPr>
          <w:rFonts w:ascii="宋体" w:hAnsi="宋体"/>
          <w:color w:val="000000"/>
          <w:sz w:val="28"/>
          <w:szCs w:val="28"/>
        </w:rPr>
        <w:t>辆。</w:t>
      </w:r>
    </w:p>
    <w:p>
      <w:pPr>
        <w:pStyle w:val="Normal0"/>
        <w:ind w:firstLine="560" w:firstLineChars="200"/>
        <w:rPr>
          <w:rFonts w:ascii="宋体" w:hAnsi="宋体" w:hint="eastAsia"/>
          <w:color w:val="000000"/>
          <w:sz w:val="28"/>
          <w:szCs w:val="28"/>
        </w:rPr>
        <w:sectPr>
          <w:type w:val="nextPage"/>
          <w:pgSz w:w="11906" w:h="16838"/>
          <w:pgMar w:top="1440" w:right="1797" w:bottom="1440" w:left="1797" w:header="851" w:footer="992" w:gutter="0"/>
          <w:pgNumType w:start="16"/>
          <w:cols w:num="1" w:space="708"/>
          <w:titlePg w:val="0"/>
          <w:docGrid w:type="lines" w:linePitch="312" w:charSpace="0"/>
        </w:sectPr>
      </w:pPr>
      <w:r>
        <w:rPr>
          <w:rFonts w:ascii="宋体" w:hAnsi="宋体"/>
          <w:color w:val="000000"/>
          <w:sz w:val="28"/>
          <w:szCs w:val="28"/>
        </w:rPr>
        <w:t>上述数字无可辩驳地表明，各旗区私家车数量</w:t>
      </w:r>
      <w:r>
        <w:rPr>
          <w:rFonts w:ascii="宋体" w:hAnsi="宋体" w:hint="eastAsia"/>
          <w:color w:val="000000"/>
          <w:sz w:val="28"/>
          <w:szCs w:val="28"/>
        </w:rPr>
        <w:t>100</w:t>
      </w:r>
      <w:r>
        <w:rPr>
          <w:rFonts w:ascii="宋体" w:hAnsi="宋体"/>
          <w:color w:val="000000"/>
          <w:sz w:val="28"/>
          <w:szCs w:val="28"/>
        </w:rPr>
        <w:t>％都呈现出上升趋势。</w:t>
      </w:r>
    </w:p>
    <w:p>
      <w:pPr>
        <w:pStyle w:val="Normal0"/>
        <w:spacing w:line="360" w:lineRule="auto"/>
        <w:rPr>
          <w:rFonts w:hint="eastAsia"/>
          <w:b/>
          <w:color w:val="000000"/>
          <w:sz w:val="28"/>
          <w:szCs w:val="28"/>
        </w:rPr>
      </w:pPr>
      <w:r>
        <w:rPr>
          <w:rFonts w:hint="eastAsia"/>
          <w:b/>
          <w:color w:val="000000"/>
          <w:sz w:val="28"/>
          <w:szCs w:val="28"/>
        </w:rPr>
        <w:t>一、产品价格分析</w:t>
      </w:r>
    </w:p>
    <w:p>
      <w:pPr>
        <w:pStyle w:val="Normal0"/>
        <w:ind w:firstLine="560" w:firstLineChars="200"/>
        <w:rPr>
          <w:rFonts w:ascii="宋体" w:hAnsi="宋体" w:hint="eastAsia"/>
          <w:color w:val="000000"/>
          <w:sz w:val="28"/>
          <w:szCs w:val="28"/>
        </w:rPr>
      </w:pPr>
      <w:r>
        <w:rPr>
          <w:rFonts w:ascii="宋体" w:hAnsi="宋体" w:hint="eastAsia"/>
          <w:color w:val="000000"/>
          <w:sz w:val="28"/>
          <w:szCs w:val="28"/>
        </w:rPr>
        <w:t>本</w:t>
      </w:r>
      <w:r>
        <w:rPr>
          <w:rFonts w:ascii="宋体" w:hAnsi="宋体" w:hint="eastAsia"/>
          <w:color w:val="000000"/>
          <w:sz w:val="28"/>
          <w:szCs w:val="28"/>
          <w:lang w:eastAsia="zh-CN"/>
        </w:rPr>
        <w:t>相关项目</w:t>
      </w:r>
      <w:r>
        <w:rPr>
          <w:rFonts w:ascii="宋体" w:hAnsi="宋体" w:hint="eastAsia"/>
          <w:color w:val="000000"/>
          <w:sz w:val="28"/>
          <w:szCs w:val="28"/>
        </w:rPr>
        <w:t>作为山西顺宝集团在内蒙古自治区首府呼和浩特市投资兴建的汽车营销网络载体，目标市场将以呼和浩特市为中心辐射周边地区广阔的城乡市场。BMW</w:t>
      </w:r>
      <w:r>
        <w:rPr>
          <w:rFonts w:ascii="宋体" w:hAnsi="宋体"/>
          <w:color w:val="000000"/>
          <w:sz w:val="28"/>
          <w:szCs w:val="28"/>
        </w:rPr>
        <w:t>汽车公司以汽车的高质量、高性能和高技术为追求目标</w:t>
      </w:r>
      <w:r>
        <w:rPr>
          <w:rFonts w:ascii="宋体" w:hAnsi="宋体" w:hint="eastAsia"/>
          <w:color w:val="000000"/>
          <w:sz w:val="28"/>
          <w:szCs w:val="28"/>
        </w:rPr>
        <w:t>而拓展其市场。</w:t>
      </w:r>
    </w:p>
    <w:p>
      <w:pPr>
        <w:pStyle w:val="Normal0"/>
        <w:spacing w:line="360" w:lineRule="auto"/>
        <w:ind w:firstLine="560" w:firstLineChars="200"/>
        <w:rPr>
          <w:rFonts w:ascii="宋体" w:hAnsi="宋体" w:hint="eastAsia"/>
          <w:color w:val="000000"/>
          <w:sz w:val="28"/>
          <w:szCs w:val="28"/>
        </w:rPr>
      </w:pPr>
      <w:r>
        <w:rPr>
          <w:rFonts w:ascii="宋体" w:hAnsi="宋体" w:hint="eastAsia"/>
          <w:color w:val="000000"/>
          <w:sz w:val="28"/>
          <w:szCs w:val="28"/>
        </w:rPr>
        <w:t>本</w:t>
      </w:r>
      <w:r>
        <w:rPr>
          <w:rFonts w:ascii="宋体" w:hAnsi="宋体" w:hint="eastAsia"/>
          <w:color w:val="000000"/>
          <w:sz w:val="28"/>
          <w:szCs w:val="28"/>
          <w:lang w:eastAsia="zh-CN"/>
        </w:rPr>
        <w:t>相关项目</w:t>
      </w:r>
      <w:r>
        <w:rPr>
          <w:rFonts w:ascii="宋体" w:hAnsi="宋体" w:hint="eastAsia"/>
          <w:color w:val="000000"/>
          <w:sz w:val="28"/>
          <w:szCs w:val="28"/>
        </w:rPr>
        <w:t>BMW产品主要经营3系、5系、1系、进口3系、进口5系、进口6系、进口7系、X3、X5、 X1、X6、Z4等十二个品牌的不同价位汽车，价格从20多万</w:t>
      </w:r>
      <w:r>
        <w:rPr>
          <w:rFonts w:ascii="宋体" w:hAnsi="宋体"/>
          <w:color w:val="000000"/>
          <w:sz w:val="28"/>
          <w:szCs w:val="28"/>
        </w:rPr>
        <w:t>—</w:t>
      </w:r>
      <w:r>
        <w:rPr>
          <w:rFonts w:ascii="宋体" w:hAnsi="宋体" w:hint="eastAsia"/>
          <w:color w:val="000000"/>
          <w:sz w:val="28"/>
          <w:szCs w:val="28"/>
        </w:rPr>
        <w:t>200多万的全系列车型可以满足不同档次消费者的购车需求。与此同时，为了满足购车者的日常保养、维修、零配件更新等需求，本</w:t>
      </w:r>
      <w:r>
        <w:rPr>
          <w:rFonts w:ascii="宋体" w:hAnsi="宋体" w:hint="eastAsia"/>
          <w:color w:val="000000"/>
          <w:sz w:val="28"/>
          <w:szCs w:val="28"/>
          <w:lang w:eastAsia="zh-CN"/>
        </w:rPr>
        <w:t>相关项目</w:t>
      </w:r>
      <w:r>
        <w:rPr>
          <w:rFonts w:ascii="宋体" w:hAnsi="宋体" w:hint="eastAsia"/>
          <w:color w:val="000000"/>
          <w:sz w:val="28"/>
          <w:szCs w:val="28"/>
        </w:rPr>
        <w:t>还将开展原厂零配件供应和维修保养等售后服务。</w:t>
      </w:r>
    </w:p>
    <w:p>
      <w:pPr>
        <w:pStyle w:val="Normal0"/>
        <w:spacing w:line="360" w:lineRule="auto"/>
        <w:rPr>
          <w:rFonts w:hint="eastAsia"/>
          <w:b/>
          <w:color w:val="000000"/>
          <w:sz w:val="28"/>
          <w:szCs w:val="28"/>
        </w:rPr>
      </w:pPr>
    </w:p>
    <w:p>
      <w:pPr>
        <w:pStyle w:val="Normal0"/>
        <w:spacing w:line="360" w:lineRule="auto"/>
        <w:rPr>
          <w:rFonts w:ascii="宋体" w:hAnsi="宋体" w:hint="eastAsia"/>
          <w:b/>
          <w:color w:val="000000"/>
          <w:sz w:val="28"/>
          <w:szCs w:val="28"/>
        </w:rPr>
      </w:pPr>
      <w:r>
        <w:rPr>
          <w:rFonts w:hint="eastAsia"/>
          <w:b/>
          <w:color w:val="000000"/>
          <w:sz w:val="28"/>
          <w:szCs w:val="28"/>
        </w:rPr>
        <w:t>二、营销策略和市场推广</w:t>
      </w:r>
    </w:p>
    <w:p>
      <w:pPr>
        <w:pStyle w:val="Normal0"/>
        <w:spacing w:line="360" w:lineRule="auto"/>
        <w:rPr>
          <w:rFonts w:hint="eastAsia"/>
          <w:color w:val="000000"/>
          <w:sz w:val="28"/>
          <w:szCs w:val="28"/>
        </w:rPr>
      </w:pPr>
      <w:r>
        <w:rPr>
          <w:rFonts w:hint="eastAsia"/>
          <w:color w:val="000000"/>
          <w:sz w:val="28"/>
          <w:szCs w:val="28"/>
        </w:rPr>
        <w:t>（一）、</w:t>
      </w:r>
      <w:r>
        <w:rPr>
          <w:rFonts w:hint="eastAsia"/>
          <w:color w:val="000000"/>
          <w:sz w:val="28"/>
          <w:szCs w:val="28"/>
          <w:lang w:eastAsia="zh-CN"/>
        </w:rPr>
        <w:t>相关项目</w:t>
      </w:r>
      <w:r>
        <w:rPr>
          <w:rFonts w:hint="eastAsia"/>
          <w:color w:val="000000"/>
          <w:sz w:val="28"/>
          <w:szCs w:val="28"/>
        </w:rPr>
        <w:t>SWOT分析</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Arial" w:hAnsi="Arial" w:cs="Arial"/>
          <w:kern w:val="0"/>
          <w:sz w:val="28"/>
          <w:szCs w:val="28"/>
        </w:rPr>
      </w:pPr>
      <w:r>
        <w:rPr>
          <w:rFonts w:ascii="Arial" w:hAnsi="Arial" w:cs="Arial"/>
          <w:kern w:val="0"/>
          <w:sz w:val="28"/>
          <w:szCs w:val="28"/>
        </w:rPr>
        <w:t xml:space="preserve">  </w:t>
      </w:r>
      <w:r>
        <w:rPr>
          <w:rFonts w:ascii="Arial" w:hAnsi="Arial" w:cs="Arial" w:hint="eastAsia"/>
          <w:kern w:val="0"/>
          <w:sz w:val="28"/>
          <w:szCs w:val="28"/>
        </w:rPr>
        <w:t>S</w:t>
      </w:r>
      <w:r>
        <w:rPr>
          <w:rFonts w:ascii="Arial" w:hAnsi="Arial" w:cs="Arial"/>
          <w:kern w:val="0"/>
          <w:sz w:val="28"/>
          <w:szCs w:val="28"/>
        </w:rPr>
        <w:t>（优势）</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Arial" w:hAnsi="Arial" w:cs="Arial"/>
          <w:kern w:val="0"/>
          <w:sz w:val="28"/>
          <w:szCs w:val="28"/>
        </w:rPr>
      </w:pPr>
      <w:r>
        <w:rPr>
          <w:rFonts w:ascii="Arial" w:hAnsi="Arial" w:cs="Arial"/>
          <w:kern w:val="0"/>
          <w:sz w:val="28"/>
          <w:szCs w:val="28"/>
        </w:rPr>
        <w:t>1、</w:t>
      </w:r>
      <w:r>
        <w:rPr>
          <w:rFonts w:ascii="Arial" w:hAnsi="Arial" w:cs="Arial" w:hint="eastAsia"/>
          <w:kern w:val="0"/>
          <w:sz w:val="28"/>
          <w:szCs w:val="28"/>
        </w:rPr>
        <w:t>BMW</w:t>
      </w:r>
      <w:r>
        <w:rPr>
          <w:rFonts w:ascii="Arial" w:hAnsi="Arial" w:cs="Arial"/>
          <w:kern w:val="0"/>
          <w:sz w:val="28"/>
          <w:szCs w:val="28"/>
        </w:rPr>
        <w:t>品牌作为中国汽车市场的一线品牌强大的号召力，具有成熟的品牌基础。</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Arial" w:hAnsi="Arial" w:cs="Arial"/>
          <w:kern w:val="0"/>
          <w:sz w:val="28"/>
          <w:szCs w:val="28"/>
        </w:rPr>
      </w:pPr>
      <w:r>
        <w:rPr>
          <w:rFonts w:ascii="Arial" w:hAnsi="Arial" w:cs="Arial"/>
          <w:kern w:val="0"/>
          <w:sz w:val="28"/>
          <w:szCs w:val="28"/>
        </w:rPr>
        <w:t>2、本店坐落在</w:t>
      </w:r>
      <w:r>
        <w:rPr>
          <w:rFonts w:ascii="宋体" w:hAnsi="宋体" w:hint="eastAsia"/>
          <w:sz w:val="28"/>
          <w:szCs w:val="28"/>
        </w:rPr>
        <w:t>形成了规模的“汽车销售服务城”，</w:t>
      </w:r>
      <w:r>
        <w:rPr>
          <w:rFonts w:ascii="Arial" w:hAnsi="Arial" w:cs="Arial"/>
          <w:kern w:val="0"/>
          <w:sz w:val="28"/>
          <w:szCs w:val="28"/>
        </w:rPr>
        <w:t>基础设施现代，豪华，标准的现代4S店完全满足目标客户的消费心理需要。</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Arial" w:hAnsi="Arial" w:cs="Arial"/>
          <w:kern w:val="0"/>
          <w:sz w:val="28"/>
          <w:szCs w:val="28"/>
        </w:rPr>
        <w:sectPr>
          <w:type w:val="nextPage"/>
          <w:pgSz w:w="11906" w:h="16838"/>
          <w:pgMar w:top="1440" w:right="1797" w:bottom="1440" w:left="1797" w:header="851" w:footer="992" w:gutter="0"/>
          <w:pgNumType w:start="17"/>
          <w:cols w:num="1" w:space="708"/>
          <w:titlePg w:val="0"/>
          <w:docGrid w:type="lines" w:linePitch="312" w:charSpace="0"/>
        </w:sectPr>
      </w:pPr>
      <w:r>
        <w:rPr>
          <w:rFonts w:ascii="Arial" w:hAnsi="Arial" w:cs="Arial"/>
          <w:kern w:val="0"/>
          <w:sz w:val="28"/>
          <w:szCs w:val="28"/>
        </w:rPr>
        <w:t>3、专营</w:t>
      </w:r>
      <w:r>
        <w:rPr>
          <w:rFonts w:ascii="Arial" w:hAnsi="Arial" w:cs="Arial" w:hint="eastAsia"/>
          <w:kern w:val="0"/>
          <w:sz w:val="28"/>
          <w:szCs w:val="28"/>
        </w:rPr>
        <w:t>BMW</w:t>
      </w:r>
      <w:r>
        <w:rPr>
          <w:rFonts w:ascii="Arial" w:hAnsi="Arial" w:cs="Arial"/>
          <w:kern w:val="0"/>
          <w:sz w:val="28"/>
          <w:szCs w:val="28"/>
        </w:rPr>
        <w:t>品牌汽车的整车销售、维修服务和配件供应，同时提供与汽车服务相关的信贷、保险、装饰、救援、俱乐部等全方位汽车服务</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cs="Arial"/>
          <w:kern w:val="0"/>
          <w:sz w:val="28"/>
          <w:szCs w:val="28"/>
        </w:rPr>
      </w:pPr>
      <w:r>
        <w:rPr>
          <w:rFonts w:ascii="Arial" w:hAnsi="Arial" w:cs="Arial"/>
          <w:kern w:val="0"/>
          <w:sz w:val="28"/>
          <w:szCs w:val="28"/>
        </w:rPr>
        <w:t xml:space="preserve"> W（劣势）</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cs="Arial"/>
          <w:kern w:val="0"/>
          <w:sz w:val="28"/>
          <w:szCs w:val="28"/>
        </w:rPr>
      </w:pPr>
      <w:r>
        <w:rPr>
          <w:rFonts w:ascii="Arial" w:hAnsi="Arial" w:cs="Arial"/>
          <w:kern w:val="0"/>
          <w:sz w:val="28"/>
          <w:szCs w:val="28"/>
        </w:rPr>
        <w:t>进入</w:t>
      </w:r>
      <w:r>
        <w:rPr>
          <w:rFonts w:ascii="Arial" w:hAnsi="Arial" w:cs="Arial" w:hint="eastAsia"/>
          <w:kern w:val="0"/>
          <w:sz w:val="28"/>
          <w:szCs w:val="28"/>
        </w:rPr>
        <w:t>呼和浩特</w:t>
      </w:r>
      <w:r>
        <w:rPr>
          <w:rFonts w:ascii="Arial" w:hAnsi="Arial" w:cs="Arial"/>
          <w:kern w:val="0"/>
          <w:sz w:val="28"/>
          <w:szCs w:val="28"/>
        </w:rPr>
        <w:t>市场相对较晚，</w:t>
      </w:r>
      <w:r>
        <w:rPr>
          <w:rFonts w:ascii="Arial" w:hAnsi="Arial" w:cs="Arial" w:hint="eastAsia"/>
          <w:kern w:val="0"/>
          <w:sz w:val="28"/>
          <w:szCs w:val="28"/>
        </w:rPr>
        <w:t>需要通过一段时间来培养</w:t>
      </w:r>
      <w:r>
        <w:rPr>
          <w:rFonts w:ascii="Arial" w:hAnsi="Arial" w:cs="Arial"/>
          <w:kern w:val="0"/>
          <w:sz w:val="28"/>
          <w:szCs w:val="28"/>
        </w:rPr>
        <w:t>目标客户心中强大的口碑和品牌效应。</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cs="Arial"/>
          <w:kern w:val="0"/>
          <w:sz w:val="28"/>
          <w:szCs w:val="28"/>
        </w:rPr>
      </w:pPr>
      <w:r>
        <w:rPr>
          <w:rFonts w:ascii="Arial" w:hAnsi="Arial" w:cs="Arial"/>
          <w:kern w:val="0"/>
          <w:sz w:val="28"/>
          <w:szCs w:val="28"/>
        </w:rPr>
        <w:t>O（机会）</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cs="Arial"/>
          <w:kern w:val="0"/>
          <w:sz w:val="28"/>
          <w:szCs w:val="28"/>
        </w:rPr>
      </w:pPr>
      <w:r>
        <w:rPr>
          <w:rFonts w:ascii="Arial" w:hAnsi="Arial" w:cs="Arial"/>
          <w:kern w:val="0"/>
          <w:sz w:val="28"/>
          <w:szCs w:val="28"/>
        </w:rPr>
        <w:t>1</w:t>
      </w:r>
      <w:r>
        <w:rPr>
          <w:rFonts w:ascii="Arial" w:hAnsi="Arial" w:cs="Arial" w:hint="eastAsia"/>
          <w:kern w:val="0"/>
          <w:sz w:val="28"/>
          <w:szCs w:val="28"/>
        </w:rPr>
        <w:t>、</w:t>
      </w:r>
      <w:r>
        <w:rPr>
          <w:rFonts w:ascii="Arial" w:hAnsi="Arial" w:cs="Arial"/>
          <w:kern w:val="0"/>
          <w:sz w:val="28"/>
          <w:szCs w:val="28"/>
        </w:rPr>
        <w:t>社会整体经济水平的提高，家庭轿车的需求正在释放，不断涌现出的城市精英越来越追求成功带来的成就感而购置高档轿车。</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cs="Arial"/>
          <w:kern w:val="0"/>
          <w:sz w:val="28"/>
          <w:szCs w:val="28"/>
        </w:rPr>
      </w:pPr>
      <w:r>
        <w:rPr>
          <w:rFonts w:ascii="Arial" w:hAnsi="Arial" w:cs="Arial"/>
          <w:kern w:val="0"/>
          <w:sz w:val="28"/>
          <w:szCs w:val="28"/>
        </w:rPr>
        <w:t>2、成熟的</w:t>
      </w:r>
      <w:r>
        <w:rPr>
          <w:rFonts w:ascii="Arial" w:hAnsi="Arial" w:cs="Arial" w:hint="eastAsia"/>
          <w:kern w:val="0"/>
          <w:sz w:val="28"/>
          <w:szCs w:val="28"/>
        </w:rPr>
        <w:t>BMW</w:t>
      </w:r>
      <w:r>
        <w:rPr>
          <w:rFonts w:ascii="Arial" w:hAnsi="Arial" w:cs="Arial"/>
          <w:kern w:val="0"/>
          <w:sz w:val="28"/>
          <w:szCs w:val="28"/>
        </w:rPr>
        <w:t>轿车品牌拥有一大批的忠诚消费者。</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cs="Arial"/>
          <w:b/>
          <w:kern w:val="0"/>
          <w:sz w:val="28"/>
          <w:szCs w:val="28"/>
        </w:rPr>
      </w:pPr>
      <w:r>
        <w:rPr>
          <w:rFonts w:ascii="Arial" w:hAnsi="Arial" w:cs="Arial" w:hint="eastAsia"/>
          <w:b/>
          <w:kern w:val="0"/>
          <w:sz w:val="28"/>
          <w:szCs w:val="28"/>
        </w:rPr>
        <w:t>（二）</w:t>
      </w:r>
      <w:r>
        <w:rPr>
          <w:rFonts w:ascii="Arial" w:hAnsi="Arial" w:cs="Arial"/>
          <w:b/>
          <w:kern w:val="0"/>
          <w:sz w:val="28"/>
          <w:szCs w:val="28"/>
        </w:rPr>
        <w:t>营销策略</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560" w:firstLineChars="200"/>
        <w:jc w:val="left"/>
        <w:rPr>
          <w:rFonts w:ascii="Arial" w:hAnsi="Arial" w:cs="Arial"/>
          <w:kern w:val="0"/>
          <w:sz w:val="28"/>
          <w:szCs w:val="28"/>
        </w:rPr>
      </w:pPr>
      <w:r>
        <w:rPr>
          <w:rFonts w:ascii="Arial" w:hAnsi="Arial" w:cs="Arial"/>
          <w:kern w:val="0"/>
          <w:sz w:val="28"/>
          <w:szCs w:val="28"/>
        </w:rPr>
        <w:t>对于汽车4S店建立自有品牌已刻不容缓，因此在依托厂家品牌的基础上必须树立自身的品牌形象与知名度，培养自己的顾客忠诚，提供超质服务。</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cs="Arial" w:hint="eastAsia"/>
          <w:kern w:val="0"/>
          <w:sz w:val="28"/>
          <w:szCs w:val="28"/>
        </w:rPr>
      </w:pPr>
      <w:r>
        <w:rPr>
          <w:rFonts w:ascii="Arial" w:hAnsi="Arial" w:cs="Arial"/>
          <w:kern w:val="0"/>
          <w:sz w:val="28"/>
          <w:szCs w:val="28"/>
        </w:rPr>
        <w:t>1、</w:t>
      </w:r>
      <w:r>
        <w:rPr>
          <w:rFonts w:ascii="Arial" w:hAnsi="Arial" w:cs="Arial" w:hint="eastAsia"/>
          <w:kern w:val="0"/>
          <w:sz w:val="28"/>
          <w:szCs w:val="28"/>
        </w:rPr>
        <w:t>建立</w:t>
      </w:r>
      <w:r>
        <w:rPr>
          <w:rFonts w:ascii="Arial" w:hAnsi="Arial" w:cs="Arial"/>
          <w:kern w:val="0"/>
          <w:sz w:val="28"/>
          <w:szCs w:val="28"/>
        </w:rPr>
        <w:t>市场</w:t>
      </w:r>
      <w:r>
        <w:rPr>
          <w:rFonts w:ascii="Arial" w:hAnsi="Arial" w:cs="Arial" w:hint="eastAsia"/>
          <w:kern w:val="0"/>
          <w:sz w:val="28"/>
          <w:szCs w:val="28"/>
        </w:rPr>
        <w:t>地位</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560" w:firstLineChars="200"/>
        <w:jc w:val="left"/>
        <w:rPr>
          <w:rFonts w:ascii="Arial" w:hAnsi="Arial" w:cs="Arial" w:hint="eastAsia"/>
          <w:kern w:val="0"/>
          <w:sz w:val="28"/>
          <w:szCs w:val="28"/>
        </w:rPr>
      </w:pPr>
      <w:r>
        <w:rPr>
          <w:rFonts w:ascii="Arial" w:hAnsi="Arial" w:cs="Arial" w:hint="eastAsia"/>
          <w:kern w:val="0"/>
          <w:sz w:val="28"/>
          <w:szCs w:val="28"/>
        </w:rPr>
        <w:t>BMW</w:t>
      </w:r>
      <w:r>
        <w:rPr>
          <w:rFonts w:ascii="Arial" w:hAnsi="Arial" w:cs="Arial"/>
          <w:kern w:val="0"/>
          <w:sz w:val="28"/>
          <w:szCs w:val="28"/>
        </w:rPr>
        <w:t>4S店在</w:t>
      </w:r>
      <w:r>
        <w:rPr>
          <w:rFonts w:ascii="Arial" w:hAnsi="Arial" w:cs="Arial" w:hint="eastAsia"/>
          <w:kern w:val="0"/>
          <w:sz w:val="28"/>
          <w:szCs w:val="28"/>
        </w:rPr>
        <w:t>呼和浩特</w:t>
      </w:r>
      <w:r>
        <w:rPr>
          <w:rFonts w:ascii="Arial" w:hAnsi="Arial" w:cs="Arial"/>
          <w:kern w:val="0"/>
          <w:sz w:val="28"/>
          <w:szCs w:val="28"/>
        </w:rPr>
        <w:t>有两家，作为新进入的竞争者我们现阶段只有跟紧对手</w:t>
      </w:r>
      <w:r>
        <w:rPr>
          <w:rFonts w:ascii="Arial" w:hAnsi="Arial" w:cs="Arial" w:hint="eastAsia"/>
          <w:kern w:val="0"/>
          <w:sz w:val="28"/>
          <w:szCs w:val="28"/>
        </w:rPr>
        <w:t>。</w:t>
      </w:r>
      <w:r>
        <w:rPr>
          <w:rFonts w:ascii="Arial" w:hAnsi="Arial" w:cs="Arial"/>
          <w:kern w:val="0"/>
          <w:sz w:val="28"/>
          <w:szCs w:val="28"/>
        </w:rPr>
        <w:t>我们提出了购</w:t>
      </w:r>
      <w:r>
        <w:rPr>
          <w:rFonts w:ascii="Arial" w:hAnsi="Arial" w:cs="Arial" w:hint="eastAsia"/>
          <w:kern w:val="0"/>
          <w:sz w:val="28"/>
          <w:szCs w:val="28"/>
        </w:rPr>
        <w:t>BMW</w:t>
      </w:r>
      <w:r>
        <w:rPr>
          <w:rFonts w:ascii="Arial" w:hAnsi="Arial" w:cs="Arial"/>
          <w:kern w:val="0"/>
          <w:sz w:val="28"/>
          <w:szCs w:val="28"/>
        </w:rPr>
        <w:t>的新选择推广口号，其目的在于引导消费者在购买</w:t>
      </w:r>
      <w:r>
        <w:rPr>
          <w:rFonts w:ascii="Arial" w:hAnsi="Arial" w:cs="Arial" w:hint="eastAsia"/>
          <w:kern w:val="0"/>
          <w:sz w:val="28"/>
          <w:szCs w:val="28"/>
        </w:rPr>
        <w:t>BMW</w:t>
      </w:r>
      <w:r>
        <w:rPr>
          <w:rFonts w:ascii="Arial" w:hAnsi="Arial" w:cs="Arial"/>
          <w:kern w:val="0"/>
          <w:sz w:val="28"/>
          <w:szCs w:val="28"/>
        </w:rPr>
        <w:t>车不是仅有的一家，从现在开始有了比较和选择。</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cs="Arial" w:hint="eastAsia"/>
          <w:b/>
          <w:kern w:val="0"/>
          <w:sz w:val="28"/>
          <w:szCs w:val="28"/>
        </w:rPr>
      </w:pPr>
      <w:r>
        <w:rPr>
          <w:rFonts w:ascii="Arial" w:hAnsi="Arial" w:cs="Arial" w:hint="eastAsia"/>
          <w:b/>
          <w:kern w:val="0"/>
          <w:sz w:val="28"/>
          <w:szCs w:val="28"/>
        </w:rPr>
        <w:t>2、树立</w:t>
      </w:r>
      <w:r>
        <w:rPr>
          <w:rFonts w:ascii="Arial" w:hAnsi="Arial" w:cs="Arial" w:hint="eastAsia"/>
          <w:b/>
          <w:kern w:val="0"/>
          <w:sz w:val="28"/>
          <w:szCs w:val="28"/>
          <w:lang w:eastAsia="zh-CN"/>
        </w:rPr>
        <w:t>相关项目</w:t>
      </w:r>
      <w:r>
        <w:rPr>
          <w:rFonts w:ascii="Arial" w:hAnsi="Arial" w:cs="Arial" w:hint="eastAsia"/>
          <w:b/>
          <w:kern w:val="0"/>
          <w:sz w:val="28"/>
          <w:szCs w:val="28"/>
        </w:rPr>
        <w:t>品牌形象</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560" w:firstLineChars="200"/>
        <w:jc w:val="left"/>
        <w:rPr>
          <w:rFonts w:ascii="Arial" w:hAnsi="Arial" w:cs="Arial" w:hint="eastAsia"/>
          <w:kern w:val="0"/>
          <w:sz w:val="28"/>
          <w:szCs w:val="28"/>
        </w:rPr>
      </w:pPr>
      <w:r>
        <w:rPr>
          <w:rFonts w:ascii="Arial" w:hAnsi="Arial" w:cs="Arial"/>
          <w:kern w:val="0"/>
          <w:sz w:val="28"/>
          <w:szCs w:val="28"/>
        </w:rPr>
        <w:t>品牌定位：人性化、专业化、标准化</w:t>
      </w:r>
      <w:r>
        <w:rPr>
          <w:rFonts w:ascii="Arial" w:hAnsi="Arial" w:cs="Arial" w:hint="eastAsia"/>
          <w:kern w:val="0"/>
          <w:sz w:val="28"/>
          <w:szCs w:val="28"/>
        </w:rPr>
        <w:t>。</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560" w:firstLineChars="200"/>
        <w:jc w:val="left"/>
        <w:rPr>
          <w:rFonts w:ascii="Arial" w:hAnsi="Arial" w:cs="Arial" w:hint="eastAsia"/>
          <w:kern w:val="0"/>
          <w:sz w:val="28"/>
          <w:szCs w:val="28"/>
        </w:rPr>
      </w:pPr>
      <w:r>
        <w:rPr>
          <w:rFonts w:ascii="Arial" w:hAnsi="Arial" w:cs="Arial"/>
          <w:kern w:val="0"/>
          <w:sz w:val="28"/>
          <w:szCs w:val="28"/>
        </w:rPr>
        <w:t>人性化就是我们必须建立以消费者为中心的服务思想，标准化就是我们制定标准的工艺流程，为客户提供标准化的服务，建立我们4S店的良好形象</w:t>
      </w:r>
      <w:r>
        <w:rPr>
          <w:rFonts w:ascii="Arial" w:hAnsi="Arial" w:cs="Arial" w:hint="eastAsia"/>
          <w:kern w:val="0"/>
          <w:sz w:val="28"/>
          <w:szCs w:val="28"/>
        </w:rPr>
        <w:t>。</w:t>
      </w:r>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cs="Arial" w:hint="eastAsia"/>
          <w:b/>
          <w:kern w:val="0"/>
          <w:sz w:val="28"/>
          <w:szCs w:val="28"/>
        </w:rPr>
      </w:pPr>
      <w:r>
        <w:rPr>
          <w:rFonts w:ascii="Arial" w:hAnsi="Arial" w:cs="Arial" w:hint="eastAsia"/>
          <w:b/>
          <w:kern w:val="0"/>
          <w:sz w:val="28"/>
          <w:szCs w:val="28"/>
        </w:rPr>
        <w:t>（三）市场推广</w:t>
      </w:r>
      <w:r>
        <w:rPr>
          <w:rFonts w:ascii="Arial" w:hAnsi="Arial" w:cs="Arial" w:hint="eastAsia"/>
          <w:b/>
          <w:kern w:val="0"/>
          <w:sz w:val="28"/>
          <w:szCs w:val="28"/>
        </w:rPr>
        <w:br/>
      </w:r>
      <w:r>
        <w:rPr>
          <w:rFonts w:ascii="Arial" w:hAnsi="Arial" w:cs="Arial" w:hint="eastAsia"/>
          <w:b/>
          <w:kern w:val="0"/>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 w:history="1">
        <w:r>
          <w:rPr>
            <w:rFonts w:ascii="SimSun" w:eastAsia="SimSun" w:hAnsi="SimSun" w:cs="SimSun"/>
            <w:b/>
            <w:bCs/>
            <w:color w:val="0000EE"/>
            <w:kern w:val="0"/>
            <w:sz w:val="30"/>
            <w:szCs w:val="30"/>
            <w:u w:val="single" w:color="0000EE"/>
          </w:rPr>
          <w:t>https://d.book118.com/508033015000006045</w:t>
        </w:r>
      </w:hyperlink>
    </w:p>
    <w:p>
      <w:pPr>
        <w:pStyle w:val="Norm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cs="Arial" w:hint="eastAsia"/>
          <w:b/>
          <w:kern w:val="0"/>
          <w:sz w:val="28"/>
          <w:szCs w:val="28"/>
        </w:rPr>
      </w:pPr>
    </w:p>
    <w:sectPr>
      <w:type w:val="nextPage"/>
      <w:pgSz w:w="11906" w:h="16838"/>
      <w:pgMar w:top="1440" w:right="1797" w:bottom="1440" w:left="1797" w:header="851" w:footer="992" w:gutter="0"/>
      <w:pgNumType w:start="18"/>
      <w:cols w:num="1" w:space="708"/>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8"/>
    <w:multiLevelType w:val="multilevel"/>
    <w:tmpl w:val="00000008"/>
    <w:lvl w:ilvl="0">
      <w:start w:val="1"/>
      <w:numFmt w:val="upperLetter"/>
      <w:lvlText w:val="%1、"/>
      <w:lvlJc w:val="left"/>
      <w:pPr>
        <w:tabs>
          <w:tab w:val="left" w:pos="1000"/>
        </w:tabs>
        <w:ind w:left="1000" w:hanging="720"/>
      </w:pPr>
      <w:rPr>
        <w:rFonts w:hint="default"/>
      </w:rPr>
    </w:lvl>
    <w:lvl w:ilvl="1">
      <w:start w:val="1"/>
      <w:numFmt w:val="lowerLetter"/>
      <w:lvlText w:val="%2)"/>
      <w:lvlJc w:val="left"/>
      <w:pPr>
        <w:tabs>
          <w:tab w:val="left" w:pos="1120"/>
        </w:tabs>
        <w:ind w:left="1120" w:hanging="420"/>
      </w:pPr>
    </w:lvl>
    <w:lvl w:ilvl="2">
      <w:start w:val="1"/>
      <w:numFmt w:val="lowerRoman"/>
      <w:lvlText w:val="%3."/>
      <w:lvlJc w:val="right"/>
      <w:pPr>
        <w:tabs>
          <w:tab w:val="left" w:pos="1540"/>
        </w:tabs>
        <w:ind w:left="1540" w:hanging="420"/>
      </w:pPr>
    </w:lvl>
    <w:lvl w:ilvl="3">
      <w:start w:val="1"/>
      <w:numFmt w:val="decimal"/>
      <w:lvlText w:val="%4."/>
      <w:lvlJc w:val="left"/>
      <w:pPr>
        <w:tabs>
          <w:tab w:val="left" w:pos="1960"/>
        </w:tabs>
        <w:ind w:left="1960" w:hanging="420"/>
      </w:pPr>
    </w:lvl>
    <w:lvl w:ilvl="4">
      <w:start w:val="1"/>
      <w:numFmt w:val="lowerLetter"/>
      <w:lvlText w:val="%5)"/>
      <w:lvlJc w:val="left"/>
      <w:pPr>
        <w:tabs>
          <w:tab w:val="left" w:pos="2380"/>
        </w:tabs>
        <w:ind w:left="2380" w:hanging="420"/>
      </w:pPr>
    </w:lvl>
    <w:lvl w:ilvl="5">
      <w:start w:val="1"/>
      <w:numFmt w:val="lowerRoman"/>
      <w:lvlText w:val="%6."/>
      <w:lvlJc w:val="right"/>
      <w:pPr>
        <w:tabs>
          <w:tab w:val="left" w:pos="2800"/>
        </w:tabs>
        <w:ind w:left="2800" w:hanging="420"/>
      </w:pPr>
    </w:lvl>
    <w:lvl w:ilvl="6">
      <w:start w:val="1"/>
      <w:numFmt w:val="decimal"/>
      <w:lvlText w:val="%7."/>
      <w:lvlJc w:val="left"/>
      <w:pPr>
        <w:tabs>
          <w:tab w:val="left" w:pos="3220"/>
        </w:tabs>
        <w:ind w:left="3220" w:hanging="420"/>
      </w:pPr>
    </w:lvl>
    <w:lvl w:ilvl="7">
      <w:start w:val="1"/>
      <w:numFmt w:val="lowerLetter"/>
      <w:lvlText w:val="%8)"/>
      <w:lvlJc w:val="left"/>
      <w:pPr>
        <w:tabs>
          <w:tab w:val="left" w:pos="3640"/>
        </w:tabs>
        <w:ind w:left="3640" w:hanging="420"/>
      </w:pPr>
    </w:lvl>
    <w:lvl w:ilvl="8">
      <w:start w:val="1"/>
      <w:numFmt w:val="lowerRoman"/>
      <w:lvlText w:val="%9."/>
      <w:lvlJc w:val="right"/>
      <w:pPr>
        <w:tabs>
          <w:tab w:val="left" w:pos="4060"/>
        </w:tabs>
        <w:ind w:left="4060" w:hanging="420"/>
      </w:pPr>
    </w:lvl>
  </w:abstractNum>
  <w:abstractNum w:abstractNumId="1">
    <w:nsid w:val="0000000B"/>
    <w:multiLevelType w:val="multilevel"/>
    <w:tmpl w:val="0000000B"/>
    <w:lvl w:ilvl="0">
      <w:start w:val="1"/>
      <w:numFmt w:val="bullet"/>
      <w:lvlText w:val=""/>
      <w:lvlJc w:val="left"/>
      <w:pPr>
        <w:tabs>
          <w:tab w:val="left" w:pos="980"/>
        </w:tabs>
        <w:ind w:left="980" w:hanging="420"/>
      </w:pPr>
      <w:rPr>
        <w:rFonts w:ascii="Wingdings" w:hAnsi="Wingdings" w:hint="default"/>
      </w:rPr>
    </w:lvl>
    <w:lvl w:ilvl="1">
      <w:start w:val="1"/>
      <w:numFmt w:val="bullet"/>
      <w:lvlText w:val=""/>
      <w:lvlJc w:val="left"/>
      <w:pPr>
        <w:tabs>
          <w:tab w:val="left" w:pos="1400"/>
        </w:tabs>
        <w:ind w:left="1400" w:hanging="420"/>
      </w:pPr>
      <w:rPr>
        <w:rFonts w:ascii="Wingdings" w:hAnsi="Wingdings" w:hint="default"/>
      </w:rPr>
    </w:lvl>
    <w:lvl w:ilvl="2">
      <w:start w:val="1"/>
      <w:numFmt w:val="bullet"/>
      <w:lvlText w:val=""/>
      <w:lvlJc w:val="left"/>
      <w:pPr>
        <w:tabs>
          <w:tab w:val="left" w:pos="1820"/>
        </w:tabs>
        <w:ind w:left="1820" w:hanging="420"/>
      </w:pPr>
      <w:rPr>
        <w:rFonts w:ascii="Wingdings" w:hAnsi="Wingdings" w:hint="default"/>
      </w:rPr>
    </w:lvl>
    <w:lvl w:ilvl="3">
      <w:start w:val="1"/>
      <w:numFmt w:val="bullet"/>
      <w:lvlText w:val=""/>
      <w:lvlJc w:val="left"/>
      <w:pPr>
        <w:tabs>
          <w:tab w:val="left" w:pos="2240"/>
        </w:tabs>
        <w:ind w:left="2240" w:hanging="420"/>
      </w:pPr>
      <w:rPr>
        <w:rFonts w:ascii="Wingdings" w:hAnsi="Wingdings" w:hint="default"/>
      </w:rPr>
    </w:lvl>
    <w:lvl w:ilvl="4">
      <w:start w:val="1"/>
      <w:numFmt w:val="bullet"/>
      <w:lvlText w:val=""/>
      <w:lvlJc w:val="left"/>
      <w:pPr>
        <w:tabs>
          <w:tab w:val="left" w:pos="2660"/>
        </w:tabs>
        <w:ind w:left="2660" w:hanging="420"/>
      </w:pPr>
      <w:rPr>
        <w:rFonts w:ascii="Wingdings" w:hAnsi="Wingdings" w:hint="default"/>
      </w:rPr>
    </w:lvl>
    <w:lvl w:ilvl="5">
      <w:start w:val="1"/>
      <w:numFmt w:val="bullet"/>
      <w:lvlText w:val=""/>
      <w:lvlJc w:val="left"/>
      <w:pPr>
        <w:tabs>
          <w:tab w:val="left" w:pos="3080"/>
        </w:tabs>
        <w:ind w:left="3080" w:hanging="420"/>
      </w:pPr>
      <w:rPr>
        <w:rFonts w:ascii="Wingdings" w:hAnsi="Wingdings" w:hint="default"/>
      </w:rPr>
    </w:lvl>
    <w:lvl w:ilvl="6">
      <w:start w:val="1"/>
      <w:numFmt w:val="bullet"/>
      <w:lvlText w:val=""/>
      <w:lvlJc w:val="left"/>
      <w:pPr>
        <w:tabs>
          <w:tab w:val="left" w:pos="3500"/>
        </w:tabs>
        <w:ind w:left="3500" w:hanging="420"/>
      </w:pPr>
      <w:rPr>
        <w:rFonts w:ascii="Wingdings" w:hAnsi="Wingdings" w:hint="default"/>
      </w:rPr>
    </w:lvl>
    <w:lvl w:ilvl="7">
      <w:start w:val="1"/>
      <w:numFmt w:val="bullet"/>
      <w:lvlText w:val=""/>
      <w:lvlJc w:val="left"/>
      <w:pPr>
        <w:tabs>
          <w:tab w:val="left" w:pos="3920"/>
        </w:tabs>
        <w:ind w:left="3920" w:hanging="420"/>
      </w:pPr>
      <w:rPr>
        <w:rFonts w:ascii="Wingdings" w:hAnsi="Wingdings" w:hint="default"/>
      </w:rPr>
    </w:lvl>
    <w:lvl w:ilvl="8">
      <w:start w:val="1"/>
      <w:numFmt w:val="bullet"/>
      <w:lvlText w:val=""/>
      <w:lvlJc w:val="left"/>
      <w:pPr>
        <w:tabs>
          <w:tab w:val="left" w:pos="4340"/>
        </w:tabs>
        <w:ind w:left="4340" w:hanging="420"/>
      </w:pPr>
      <w:rPr>
        <w:rFonts w:ascii="Wingdings" w:hAnsi="Wingdings" w:hint="default"/>
      </w:rPr>
    </w:lvl>
  </w:abstractNum>
  <w:abstractNum w:abstractNumId="2">
    <w:nsid w:val="0000000C"/>
    <w:multiLevelType w:val="multilevel"/>
    <w:tmpl w:val="0000000C"/>
    <w:lvl w:ilvl="0">
      <w:start w:val="1"/>
      <w:numFmt w:val="japaneseCounting"/>
      <w:lvlText w:val="第%1章"/>
      <w:lvlJc w:val="left"/>
      <w:pPr>
        <w:tabs>
          <w:tab w:val="left" w:pos="1260"/>
        </w:tabs>
        <w:ind w:left="1260" w:hanging="720"/>
      </w:pPr>
      <w:rPr>
        <w:rFonts w:ascii="宋体" w:eastAsia="宋体" w:hAnsi="宋体" w:cs="Times New Roman"/>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3">
    <w:nsid w:val="0000000D"/>
    <w:multiLevelType w:val="multilevel"/>
    <w:tmpl w:val="0000000D"/>
    <w:lvl w:ilvl="0">
      <w:start w:val="1"/>
      <w:numFmt w:val="bullet"/>
      <w:lvlText w:val=""/>
      <w:lvlJc w:val="left"/>
      <w:pPr>
        <w:tabs>
          <w:tab w:val="left" w:pos="1020"/>
        </w:tabs>
        <w:ind w:left="1020" w:hanging="420"/>
      </w:pPr>
      <w:rPr>
        <w:rFonts w:ascii="Wingdings" w:hAnsi="Wingdings" w:hint="default"/>
      </w:rPr>
    </w:lvl>
    <w:lvl w:ilvl="1">
      <w:start w:val="1"/>
      <w:numFmt w:val="bullet"/>
      <w:lvlText w:val=""/>
      <w:lvlJc w:val="left"/>
      <w:pPr>
        <w:tabs>
          <w:tab w:val="left" w:pos="1440"/>
        </w:tabs>
        <w:ind w:left="1440" w:hanging="420"/>
      </w:pPr>
      <w:rPr>
        <w:rFonts w:ascii="Wingdings" w:hAnsi="Wingdings" w:hint="default"/>
      </w:rPr>
    </w:lvl>
    <w:lvl w:ilvl="2">
      <w:start w:val="1"/>
      <w:numFmt w:val="bullet"/>
      <w:lvlText w:val=""/>
      <w:lvlJc w:val="left"/>
      <w:pPr>
        <w:tabs>
          <w:tab w:val="left" w:pos="1860"/>
        </w:tabs>
        <w:ind w:left="1860" w:hanging="420"/>
      </w:pPr>
      <w:rPr>
        <w:rFonts w:ascii="Wingdings" w:hAnsi="Wingdings" w:hint="default"/>
      </w:rPr>
    </w:lvl>
    <w:lvl w:ilvl="3">
      <w:start w:val="1"/>
      <w:numFmt w:val="bullet"/>
      <w:lvlText w:val=""/>
      <w:lvlJc w:val="left"/>
      <w:pPr>
        <w:tabs>
          <w:tab w:val="left" w:pos="2280"/>
        </w:tabs>
        <w:ind w:left="2280" w:hanging="420"/>
      </w:pPr>
      <w:rPr>
        <w:rFonts w:ascii="Wingdings" w:hAnsi="Wingdings" w:hint="default"/>
      </w:rPr>
    </w:lvl>
    <w:lvl w:ilvl="4">
      <w:start w:val="1"/>
      <w:numFmt w:val="bullet"/>
      <w:lvlText w:val=""/>
      <w:lvlJc w:val="left"/>
      <w:pPr>
        <w:tabs>
          <w:tab w:val="left" w:pos="2700"/>
        </w:tabs>
        <w:ind w:left="2700" w:hanging="420"/>
      </w:pPr>
      <w:rPr>
        <w:rFonts w:ascii="Wingdings" w:hAnsi="Wingdings" w:hint="default"/>
      </w:rPr>
    </w:lvl>
    <w:lvl w:ilvl="5">
      <w:start w:val="1"/>
      <w:numFmt w:val="bullet"/>
      <w:lvlText w:val=""/>
      <w:lvlJc w:val="left"/>
      <w:pPr>
        <w:tabs>
          <w:tab w:val="left" w:pos="3120"/>
        </w:tabs>
        <w:ind w:left="3120" w:hanging="420"/>
      </w:pPr>
      <w:rPr>
        <w:rFonts w:ascii="Wingdings" w:hAnsi="Wingdings" w:hint="default"/>
      </w:rPr>
    </w:lvl>
    <w:lvl w:ilvl="6">
      <w:start w:val="1"/>
      <w:numFmt w:val="bullet"/>
      <w:lvlText w:val=""/>
      <w:lvlJc w:val="left"/>
      <w:pPr>
        <w:tabs>
          <w:tab w:val="left" w:pos="3540"/>
        </w:tabs>
        <w:ind w:left="3540" w:hanging="420"/>
      </w:pPr>
      <w:rPr>
        <w:rFonts w:ascii="Wingdings" w:hAnsi="Wingdings" w:hint="default"/>
      </w:rPr>
    </w:lvl>
    <w:lvl w:ilvl="7">
      <w:start w:val="1"/>
      <w:numFmt w:val="bullet"/>
      <w:lvlText w:val=""/>
      <w:lvlJc w:val="left"/>
      <w:pPr>
        <w:tabs>
          <w:tab w:val="left" w:pos="3960"/>
        </w:tabs>
        <w:ind w:left="3960" w:hanging="420"/>
      </w:pPr>
      <w:rPr>
        <w:rFonts w:ascii="Wingdings" w:hAnsi="Wingdings" w:hint="default"/>
      </w:rPr>
    </w:lvl>
    <w:lvl w:ilvl="8">
      <w:start w:val="1"/>
      <w:numFmt w:val="bullet"/>
      <w:lvlText w:val=""/>
      <w:lvlJc w:val="left"/>
      <w:pPr>
        <w:tabs>
          <w:tab w:val="left" w:pos="4380"/>
        </w:tabs>
        <w:ind w:left="43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252B25"/>
    <w:rsid w:val="007D1BB9"/>
    <w:rsid w:val="00C1729B"/>
    <w:rsid w:val="00C3480A"/>
    <w:rsid w:val="00D16826"/>
    <w:rsid w:val="00E73211"/>
    <w:rsid w:val="00EF34AA"/>
    <w:rsid w:val="00FC25C7"/>
    <w:rsid w:val="1B775F20"/>
    <w:rsid w:val="25DA0988"/>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Indent">
    <w:name w:val="Body Text Indent"/>
    <w:basedOn w:val="Normal"/>
    <w:autoRedefine/>
    <w:qFormat/>
    <w:pPr>
      <w:spacing w:after="120"/>
      <w:ind w:left="420" w:leftChars="200"/>
    </w:pPr>
    <w:rPr>
      <w:rFonts w:ascii="Times New Roman" w:hAnsi="Times New Roman"/>
      <w:szCs w:val="24"/>
    </w:r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pPr>
      <w:widowControl/>
      <w:spacing w:before="100" w:beforeAutospacing="1" w:after="100" w:afterAutospacing="1"/>
      <w:jc w:val="left"/>
    </w:pPr>
    <w:rPr>
      <w:rFonts w:ascii="宋体" w:hAnsi="宋体"/>
      <w:kern w:val="0"/>
      <w:sz w:val="24"/>
      <w:szCs w:val="24"/>
    </w:rPr>
  </w:style>
  <w:style w:type="paragraph" w:styleId="Index1">
    <w:name w:val="index 1"/>
    <w:basedOn w:val="Normal"/>
    <w:next w:val="Normal0"/>
    <w:rPr>
      <w:rFonts w:ascii="Times New Roman" w:hAnsi="Times New Roman"/>
      <w:szCs w:val="24"/>
    </w:rPr>
  </w:style>
  <w:style w:type="paragraph" w:customStyle="1" w:styleId="Normal0">
    <w:name w:val="Normal_0"/>
    <w:qFormat/>
    <w:pPr>
      <w:widowControl w:val="0"/>
      <w:jc w:val="both"/>
    </w:pPr>
    <w:rPr>
      <w:rFonts w:ascii="Times New Roman" w:eastAsia="宋体" w:hAnsi="Times New Roman" w:cstheme="minorBidi"/>
      <w:kern w:val="2"/>
      <w:sz w:val="21"/>
      <w:szCs w:val="24"/>
      <w:lang w:val="en-US" w:eastAsia="zh-CN" w:bidi="ar-SA"/>
    </w:rPr>
  </w:style>
  <w:style w:type="character" w:styleId="PageNumber">
    <w:name w:val="page number"/>
    <w:basedOn w:val="DefaultParagraphFont"/>
  </w:style>
  <w:style w:type="character" w:styleId="Hyperlink">
    <w:name w:val="Hyperlink"/>
    <w:basedOn w:val="DefaultParagraphFont"/>
    <w:autoRedefine/>
    <w:qFormat/>
    <w:rPr>
      <w:color w:val="0268CD"/>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emf" /><Relationship Id="rId11" Type="http://schemas.openxmlformats.org/officeDocument/2006/relationships/hyperlink" Target="https://d.book118.com/508033015000006045"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www.hudong..\wiki\%E5%86%85%E8%92%99%E5%8F%A4" TargetMode="External" /><Relationship Id="rId6" Type="http://schemas.openxmlformats.org/officeDocument/2006/relationships/image" Target="media/image1.emf" /><Relationship Id="rId7" Type="http://schemas.openxmlformats.org/officeDocument/2006/relationships/image" Target="media/image2.emf" /><Relationship Id="rId8" Type="http://schemas.openxmlformats.org/officeDocument/2006/relationships/image" Target="media/image3.emf" /><Relationship Id="rId9" Type="http://schemas.openxmlformats.org/officeDocument/2006/relationships/image" Target="media/image4.e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26"/>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089"/>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38"/>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53"/>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8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576CE303168D4691A5B33BBC39445A64_12</vt:lpwstr>
  </property>
  <property fmtid="{D5CDD505-2E9C-101B-9397-08002B2CF9AE}" pid="3" name="KSOProductBuildVer">
    <vt:lpwstr>2052-12.1.0.16388</vt:lpwstr>
  </property>
</Properties>
</file>