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color w:val="auto"/>
          <w:sz w:val="36"/>
          <w:szCs w:val="36"/>
          <w:highlight w:val="none"/>
        </w:rPr>
      </w:pPr>
    </w:p>
    <w:p>
      <w:pPr>
        <w:rPr>
          <w:color w:val="auto"/>
          <w:sz w:val="36"/>
          <w:szCs w:val="36"/>
          <w:highlight w:val="none"/>
        </w:rPr>
      </w:pPr>
    </w:p>
    <w:p>
      <w:pPr>
        <w:rPr>
          <w:color w:val="auto"/>
          <w:sz w:val="36"/>
          <w:szCs w:val="36"/>
          <w:highlight w:val="none"/>
        </w:rPr>
      </w:pPr>
    </w:p>
    <w:p>
      <w:pPr>
        <w:adjustRightInd w:val="0"/>
        <w:snapToGrid w:val="0"/>
        <w:jc w:val="center"/>
        <w:outlineLvl w:val="0"/>
        <w:rPr>
          <w:bCs/>
          <w:color w:val="auto"/>
          <w:sz w:val="72"/>
          <w:szCs w:val="72"/>
          <w:highlight w:val="none"/>
        </w:rPr>
      </w:pPr>
      <w:r>
        <w:rPr>
          <w:bCs/>
          <w:color w:val="auto"/>
          <w:sz w:val="72"/>
          <w:szCs w:val="72"/>
          <w:highlight w:val="none"/>
        </w:rPr>
        <w:t>建设项目环境影响报告表</w:t>
      </w:r>
    </w:p>
    <w:p>
      <w:pPr>
        <w:adjustRightInd w:val="0"/>
        <w:snapToGrid w:val="0"/>
        <w:spacing w:before="192" w:beforeLines="80"/>
        <w:jc w:val="center"/>
        <w:rPr>
          <w:bCs/>
          <w:color w:val="auto"/>
          <w:sz w:val="48"/>
          <w:szCs w:val="48"/>
          <w:highlight w:val="none"/>
        </w:rPr>
      </w:pPr>
      <w:r>
        <w:rPr>
          <w:bCs/>
          <w:color w:val="auto"/>
          <w:sz w:val="48"/>
          <w:szCs w:val="48"/>
          <w:highlight w:val="none"/>
        </w:rPr>
        <w:t>（污染影响类）</w:t>
      </w:r>
    </w:p>
    <w:p>
      <w:pPr>
        <w:adjustRightInd w:val="0"/>
        <w:snapToGrid w:val="0"/>
        <w:spacing w:line="288" w:lineRule="auto"/>
        <w:jc w:val="center"/>
        <w:rPr>
          <w:color w:val="auto"/>
          <w:kern w:val="44"/>
          <w:sz w:val="44"/>
          <w:szCs w:val="44"/>
          <w:highlight w:val="none"/>
        </w:rPr>
      </w:pPr>
    </w:p>
    <w:p>
      <w:pPr>
        <w:jc w:val="center"/>
        <w:rPr>
          <w:color w:val="auto"/>
          <w:sz w:val="52"/>
          <w:szCs w:val="52"/>
          <w:highlight w:val="none"/>
        </w:rPr>
      </w:pPr>
    </w:p>
    <w:p>
      <w:pPr>
        <w:pStyle w:val="BodyTextFirstIndent2"/>
        <w:rPr>
          <w:rFonts w:eastAsia="宋体"/>
          <w:color w:val="auto"/>
          <w:sz w:val="52"/>
          <w:szCs w:val="52"/>
          <w:highlight w:val="none"/>
        </w:rPr>
      </w:pPr>
    </w:p>
    <w:p>
      <w:pPr>
        <w:rPr>
          <w:color w:val="auto"/>
          <w:highlight w:val="none"/>
        </w:rPr>
      </w:pPr>
    </w:p>
    <w:p>
      <w:pPr>
        <w:adjustRightInd w:val="0"/>
        <w:snapToGrid w:val="0"/>
        <w:spacing w:line="360" w:lineRule="auto"/>
        <w:ind w:left="2880" w:hanging="2880" w:hangingChars="800"/>
        <w:rPr>
          <w:color w:val="auto"/>
          <w:kern w:val="21"/>
          <w:sz w:val="36"/>
          <w:szCs w:val="36"/>
          <w:highlight w:val="none"/>
        </w:rPr>
      </w:pPr>
      <w:bookmarkStart w:id="0" w:name="_Hlk57884087"/>
    </w:p>
    <w:p>
      <w:pPr>
        <w:adjustRightInd w:val="0"/>
        <w:snapToGrid w:val="0"/>
        <w:spacing w:line="360" w:lineRule="auto"/>
        <w:ind w:left="2880" w:hanging="2880" w:hangingChars="800"/>
        <w:rPr>
          <w:color w:val="auto"/>
          <w:kern w:val="21"/>
          <w:sz w:val="36"/>
          <w:szCs w:val="36"/>
          <w:highlight w:val="none"/>
        </w:rPr>
      </w:pPr>
    </w:p>
    <w:p>
      <w:pPr>
        <w:adjustRightInd w:val="0"/>
        <w:snapToGrid w:val="0"/>
        <w:spacing w:line="360" w:lineRule="auto"/>
        <w:ind w:left="2880" w:hanging="2880" w:hangingChars="800"/>
        <w:rPr>
          <w:color w:val="auto"/>
          <w:kern w:val="21"/>
          <w:sz w:val="36"/>
          <w:szCs w:val="36"/>
          <w:highlight w:val="none"/>
        </w:rPr>
      </w:pPr>
    </w:p>
    <w:p>
      <w:pPr>
        <w:adjustRightInd w:val="0"/>
        <w:snapToGrid w:val="0"/>
        <w:spacing w:line="360" w:lineRule="auto"/>
        <w:ind w:left="2880" w:hanging="2880" w:hangingChars="800"/>
        <w:rPr>
          <w:rFonts w:hint="default"/>
          <w:color w:val="auto"/>
          <w:kern w:val="21"/>
          <w:sz w:val="36"/>
          <w:szCs w:val="36"/>
          <w:highlight w:val="none"/>
          <w:u w:val="single"/>
        </w:rPr>
      </w:pPr>
      <w:r>
        <w:rPr>
          <w:color w:val="auto"/>
          <w:kern w:val="21"/>
          <w:sz w:val="36"/>
          <w:szCs w:val="36"/>
          <w:highlight w:val="none"/>
        </w:rPr>
        <w:t>项目名称:</w:t>
      </w:r>
      <w:r>
        <w:rPr>
          <w:color w:val="auto"/>
          <w:highlight w:val="none"/>
          <w:u w:val="single"/>
        </w:rPr>
        <w:t xml:space="preserve">   </w:t>
      </w:r>
      <w:r>
        <w:rPr>
          <w:rFonts w:hint="eastAsia"/>
          <w:color w:val="auto"/>
          <w:kern w:val="21"/>
          <w:sz w:val="36"/>
          <w:szCs w:val="36"/>
          <w:highlight w:val="none"/>
          <w:u w:val="single"/>
        </w:rPr>
        <w:t>渭南市生活垃圾填埋场填埋气发电项目扩建</w:t>
      </w:r>
      <w:r>
        <w:rPr>
          <w:rFonts w:hint="eastAsia"/>
          <w:color w:val="auto"/>
          <w:kern w:val="21"/>
          <w:sz w:val="36"/>
          <w:szCs w:val="36"/>
          <w:highlight w:val="none"/>
          <w:u w:val="single"/>
          <w:lang w:val="en-US" w:eastAsia="zh-CN"/>
        </w:rPr>
        <w:t xml:space="preserve"> </w:t>
      </w:r>
    </w:p>
    <w:p>
      <w:pPr>
        <w:adjustRightInd w:val="0"/>
        <w:snapToGrid w:val="0"/>
        <w:spacing w:line="360" w:lineRule="auto"/>
        <w:ind w:left="3600" w:hanging="3600" w:hangingChars="1000"/>
        <w:rPr>
          <w:rFonts w:hint="default"/>
          <w:color w:val="auto"/>
          <w:kern w:val="21"/>
          <w:sz w:val="36"/>
          <w:szCs w:val="36"/>
          <w:highlight w:val="none"/>
          <w:u w:val="single"/>
        </w:rPr>
      </w:pPr>
      <w:r>
        <w:rPr>
          <w:color w:val="auto"/>
          <w:kern w:val="21"/>
          <w:sz w:val="36"/>
          <w:szCs w:val="36"/>
          <w:highlight w:val="none"/>
        </w:rPr>
        <w:t>建设单位（盖章）:</w:t>
      </w:r>
      <w:r>
        <w:rPr>
          <w:color w:val="auto"/>
          <w:kern w:val="21"/>
          <w:sz w:val="36"/>
          <w:szCs w:val="36"/>
          <w:highlight w:val="none"/>
          <w:u w:val="single"/>
        </w:rPr>
        <w:t xml:space="preserve"> </w:t>
      </w:r>
      <w:r>
        <w:rPr>
          <w:rFonts w:hint="eastAsia"/>
          <w:color w:val="auto"/>
          <w:kern w:val="21"/>
          <w:sz w:val="36"/>
          <w:szCs w:val="36"/>
          <w:highlight w:val="none"/>
          <w:u w:val="single"/>
          <w:lang w:val="en-US" w:eastAsia="zh-CN"/>
        </w:rPr>
        <w:t xml:space="preserve"> </w:t>
      </w:r>
      <w:r>
        <w:rPr>
          <w:rFonts w:hint="eastAsia"/>
          <w:color w:val="auto"/>
          <w:kern w:val="21"/>
          <w:sz w:val="36"/>
          <w:szCs w:val="36"/>
          <w:highlight w:val="none"/>
          <w:u w:val="single"/>
        </w:rPr>
        <w:t>渭南百川畅银新能源有限公司</w:t>
      </w:r>
      <w:r>
        <w:rPr>
          <w:rFonts w:hint="eastAsia"/>
          <w:color w:val="auto"/>
          <w:kern w:val="21"/>
          <w:sz w:val="36"/>
          <w:szCs w:val="36"/>
          <w:highlight w:val="none"/>
          <w:u w:val="single"/>
          <w:lang w:val="en-US" w:eastAsia="zh-CN"/>
        </w:rPr>
        <w:t xml:space="preserve"> </w:t>
      </w:r>
    </w:p>
    <w:p>
      <w:pPr>
        <w:adjustRightInd w:val="0"/>
        <w:snapToGrid w:val="0"/>
        <w:spacing w:line="360" w:lineRule="auto"/>
        <w:rPr>
          <w:color w:val="auto"/>
          <w:kern w:val="21"/>
          <w:sz w:val="36"/>
          <w:szCs w:val="36"/>
          <w:highlight w:val="none"/>
          <w:u w:val="single"/>
        </w:rPr>
      </w:pPr>
      <w:r>
        <w:rPr>
          <w:color w:val="auto"/>
          <w:kern w:val="21"/>
          <w:sz w:val="36"/>
          <w:szCs w:val="36"/>
          <w:highlight w:val="none"/>
        </w:rPr>
        <w:t>编</w:t>
      </w:r>
      <w:r>
        <w:rPr>
          <w:rFonts w:hint="eastAsia"/>
          <w:color w:val="auto"/>
          <w:kern w:val="21"/>
          <w:sz w:val="36"/>
          <w:szCs w:val="36"/>
          <w:highlight w:val="none"/>
          <w:lang w:val="en-US" w:eastAsia="zh-CN"/>
        </w:rPr>
        <w:t xml:space="preserve">   </w:t>
      </w:r>
      <w:r>
        <w:rPr>
          <w:color w:val="auto"/>
          <w:kern w:val="21"/>
          <w:sz w:val="36"/>
          <w:szCs w:val="36"/>
          <w:highlight w:val="none"/>
        </w:rPr>
        <w:t>制</w:t>
      </w:r>
      <w:r>
        <w:rPr>
          <w:rFonts w:hint="eastAsia"/>
          <w:color w:val="auto"/>
          <w:kern w:val="21"/>
          <w:sz w:val="36"/>
          <w:szCs w:val="36"/>
          <w:highlight w:val="none"/>
          <w:lang w:val="en-US" w:eastAsia="zh-CN"/>
        </w:rPr>
        <w:t xml:space="preserve">   </w:t>
      </w:r>
      <w:r>
        <w:rPr>
          <w:color w:val="auto"/>
          <w:kern w:val="21"/>
          <w:sz w:val="36"/>
          <w:szCs w:val="36"/>
          <w:highlight w:val="none"/>
        </w:rPr>
        <w:t>日</w:t>
      </w:r>
      <w:r>
        <w:rPr>
          <w:rFonts w:hint="eastAsia"/>
          <w:color w:val="auto"/>
          <w:kern w:val="21"/>
          <w:sz w:val="36"/>
          <w:szCs w:val="36"/>
          <w:highlight w:val="none"/>
          <w:lang w:val="en-US" w:eastAsia="zh-CN"/>
        </w:rPr>
        <w:t xml:space="preserve">  </w:t>
      </w:r>
      <w:r>
        <w:rPr>
          <w:color w:val="auto"/>
          <w:kern w:val="21"/>
          <w:sz w:val="36"/>
          <w:szCs w:val="36"/>
          <w:highlight w:val="none"/>
        </w:rPr>
        <w:t>期:</w:t>
      </w:r>
      <w:r>
        <w:rPr>
          <w:color w:val="auto"/>
          <w:kern w:val="21"/>
          <w:sz w:val="36"/>
          <w:szCs w:val="36"/>
          <w:highlight w:val="none"/>
          <w:u w:val="single"/>
        </w:rPr>
        <w:t xml:space="preserve">     </w:t>
      </w:r>
      <w:r>
        <w:rPr>
          <w:rFonts w:hint="eastAsia"/>
          <w:color w:val="auto"/>
          <w:kern w:val="21"/>
          <w:sz w:val="36"/>
          <w:szCs w:val="36"/>
          <w:highlight w:val="none"/>
          <w:u w:val="single"/>
          <w:lang w:val="en-US" w:eastAsia="zh-CN"/>
        </w:rPr>
        <w:t xml:space="preserve">   </w:t>
      </w:r>
      <w:r>
        <w:rPr>
          <w:color w:val="auto"/>
          <w:sz w:val="36"/>
          <w:szCs w:val="36"/>
          <w:highlight w:val="none"/>
          <w:u w:val="single"/>
        </w:rPr>
        <w:t>二零二</w:t>
      </w:r>
      <w:r>
        <w:rPr>
          <w:rFonts w:hint="eastAsia"/>
          <w:color w:val="auto"/>
          <w:sz w:val="36"/>
          <w:szCs w:val="36"/>
          <w:highlight w:val="none"/>
          <w:u w:val="single"/>
          <w:lang w:val="en-US" w:eastAsia="zh-CN"/>
        </w:rPr>
        <w:t>二</w:t>
      </w:r>
      <w:r>
        <w:rPr>
          <w:color w:val="auto"/>
          <w:sz w:val="36"/>
          <w:szCs w:val="36"/>
          <w:highlight w:val="none"/>
          <w:u w:val="single"/>
        </w:rPr>
        <w:t>年</w:t>
      </w:r>
      <w:r>
        <w:rPr>
          <w:rFonts w:hint="eastAsia"/>
          <w:color w:val="auto"/>
          <w:sz w:val="36"/>
          <w:szCs w:val="36"/>
          <w:highlight w:val="none"/>
          <w:u w:val="single"/>
          <w:lang w:val="en-US" w:eastAsia="zh-CN"/>
        </w:rPr>
        <w:t>七</w:t>
      </w:r>
      <w:r>
        <w:rPr>
          <w:color w:val="auto"/>
          <w:sz w:val="36"/>
          <w:szCs w:val="36"/>
          <w:highlight w:val="none"/>
          <w:u w:val="single"/>
        </w:rPr>
        <w:t>月</w:t>
      </w:r>
      <w:r>
        <w:rPr>
          <w:color w:val="auto"/>
          <w:kern w:val="21"/>
          <w:sz w:val="36"/>
          <w:szCs w:val="36"/>
          <w:highlight w:val="none"/>
          <w:u w:val="single"/>
        </w:rPr>
        <w:t xml:space="preserve"> </w:t>
      </w:r>
      <w:r>
        <w:rPr>
          <w:rFonts w:hint="eastAsia"/>
          <w:color w:val="auto"/>
          <w:kern w:val="21"/>
          <w:sz w:val="36"/>
          <w:szCs w:val="36"/>
          <w:highlight w:val="none"/>
          <w:u w:val="single"/>
          <w:lang w:val="en-US" w:eastAsia="zh-CN"/>
        </w:rPr>
        <w:t xml:space="preserve">  </w:t>
      </w:r>
      <w:r>
        <w:rPr>
          <w:color w:val="auto"/>
          <w:kern w:val="21"/>
          <w:sz w:val="36"/>
          <w:szCs w:val="36"/>
          <w:highlight w:val="none"/>
          <w:u w:val="single"/>
        </w:rPr>
        <w:t xml:space="preserve">      </w:t>
      </w:r>
    </w:p>
    <w:p>
      <w:pPr>
        <w:adjustRightInd w:val="0"/>
        <w:snapToGrid w:val="0"/>
        <w:spacing w:line="288" w:lineRule="auto"/>
        <w:jc w:val="center"/>
        <w:rPr>
          <w:color w:val="auto"/>
          <w:sz w:val="36"/>
          <w:szCs w:val="36"/>
          <w:highlight w:val="none"/>
        </w:rPr>
      </w:pPr>
      <w:bookmarkEnd w:id="0"/>
    </w:p>
    <w:p>
      <w:pPr>
        <w:adjustRightInd w:val="0"/>
        <w:snapToGrid w:val="0"/>
        <w:spacing w:line="288" w:lineRule="auto"/>
        <w:jc w:val="center"/>
        <w:rPr>
          <w:color w:val="auto"/>
          <w:sz w:val="36"/>
          <w:szCs w:val="36"/>
          <w:highlight w:val="none"/>
        </w:rPr>
      </w:pPr>
    </w:p>
    <w:p>
      <w:pPr>
        <w:adjustRightInd w:val="0"/>
        <w:snapToGrid w:val="0"/>
        <w:spacing w:line="288" w:lineRule="auto"/>
        <w:jc w:val="center"/>
        <w:rPr>
          <w:color w:val="auto"/>
          <w:sz w:val="36"/>
          <w:szCs w:val="36"/>
          <w:highlight w:val="none"/>
        </w:rPr>
      </w:pPr>
    </w:p>
    <w:p>
      <w:pPr>
        <w:adjustRightInd w:val="0"/>
        <w:snapToGrid w:val="0"/>
        <w:spacing w:line="288" w:lineRule="auto"/>
        <w:jc w:val="center"/>
        <w:rPr>
          <w:color w:val="auto"/>
          <w:sz w:val="36"/>
          <w:szCs w:val="36"/>
          <w:highlight w:val="none"/>
        </w:rPr>
      </w:pPr>
    </w:p>
    <w:p>
      <w:pPr>
        <w:adjustRightInd w:val="0"/>
        <w:snapToGrid w:val="0"/>
        <w:spacing w:line="288" w:lineRule="auto"/>
        <w:jc w:val="center"/>
        <w:rPr>
          <w:color w:val="auto"/>
          <w:sz w:val="36"/>
          <w:szCs w:val="36"/>
          <w:highlight w:val="none"/>
        </w:rPr>
      </w:pPr>
    </w:p>
    <w:p>
      <w:pPr>
        <w:adjustRightInd w:val="0"/>
        <w:snapToGrid w:val="0"/>
        <w:spacing w:line="288" w:lineRule="auto"/>
        <w:jc w:val="center"/>
        <w:rPr>
          <w:color w:val="auto"/>
          <w:sz w:val="36"/>
          <w:szCs w:val="36"/>
          <w:highlight w:val="none"/>
        </w:rPr>
      </w:pPr>
    </w:p>
    <w:p>
      <w:pPr>
        <w:adjustRightInd w:val="0"/>
        <w:snapToGrid w:val="0"/>
        <w:spacing w:line="288" w:lineRule="auto"/>
        <w:jc w:val="center"/>
        <w:rPr>
          <w:color w:val="auto"/>
          <w:sz w:val="36"/>
          <w:szCs w:val="36"/>
          <w:highlight w:val="none"/>
        </w:rPr>
      </w:pPr>
    </w:p>
    <w:p>
      <w:pPr>
        <w:adjustRightInd w:val="0"/>
        <w:snapToGrid w:val="0"/>
        <w:spacing w:line="288" w:lineRule="auto"/>
        <w:jc w:val="center"/>
        <w:rPr>
          <w:color w:val="auto"/>
          <w:sz w:val="36"/>
          <w:szCs w:val="36"/>
          <w:highlight w:val="none"/>
        </w:rPr>
      </w:pPr>
      <w:r>
        <w:rPr>
          <w:rFonts w:eastAsia="宋体" w:hint="eastAsia"/>
          <w:color w:val="auto"/>
          <w:sz w:val="36"/>
          <w:szCs w:val="36"/>
          <w:highlight w:val="none"/>
        </w:rPr>
        <w:t>中华人民共和国生态环境部制</w:t>
      </w:r>
    </w:p>
    <w:p>
      <w:pPr>
        <w:adjustRightInd w:val="0"/>
        <w:snapToGrid w:val="0"/>
        <w:spacing w:line="288" w:lineRule="auto"/>
        <w:ind w:firstLine="1040"/>
        <w:rPr>
          <w:color w:val="auto"/>
          <w:sz w:val="36"/>
          <w:szCs w:val="36"/>
          <w:highlight w:val="none"/>
        </w:rPr>
        <w:sectPr>
          <w:footerReference w:type="even" r:id="rId4"/>
          <w:footerReference w:type="default" r:id="rId5"/>
          <w:pgSz w:w="11906" w:h="16838" w:orient="portrait"/>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3"/>
          <w:cols w:space="708"/>
          <w:docGrid w:linePitch="312"/>
        </w:sectPr>
      </w:pPr>
    </w:p>
    <w:p>
      <w:pPr>
        <w:pStyle w:val="NormalWeb"/>
        <w:spacing w:before="0" w:beforeAutospacing="0" w:after="0" w:afterAutospacing="0" w:line="360" w:lineRule="auto"/>
        <w:jc w:val="center"/>
        <w:outlineLvl w:val="0"/>
        <w:rPr>
          <w:rFonts w:ascii="Times New Roman" w:hAnsi="Times New Roman"/>
          <w:snapToGrid w:val="0"/>
          <w:color w:val="auto"/>
          <w:sz w:val="30"/>
          <w:szCs w:val="30"/>
          <w:highlight w:val="none"/>
        </w:rPr>
      </w:pPr>
      <w:r>
        <w:rPr>
          <w:rFonts w:ascii="Times New Roman" w:hAnsi="Times New Roman"/>
          <w:snapToGrid w:val="0"/>
          <w:color w:val="auto"/>
          <w:sz w:val="30"/>
          <w:szCs w:val="30"/>
          <w:highlight w:val="none"/>
        </w:rPr>
        <w:t>一、建设项目基本情况</w:t>
      </w:r>
    </w:p>
    <w:tbl>
      <w:tblPr>
        <w:tblStyle w:val="TableNormal"/>
        <w:tblW w:w="907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1267"/>
        <w:gridCol w:w="2188"/>
        <w:gridCol w:w="2199"/>
        <w:gridCol w:w="3417"/>
      </w:tblGrid>
      <w:tr>
        <w:tblPrEx>
          <w:tblW w:w="907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54"/>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建设项目名称</w:t>
            </w:r>
          </w:p>
        </w:tc>
        <w:tc>
          <w:tcPr>
            <w:tcW w:w="7804" w:type="dxa"/>
            <w:gridSpan w:val="3"/>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渭南市生活垃圾填埋场填埋气发电项目扩建</w:t>
            </w:r>
          </w:p>
        </w:tc>
      </w:tr>
      <w:tr>
        <w:tblPrEx>
          <w:tblW w:w="9071" w:type="dxa"/>
          <w:tblLayout w:type="fixed"/>
          <w:tblCellMar>
            <w:top w:w="0" w:type="dxa"/>
            <w:left w:w="0" w:type="dxa"/>
            <w:bottom w:w="0" w:type="dxa"/>
            <w:right w:w="0" w:type="dxa"/>
          </w:tblCellMar>
          <w:tblLook w:val="0000"/>
        </w:tblPrEx>
        <w:trPr>
          <w:trHeight w:val="454"/>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项目代码</w:t>
            </w:r>
          </w:p>
        </w:tc>
        <w:tc>
          <w:tcPr>
            <w:tcW w:w="7804" w:type="dxa"/>
            <w:gridSpan w:val="3"/>
            <w:vAlign w:val="center"/>
          </w:tcPr>
          <w:p>
            <w:pPr>
              <w:adjustRightInd w:val="0"/>
              <w:snapToGrid w:val="0"/>
              <w:spacing w:after="0"/>
              <w:jc w:val="center"/>
              <w:rPr>
                <w:rFonts w:hint="default"/>
                <w:color w:val="auto"/>
                <w:szCs w:val="21"/>
                <w:highlight w:val="none"/>
              </w:rPr>
            </w:pPr>
            <w:r>
              <w:rPr>
                <w:rFonts w:cs="Times New Roman" w:hint="eastAsia"/>
                <w:color w:val="auto"/>
                <w:szCs w:val="18"/>
                <w:highlight w:val="none"/>
                <w:lang w:val="en-US" w:eastAsia="zh-CN"/>
              </w:rPr>
              <w:t>2207-610502-04-05-151899</w:t>
            </w:r>
          </w:p>
        </w:tc>
      </w:tr>
      <w:tr>
        <w:tblPrEx>
          <w:tblW w:w="9071" w:type="dxa"/>
          <w:tblLayout w:type="fixed"/>
          <w:tblCellMar>
            <w:top w:w="0" w:type="dxa"/>
            <w:left w:w="0" w:type="dxa"/>
            <w:bottom w:w="0" w:type="dxa"/>
            <w:right w:w="0" w:type="dxa"/>
          </w:tblCellMar>
          <w:tblLook w:val="0000"/>
        </w:tblPrEx>
        <w:trPr>
          <w:trHeight w:val="454"/>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建设单位联系人</w:t>
            </w:r>
          </w:p>
        </w:tc>
        <w:tc>
          <w:tcPr>
            <w:tcW w:w="2188" w:type="dxa"/>
            <w:vAlign w:val="center"/>
          </w:tcPr>
          <w:p>
            <w:pPr>
              <w:adjustRightInd w:val="0"/>
              <w:snapToGrid w:val="0"/>
              <w:spacing w:after="0"/>
              <w:jc w:val="center"/>
              <w:rPr>
                <w:rFonts w:hint="default"/>
                <w:color w:val="auto"/>
                <w:szCs w:val="21"/>
                <w:highlight w:val="none"/>
              </w:rPr>
            </w:pPr>
          </w:p>
        </w:tc>
        <w:tc>
          <w:tcPr>
            <w:tcW w:w="2199" w:type="dxa"/>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联系方式</w:t>
            </w:r>
          </w:p>
        </w:tc>
        <w:tc>
          <w:tcPr>
            <w:tcW w:w="3417" w:type="dxa"/>
            <w:vAlign w:val="center"/>
          </w:tcPr>
          <w:p>
            <w:pPr>
              <w:adjustRightInd w:val="0"/>
              <w:snapToGrid w:val="0"/>
              <w:spacing w:after="0"/>
              <w:jc w:val="center"/>
              <w:rPr>
                <w:rFonts w:hint="default"/>
                <w:color w:val="auto"/>
                <w:kern w:val="0"/>
                <w:szCs w:val="21"/>
                <w:highlight w:val="none"/>
              </w:rPr>
            </w:pPr>
          </w:p>
        </w:tc>
      </w:tr>
      <w:tr>
        <w:tblPrEx>
          <w:tblW w:w="9071" w:type="dxa"/>
          <w:tblLayout w:type="fixed"/>
          <w:tblCellMar>
            <w:top w:w="0" w:type="dxa"/>
            <w:left w:w="0" w:type="dxa"/>
            <w:bottom w:w="0" w:type="dxa"/>
            <w:right w:w="0" w:type="dxa"/>
          </w:tblCellMar>
          <w:tblLook w:val="0000"/>
        </w:tblPrEx>
        <w:trPr>
          <w:trHeight w:val="454"/>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建设地点</w:t>
            </w:r>
          </w:p>
        </w:tc>
        <w:tc>
          <w:tcPr>
            <w:tcW w:w="7804" w:type="dxa"/>
            <w:gridSpan w:val="3"/>
            <w:vAlign w:val="center"/>
          </w:tcPr>
          <w:p>
            <w:pPr>
              <w:adjustRightInd w:val="0"/>
              <w:snapToGrid w:val="0"/>
              <w:spacing w:after="0"/>
              <w:jc w:val="center"/>
              <w:rPr>
                <w:rFonts w:hint="default"/>
                <w:color w:val="auto"/>
                <w:szCs w:val="21"/>
                <w:highlight w:val="none"/>
              </w:rPr>
            </w:pPr>
            <w:r>
              <w:rPr>
                <w:rStyle w:val="font61"/>
                <w:rFonts w:ascii="Times New Roman" w:hAnsi="Times New Roman" w:cs="Times New Roman" w:hint="default"/>
                <w:color w:val="auto"/>
                <w:sz w:val="21"/>
                <w:szCs w:val="21"/>
                <w:highlight w:val="none"/>
                <w:lang w:val="en-US" w:eastAsia="zh-CN" w:bidi="ar"/>
              </w:rPr>
              <w:t>渭南市临渭区马家沟生活垃圾填埋场垃圾电站院内</w:t>
            </w:r>
          </w:p>
        </w:tc>
      </w:tr>
      <w:tr>
        <w:tblPrEx>
          <w:tblW w:w="9071" w:type="dxa"/>
          <w:tblLayout w:type="fixed"/>
          <w:tblCellMar>
            <w:top w:w="0" w:type="dxa"/>
            <w:left w:w="0" w:type="dxa"/>
            <w:bottom w:w="0" w:type="dxa"/>
            <w:right w:w="0" w:type="dxa"/>
          </w:tblCellMar>
          <w:tblLook w:val="0000"/>
        </w:tblPrEx>
        <w:trPr>
          <w:trHeight w:val="454"/>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地理坐标</w:t>
            </w:r>
          </w:p>
        </w:tc>
        <w:tc>
          <w:tcPr>
            <w:tcW w:w="7804" w:type="dxa"/>
            <w:gridSpan w:val="3"/>
            <w:vAlign w:val="center"/>
          </w:tcPr>
          <w:p>
            <w:pPr>
              <w:spacing w:after="0"/>
              <w:jc w:val="center"/>
              <w:rPr>
                <w:rFonts w:hint="default"/>
                <w:color w:val="auto"/>
                <w:szCs w:val="21"/>
                <w:highlight w:val="none"/>
              </w:rPr>
            </w:pPr>
            <w:r>
              <w:rPr>
                <w:rFonts w:ascii="Times New Roman" w:eastAsia="宋体" w:hAnsi="Times New Roman" w:cs="Times New Roman" w:hint="default"/>
                <w:color w:val="auto"/>
                <w:szCs w:val="21"/>
                <w:highlight w:val="none"/>
                <w:u w:val="single"/>
              </w:rPr>
              <w:t>10</w:t>
            </w:r>
            <w:r>
              <w:rPr>
                <w:rFonts w:cs="Times New Roman" w:hint="eastAsia"/>
                <w:color w:val="auto"/>
                <w:szCs w:val="21"/>
                <w:highlight w:val="none"/>
                <w:u w:val="single"/>
                <w:lang w:val="en-US" w:eastAsia="zh-CN"/>
              </w:rPr>
              <w:t>9</w:t>
            </w:r>
            <w:r>
              <w:rPr>
                <w:rFonts w:ascii="Times New Roman" w:eastAsia="宋体" w:hAnsi="Times New Roman" w:cs="Times New Roman" w:hint="default"/>
                <w:color w:val="auto"/>
                <w:szCs w:val="21"/>
                <w:highlight w:val="none"/>
              </w:rPr>
              <w:t>度</w:t>
            </w:r>
            <w:r>
              <w:rPr>
                <w:rFonts w:ascii="Times New Roman" w:eastAsia="宋体" w:hAnsi="Times New Roman" w:cs="Times New Roman" w:hint="default"/>
                <w:color w:val="auto"/>
                <w:szCs w:val="21"/>
                <w:highlight w:val="none"/>
                <w:u w:val="single"/>
              </w:rPr>
              <w:t>3</w:t>
            </w:r>
            <w:r>
              <w:rPr>
                <w:rFonts w:cs="Times New Roman" w:hint="eastAsia"/>
                <w:color w:val="auto"/>
                <w:szCs w:val="21"/>
                <w:highlight w:val="none"/>
                <w:u w:val="single"/>
                <w:lang w:val="en-US" w:eastAsia="zh-CN"/>
              </w:rPr>
              <w:t>4</w:t>
            </w:r>
            <w:r>
              <w:rPr>
                <w:rFonts w:ascii="Times New Roman" w:eastAsia="宋体" w:hAnsi="Times New Roman" w:cs="Times New Roman" w:hint="default"/>
                <w:color w:val="auto"/>
                <w:szCs w:val="21"/>
                <w:highlight w:val="none"/>
              </w:rPr>
              <w:t>分</w:t>
            </w:r>
            <w:r>
              <w:rPr>
                <w:rFonts w:cs="Times New Roman" w:hint="eastAsia"/>
                <w:color w:val="auto"/>
                <w:szCs w:val="21"/>
                <w:highlight w:val="none"/>
                <w:u w:val="single"/>
                <w:lang w:val="en-US" w:eastAsia="zh-CN"/>
              </w:rPr>
              <w:t>3.800</w:t>
            </w:r>
            <w:r>
              <w:rPr>
                <w:rFonts w:ascii="Times New Roman" w:eastAsia="宋体" w:hAnsi="Times New Roman" w:cs="Times New Roman" w:hint="default"/>
                <w:color w:val="auto"/>
                <w:szCs w:val="21"/>
                <w:highlight w:val="none"/>
              </w:rPr>
              <w:t>秒，</w:t>
            </w:r>
            <w:r>
              <w:rPr>
                <w:rFonts w:ascii="Times New Roman" w:eastAsia="宋体" w:hAnsi="Times New Roman" w:cs="Times New Roman" w:hint="default"/>
                <w:color w:val="auto"/>
                <w:szCs w:val="21"/>
                <w:highlight w:val="none"/>
                <w:u w:val="single"/>
              </w:rPr>
              <w:t>34</w:t>
            </w:r>
            <w:r>
              <w:rPr>
                <w:rFonts w:ascii="Times New Roman" w:eastAsia="宋体" w:hAnsi="Times New Roman" w:cs="Times New Roman" w:hint="default"/>
                <w:color w:val="auto"/>
                <w:szCs w:val="21"/>
                <w:highlight w:val="none"/>
              </w:rPr>
              <w:t>度</w:t>
            </w:r>
            <w:r>
              <w:rPr>
                <w:rFonts w:cs="Times New Roman" w:hint="eastAsia"/>
                <w:color w:val="auto"/>
                <w:szCs w:val="21"/>
                <w:highlight w:val="none"/>
                <w:u w:val="single"/>
                <w:lang w:val="en-US" w:eastAsia="zh-CN"/>
              </w:rPr>
              <w:t>29</w:t>
            </w:r>
            <w:r>
              <w:rPr>
                <w:rFonts w:ascii="Times New Roman" w:eastAsia="宋体" w:hAnsi="Times New Roman" w:cs="Times New Roman" w:hint="default"/>
                <w:color w:val="auto"/>
                <w:szCs w:val="21"/>
                <w:highlight w:val="none"/>
              </w:rPr>
              <w:t>分</w:t>
            </w:r>
            <w:r>
              <w:rPr>
                <w:rFonts w:cs="Times New Roman" w:hint="eastAsia"/>
                <w:color w:val="auto"/>
                <w:szCs w:val="21"/>
                <w:highlight w:val="none"/>
                <w:u w:val="single"/>
                <w:lang w:val="en-US" w:eastAsia="zh-CN"/>
              </w:rPr>
              <w:t>2.810</w:t>
            </w:r>
            <w:r>
              <w:rPr>
                <w:rFonts w:ascii="Times New Roman" w:eastAsia="宋体" w:hAnsi="Times New Roman" w:cs="Times New Roman" w:hint="default"/>
                <w:color w:val="auto"/>
                <w:szCs w:val="21"/>
                <w:highlight w:val="none"/>
              </w:rPr>
              <w:t>秒</w:t>
            </w:r>
          </w:p>
        </w:tc>
      </w:tr>
      <w:tr>
        <w:tblPrEx>
          <w:tblW w:w="9071" w:type="dxa"/>
          <w:tblLayout w:type="fixed"/>
          <w:tblCellMar>
            <w:top w:w="0" w:type="dxa"/>
            <w:left w:w="0" w:type="dxa"/>
            <w:bottom w:w="0" w:type="dxa"/>
            <w:right w:w="0" w:type="dxa"/>
          </w:tblCellMar>
          <w:tblLook w:val="0000"/>
        </w:tblPrEx>
        <w:trPr>
          <w:trHeight w:val="625"/>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国民经济</w:t>
            </w:r>
          </w:p>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行业类别</w:t>
            </w:r>
          </w:p>
        </w:tc>
        <w:tc>
          <w:tcPr>
            <w:tcW w:w="2188" w:type="dxa"/>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 w:val="24"/>
                <w:highlight w:val="none"/>
              </w:rPr>
              <w:t xml:space="preserve"> </w:t>
            </w:r>
            <w:r>
              <w:rPr>
                <w:rFonts w:cs="Times New Roman" w:hint="eastAsia"/>
                <w:color w:val="auto"/>
                <w:szCs w:val="21"/>
                <w:highlight w:val="none"/>
                <w:lang w:val="en-US" w:eastAsia="zh-CN"/>
              </w:rPr>
              <w:t>D4417 生物质能发电</w:t>
            </w:r>
          </w:p>
        </w:tc>
        <w:tc>
          <w:tcPr>
            <w:tcW w:w="2199" w:type="dxa"/>
            <w:vAlign w:val="center"/>
          </w:tcPr>
          <w:p>
            <w:pPr>
              <w:adjustRightInd w:val="0"/>
              <w:snapToGrid w:val="0"/>
              <w:spacing w:after="0"/>
              <w:jc w:val="center"/>
              <w:rPr>
                <w:rFonts w:hint="default"/>
                <w:color w:val="auto"/>
                <w:szCs w:val="21"/>
                <w:highlight w:val="none"/>
              </w:rPr>
            </w:pPr>
            <w:bookmarkStart w:id="1" w:name="_Hlk49843745"/>
            <w:r>
              <w:rPr>
                <w:rFonts w:ascii="Times New Roman" w:eastAsia="宋体" w:hAnsi="Times New Roman" w:cs="Times New Roman" w:hint="default"/>
                <w:color w:val="auto"/>
                <w:szCs w:val="21"/>
                <w:highlight w:val="none"/>
              </w:rPr>
              <w:t>建设项目</w:t>
            </w:r>
          </w:p>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行业类别</w:t>
            </w:r>
            <w:bookmarkEnd w:id="1"/>
          </w:p>
        </w:tc>
        <w:tc>
          <w:tcPr>
            <w:tcW w:w="3417" w:type="dxa"/>
            <w:vAlign w:val="center"/>
          </w:tcPr>
          <w:p>
            <w:pPr>
              <w:adjustRightInd w:val="0"/>
              <w:snapToGrid w:val="0"/>
              <w:spacing w:after="0"/>
              <w:jc w:val="center"/>
              <w:rPr>
                <w:rFonts w:hint="eastAsia"/>
                <w:color w:val="auto"/>
                <w:szCs w:val="21"/>
                <w:highlight w:val="none"/>
              </w:rPr>
            </w:pPr>
            <w:r>
              <w:rPr>
                <w:rFonts w:ascii="Times New Roman" w:eastAsia="宋体" w:hAnsi="Times New Roman" w:cs="Times New Roman" w:hint="default"/>
                <w:color w:val="auto"/>
                <w:kern w:val="0"/>
                <w:szCs w:val="21"/>
                <w:highlight w:val="none"/>
              </w:rPr>
              <w:t>四十一、电力、热力生产和供应业</w:t>
            </w:r>
            <w:r>
              <w:rPr>
                <w:rFonts w:cs="Times New Roman" w:hint="eastAsia"/>
                <w:color w:val="auto"/>
                <w:kern w:val="0"/>
                <w:szCs w:val="21"/>
                <w:highlight w:val="none"/>
                <w:lang w:eastAsia="zh-CN"/>
              </w:rPr>
              <w:t>，</w:t>
            </w:r>
            <w:r>
              <w:rPr>
                <w:rFonts w:ascii="Times New Roman" w:eastAsia="宋体" w:hAnsi="Times New Roman" w:cs="Times New Roman" w:hint="default"/>
                <w:color w:val="auto"/>
                <w:kern w:val="0"/>
                <w:szCs w:val="21"/>
                <w:highlight w:val="none"/>
              </w:rPr>
              <w:t>生物质能发电4417</w:t>
            </w:r>
            <w:r>
              <w:rPr>
                <w:rFonts w:cs="Times New Roman" w:hint="eastAsia"/>
                <w:color w:val="auto"/>
                <w:kern w:val="0"/>
                <w:szCs w:val="21"/>
                <w:highlight w:val="none"/>
                <w:lang w:eastAsia="zh-CN"/>
              </w:rPr>
              <w:t>，利用农林生物质、沼气、垃圾填埋气发电的</w:t>
            </w:r>
          </w:p>
        </w:tc>
      </w:tr>
      <w:tr>
        <w:tblPrEx>
          <w:tblW w:w="9071" w:type="dxa"/>
          <w:tblLayout w:type="fixed"/>
          <w:tblCellMar>
            <w:top w:w="0" w:type="dxa"/>
            <w:left w:w="0" w:type="dxa"/>
            <w:bottom w:w="0" w:type="dxa"/>
            <w:right w:w="0" w:type="dxa"/>
          </w:tblCellMar>
          <w:tblLook w:val="0000"/>
        </w:tblPrEx>
        <w:trPr>
          <w:trHeight w:val="1200"/>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建设性质</w:t>
            </w:r>
          </w:p>
        </w:tc>
        <w:tc>
          <w:tcPr>
            <w:tcW w:w="2188" w:type="dxa"/>
            <w:vAlign w:val="center"/>
          </w:tcPr>
          <w:p>
            <w:pPr>
              <w:spacing w:after="0"/>
              <w:jc w:val="left"/>
              <w:rPr>
                <w:rFonts w:hint="default"/>
                <w:color w:val="auto"/>
                <w:szCs w:val="21"/>
                <w:highlight w:val="none"/>
              </w:rPr>
            </w:pPr>
            <w:r>
              <w:rPr>
                <w:rFonts w:ascii="宋体" w:eastAsia="宋体" w:hAnsi="宋体" w:hint="eastAsia"/>
                <w:color w:val="auto"/>
                <w:sz w:val="21"/>
                <w:szCs w:val="21"/>
                <w:highlight w:val="none"/>
              </w:rPr>
              <w:t>□</w:t>
            </w:r>
            <w:r>
              <w:rPr>
                <w:rFonts w:ascii="Times New Roman" w:eastAsia="宋体" w:hAnsi="Times New Roman" w:cs="Times New Roman" w:hint="default"/>
                <w:color w:val="auto"/>
                <w:szCs w:val="21"/>
                <w:highlight w:val="none"/>
              </w:rPr>
              <w:t>新建（迁建）</w:t>
            </w:r>
          </w:p>
          <w:p>
            <w:pPr>
              <w:spacing w:after="0"/>
              <w:jc w:val="left"/>
              <w:rPr>
                <w:rFonts w:hint="default"/>
                <w:color w:val="auto"/>
                <w:szCs w:val="21"/>
                <w:highlight w:val="none"/>
              </w:rPr>
            </w:pPr>
            <w:r>
              <w:rPr>
                <w:rFonts w:ascii="宋体" w:eastAsia="宋体" w:hAnsi="宋体" w:hint="eastAsia"/>
                <w:color w:val="auto"/>
                <w:sz w:val="21"/>
                <w:szCs w:val="21"/>
                <w:highlight w:val="none"/>
              </w:rPr>
              <w:t>□</w:t>
            </w:r>
            <w:r>
              <w:rPr>
                <w:rFonts w:ascii="Times New Roman" w:eastAsia="宋体" w:hAnsi="Times New Roman" w:cs="Times New Roman" w:hint="default"/>
                <w:color w:val="auto"/>
                <w:szCs w:val="21"/>
                <w:highlight w:val="none"/>
              </w:rPr>
              <w:t>改建</w:t>
            </w:r>
          </w:p>
          <w:p>
            <w:pPr>
              <w:spacing w:after="0"/>
              <w:jc w:val="left"/>
              <w:rPr>
                <w:rFonts w:hint="default"/>
                <w:color w:val="auto"/>
                <w:szCs w:val="21"/>
                <w:highlight w:val="none"/>
              </w:rPr>
            </w:pPr>
            <w:r>
              <w:rPr>
                <w:rFonts w:ascii="宋体" w:eastAsia="宋体" w:hAnsi="宋体" w:hint="eastAsia"/>
                <w:color w:val="auto"/>
                <w:sz w:val="21"/>
                <w:szCs w:val="21"/>
                <w:highlight w:val="none"/>
                <w:lang w:eastAsia="zh-CN"/>
              </w:rPr>
              <w:t>☑</w:t>
            </w:r>
            <w:r>
              <w:rPr>
                <w:rFonts w:ascii="Times New Roman" w:eastAsia="宋体" w:hAnsi="Times New Roman" w:cs="Times New Roman" w:hint="default"/>
                <w:color w:val="auto"/>
                <w:szCs w:val="21"/>
                <w:highlight w:val="none"/>
              </w:rPr>
              <w:t>扩建</w:t>
            </w:r>
          </w:p>
          <w:p>
            <w:pPr>
              <w:spacing w:after="0"/>
              <w:jc w:val="left"/>
              <w:rPr>
                <w:rFonts w:hint="default"/>
                <w:color w:val="auto"/>
                <w:szCs w:val="21"/>
                <w:highlight w:val="none"/>
              </w:rPr>
            </w:pPr>
            <w:r>
              <w:rPr>
                <w:rFonts w:ascii="宋体" w:eastAsia="宋体" w:hAnsi="宋体" w:hint="eastAsia"/>
                <w:color w:val="auto"/>
                <w:sz w:val="21"/>
                <w:szCs w:val="21"/>
                <w:highlight w:val="none"/>
              </w:rPr>
              <w:t>□</w:t>
            </w:r>
            <w:r>
              <w:rPr>
                <w:rFonts w:ascii="Times New Roman" w:eastAsia="宋体" w:hAnsi="Times New Roman" w:cs="Times New Roman" w:hint="default"/>
                <w:color w:val="auto"/>
                <w:szCs w:val="21"/>
                <w:highlight w:val="none"/>
              </w:rPr>
              <w:t>技术改造</w:t>
            </w:r>
          </w:p>
        </w:tc>
        <w:tc>
          <w:tcPr>
            <w:tcW w:w="2199" w:type="dxa"/>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建设项目</w:t>
            </w:r>
          </w:p>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申报情形</w:t>
            </w:r>
          </w:p>
        </w:tc>
        <w:tc>
          <w:tcPr>
            <w:tcW w:w="3417" w:type="dxa"/>
            <w:vAlign w:val="center"/>
          </w:tcPr>
          <w:p>
            <w:pPr>
              <w:spacing w:after="0"/>
              <w:jc w:val="left"/>
              <w:rPr>
                <w:rFonts w:hint="default"/>
                <w:color w:val="auto"/>
                <w:szCs w:val="21"/>
                <w:highlight w:val="none"/>
              </w:rPr>
            </w:pPr>
            <w:r>
              <w:rPr>
                <w:rFonts w:ascii="宋体" w:eastAsia="宋体" w:hAnsi="宋体" w:hint="eastAsia"/>
                <w:color w:val="auto"/>
                <w:sz w:val="21"/>
                <w:szCs w:val="21"/>
                <w:highlight w:val="none"/>
                <w:lang w:eastAsia="zh-CN"/>
              </w:rPr>
              <w:t>☑</w:t>
            </w:r>
            <w:r>
              <w:rPr>
                <w:rFonts w:ascii="Times New Roman" w:eastAsia="宋体" w:hAnsi="Times New Roman" w:cs="Times New Roman" w:hint="default"/>
                <w:color w:val="auto"/>
                <w:szCs w:val="21"/>
                <w:highlight w:val="none"/>
              </w:rPr>
              <w:t xml:space="preserve">首次申报项目             </w:t>
            </w:r>
          </w:p>
          <w:p>
            <w:pPr>
              <w:spacing w:after="0"/>
              <w:jc w:val="left"/>
              <w:rPr>
                <w:rFonts w:hint="default"/>
                <w:color w:val="auto"/>
                <w:szCs w:val="21"/>
                <w:highlight w:val="none"/>
              </w:rPr>
            </w:pPr>
            <w:r>
              <w:rPr>
                <w:rFonts w:ascii="宋体" w:eastAsia="宋体" w:hAnsi="宋体" w:hint="eastAsia"/>
                <w:color w:val="auto"/>
                <w:sz w:val="21"/>
                <w:szCs w:val="21"/>
                <w:highlight w:val="none"/>
              </w:rPr>
              <w:t>□</w:t>
            </w:r>
            <w:r>
              <w:rPr>
                <w:rFonts w:ascii="Times New Roman" w:eastAsia="宋体" w:hAnsi="Times New Roman" w:cs="Times New Roman" w:hint="default"/>
                <w:color w:val="auto"/>
                <w:szCs w:val="21"/>
                <w:highlight w:val="none"/>
              </w:rPr>
              <w:t>不予批准后再次申报项目</w:t>
            </w:r>
          </w:p>
          <w:p>
            <w:pPr>
              <w:spacing w:after="0"/>
              <w:jc w:val="left"/>
              <w:rPr>
                <w:rFonts w:hint="default"/>
                <w:color w:val="auto"/>
                <w:szCs w:val="21"/>
                <w:highlight w:val="none"/>
              </w:rPr>
            </w:pPr>
            <w:r>
              <w:rPr>
                <w:rFonts w:ascii="宋体" w:eastAsia="宋体" w:hAnsi="宋体" w:hint="eastAsia"/>
                <w:color w:val="auto"/>
                <w:sz w:val="21"/>
                <w:szCs w:val="21"/>
                <w:highlight w:val="none"/>
              </w:rPr>
              <w:t>□</w:t>
            </w:r>
            <w:r>
              <w:rPr>
                <w:rFonts w:ascii="Times New Roman" w:eastAsia="宋体" w:hAnsi="Times New Roman" w:cs="Times New Roman" w:hint="default"/>
                <w:color w:val="auto"/>
                <w:szCs w:val="21"/>
                <w:highlight w:val="none"/>
              </w:rPr>
              <w:t xml:space="preserve">超五年重新审核项目     </w:t>
            </w:r>
          </w:p>
          <w:p>
            <w:pPr>
              <w:spacing w:after="0"/>
              <w:jc w:val="left"/>
              <w:rPr>
                <w:rFonts w:hint="default"/>
                <w:color w:val="auto"/>
                <w:szCs w:val="21"/>
                <w:highlight w:val="none"/>
              </w:rPr>
            </w:pPr>
            <w:r>
              <w:rPr>
                <w:rFonts w:ascii="宋体" w:eastAsia="宋体" w:hAnsi="宋体" w:hint="eastAsia"/>
                <w:color w:val="auto"/>
                <w:sz w:val="21"/>
                <w:szCs w:val="21"/>
                <w:highlight w:val="none"/>
              </w:rPr>
              <w:t>□</w:t>
            </w:r>
            <w:r>
              <w:rPr>
                <w:rFonts w:ascii="Times New Roman" w:eastAsia="宋体" w:hAnsi="Times New Roman" w:cs="Times New Roman" w:hint="default"/>
                <w:color w:val="auto"/>
                <w:szCs w:val="21"/>
                <w:highlight w:val="none"/>
              </w:rPr>
              <w:t>重大变动重新报批项目</w:t>
            </w:r>
          </w:p>
        </w:tc>
      </w:tr>
      <w:tr>
        <w:tblPrEx>
          <w:tblW w:w="9071" w:type="dxa"/>
          <w:tblLayout w:type="fixed"/>
          <w:tblCellMar>
            <w:top w:w="0" w:type="dxa"/>
            <w:left w:w="0" w:type="dxa"/>
            <w:bottom w:w="0" w:type="dxa"/>
            <w:right w:w="0" w:type="dxa"/>
          </w:tblCellMar>
          <w:tblLook w:val="0000"/>
        </w:tblPrEx>
        <w:trPr>
          <w:trHeight w:val="949"/>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项目审批（核准/备案）部门（选填）</w:t>
            </w:r>
          </w:p>
        </w:tc>
        <w:tc>
          <w:tcPr>
            <w:tcW w:w="2188" w:type="dxa"/>
            <w:vAlign w:val="center"/>
          </w:tcPr>
          <w:p>
            <w:pPr>
              <w:adjustRightInd w:val="0"/>
              <w:snapToGrid w:val="0"/>
              <w:spacing w:after="0"/>
              <w:jc w:val="center"/>
              <w:rPr>
                <w:rFonts w:hint="default"/>
                <w:color w:val="auto"/>
                <w:szCs w:val="21"/>
                <w:highlight w:val="none"/>
              </w:rPr>
            </w:pPr>
            <w:r>
              <w:rPr>
                <w:rFonts w:cs="Times New Roman" w:hint="eastAsia"/>
                <w:color w:val="auto"/>
                <w:szCs w:val="21"/>
                <w:highlight w:val="none"/>
                <w:lang w:val="en-US" w:eastAsia="zh-CN"/>
              </w:rPr>
              <w:t>临渭区经济发展局</w:t>
            </w:r>
          </w:p>
        </w:tc>
        <w:tc>
          <w:tcPr>
            <w:tcW w:w="2199" w:type="dxa"/>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项目审批（核准/</w:t>
            </w:r>
          </w:p>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备案）文号（选填）</w:t>
            </w:r>
          </w:p>
        </w:tc>
        <w:tc>
          <w:tcPr>
            <w:tcW w:w="3417" w:type="dxa"/>
            <w:vAlign w:val="center"/>
          </w:tcPr>
          <w:p>
            <w:pPr>
              <w:adjustRightInd w:val="0"/>
              <w:snapToGrid w:val="0"/>
              <w:spacing w:after="0"/>
              <w:jc w:val="center"/>
              <w:rPr>
                <w:rFonts w:hint="eastAsia"/>
                <w:color w:val="auto"/>
                <w:szCs w:val="21"/>
                <w:highlight w:val="none"/>
              </w:rPr>
            </w:pPr>
            <w:r>
              <w:rPr>
                <w:rFonts w:cs="Times New Roman" w:hint="eastAsia"/>
                <w:color w:val="auto"/>
                <w:szCs w:val="21"/>
                <w:highlight w:val="none"/>
                <w:lang w:val="en-US" w:eastAsia="zh-CN"/>
              </w:rPr>
              <w:t>/</w:t>
            </w:r>
          </w:p>
        </w:tc>
      </w:tr>
      <w:tr>
        <w:tblPrEx>
          <w:tblW w:w="9071" w:type="dxa"/>
          <w:tblLayout w:type="fixed"/>
          <w:tblCellMar>
            <w:top w:w="0" w:type="dxa"/>
            <w:left w:w="0" w:type="dxa"/>
            <w:bottom w:w="0" w:type="dxa"/>
            <w:right w:w="0" w:type="dxa"/>
          </w:tblCellMar>
          <w:tblLook w:val="0000"/>
        </w:tblPrEx>
        <w:trPr>
          <w:trHeight w:val="454"/>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总投资（万元）</w:t>
            </w:r>
          </w:p>
        </w:tc>
        <w:tc>
          <w:tcPr>
            <w:tcW w:w="2188" w:type="dxa"/>
            <w:vAlign w:val="center"/>
          </w:tcPr>
          <w:p>
            <w:pPr>
              <w:adjustRightInd w:val="0"/>
              <w:snapToGrid w:val="0"/>
              <w:spacing w:after="0"/>
              <w:jc w:val="center"/>
              <w:rPr>
                <w:rFonts w:hint="default"/>
                <w:color w:val="auto"/>
                <w:szCs w:val="21"/>
                <w:highlight w:val="none"/>
              </w:rPr>
            </w:pPr>
            <w:r>
              <w:rPr>
                <w:rFonts w:cs="Times New Roman" w:hint="eastAsia"/>
                <w:color w:val="auto"/>
                <w:szCs w:val="21"/>
                <w:highlight w:val="none"/>
                <w:lang w:val="en-US" w:eastAsia="zh-CN"/>
              </w:rPr>
              <w:t>665</w:t>
            </w:r>
          </w:p>
        </w:tc>
        <w:tc>
          <w:tcPr>
            <w:tcW w:w="2199"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环保投资（万元）</w:t>
            </w:r>
          </w:p>
        </w:tc>
        <w:tc>
          <w:tcPr>
            <w:tcW w:w="3417" w:type="dxa"/>
            <w:vAlign w:val="center"/>
          </w:tcPr>
          <w:p>
            <w:pPr>
              <w:adjustRightInd w:val="0"/>
              <w:snapToGrid w:val="0"/>
              <w:spacing w:after="0"/>
              <w:jc w:val="center"/>
              <w:rPr>
                <w:rFonts w:hint="default"/>
                <w:color w:val="auto"/>
                <w:szCs w:val="21"/>
                <w:highlight w:val="none"/>
              </w:rPr>
            </w:pPr>
            <w:r>
              <w:rPr>
                <w:rFonts w:cs="Times New Roman" w:hint="eastAsia"/>
                <w:color w:val="auto"/>
                <w:szCs w:val="21"/>
                <w:highlight w:val="none"/>
                <w:lang w:val="en-US" w:eastAsia="zh-CN"/>
              </w:rPr>
              <w:t>50</w:t>
            </w:r>
          </w:p>
        </w:tc>
      </w:tr>
      <w:tr>
        <w:tblPrEx>
          <w:tblW w:w="9071" w:type="dxa"/>
          <w:tblLayout w:type="fixed"/>
          <w:tblCellMar>
            <w:top w:w="0" w:type="dxa"/>
            <w:left w:w="0" w:type="dxa"/>
            <w:bottom w:w="0" w:type="dxa"/>
            <w:right w:w="0" w:type="dxa"/>
          </w:tblCellMar>
          <w:tblLook w:val="0000"/>
        </w:tblPrEx>
        <w:trPr>
          <w:trHeight w:val="454"/>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环保投资占比（%）</w:t>
            </w:r>
          </w:p>
        </w:tc>
        <w:tc>
          <w:tcPr>
            <w:tcW w:w="2188" w:type="dxa"/>
            <w:vAlign w:val="center"/>
          </w:tcPr>
          <w:p>
            <w:pPr>
              <w:adjustRightInd w:val="0"/>
              <w:snapToGrid w:val="0"/>
              <w:spacing w:after="0"/>
              <w:jc w:val="center"/>
              <w:rPr>
                <w:rFonts w:hint="default"/>
                <w:color w:val="auto"/>
                <w:szCs w:val="21"/>
                <w:highlight w:val="none"/>
              </w:rPr>
            </w:pPr>
            <w:r>
              <w:rPr>
                <w:rFonts w:cs="Times New Roman" w:hint="eastAsia"/>
                <w:color w:val="auto"/>
                <w:szCs w:val="21"/>
                <w:highlight w:val="none"/>
                <w:lang w:val="en-US" w:eastAsia="zh-CN"/>
              </w:rPr>
              <w:t>7.52</w:t>
            </w:r>
          </w:p>
        </w:tc>
        <w:tc>
          <w:tcPr>
            <w:tcW w:w="2199"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施工工期</w:t>
            </w:r>
          </w:p>
        </w:tc>
        <w:tc>
          <w:tcPr>
            <w:tcW w:w="3417" w:type="dxa"/>
            <w:vAlign w:val="center"/>
          </w:tcPr>
          <w:p>
            <w:pPr>
              <w:adjustRightInd w:val="0"/>
              <w:snapToGrid w:val="0"/>
              <w:spacing w:after="0"/>
              <w:jc w:val="center"/>
              <w:rPr>
                <w:rFonts w:hint="default"/>
                <w:color w:val="auto"/>
                <w:szCs w:val="21"/>
                <w:highlight w:val="none"/>
              </w:rPr>
            </w:pPr>
            <w:r>
              <w:rPr>
                <w:rFonts w:cs="Times New Roman" w:hint="eastAsia"/>
                <w:color w:val="auto"/>
                <w:szCs w:val="21"/>
                <w:highlight w:val="none"/>
                <w:lang w:val="en-US" w:eastAsia="zh-CN"/>
              </w:rPr>
              <w:t>2</w:t>
            </w:r>
            <w:r>
              <w:rPr>
                <w:rFonts w:ascii="Times New Roman" w:eastAsia="宋体" w:hAnsi="Times New Roman" w:cs="Times New Roman" w:hint="default"/>
                <w:color w:val="auto"/>
                <w:szCs w:val="21"/>
                <w:highlight w:val="none"/>
              </w:rPr>
              <w:t>个月</w:t>
            </w:r>
          </w:p>
        </w:tc>
      </w:tr>
      <w:tr>
        <w:tblPrEx>
          <w:tblW w:w="9071" w:type="dxa"/>
          <w:tblLayout w:type="fixed"/>
          <w:tblCellMar>
            <w:top w:w="0" w:type="dxa"/>
            <w:left w:w="0" w:type="dxa"/>
            <w:bottom w:w="0" w:type="dxa"/>
            <w:right w:w="0" w:type="dxa"/>
          </w:tblCellMar>
          <w:tblLook w:val="0000"/>
        </w:tblPrEx>
        <w:trPr>
          <w:trHeight w:val="454"/>
        </w:trPr>
        <w:tc>
          <w:tcPr>
            <w:tcW w:w="1267" w:type="dxa"/>
            <w:tcMar>
              <w:top w:w="16" w:type="dxa"/>
              <w:left w:w="16" w:type="dxa"/>
              <w:right w:w="16" w:type="dxa"/>
            </w:tcMar>
            <w:vAlign w:val="center"/>
          </w:tcPr>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zCs w:val="21"/>
                <w:highlight w:val="none"/>
              </w:rPr>
              <w:t>是否开工建设</w:t>
            </w:r>
          </w:p>
        </w:tc>
        <w:tc>
          <w:tcPr>
            <w:tcW w:w="2188" w:type="dxa"/>
            <w:vAlign w:val="center"/>
          </w:tcPr>
          <w:p>
            <w:pPr>
              <w:adjustRightInd w:val="0"/>
              <w:snapToGrid w:val="0"/>
              <w:spacing w:after="0"/>
              <w:rPr>
                <w:rFonts w:hint="default"/>
                <w:color w:val="auto"/>
                <w:szCs w:val="21"/>
                <w:highlight w:val="none"/>
              </w:rPr>
            </w:pPr>
            <w:r>
              <w:rPr>
                <w:rFonts w:ascii="宋体" w:eastAsia="宋体" w:hAnsi="宋体" w:hint="eastAsia"/>
                <w:color w:val="auto"/>
                <w:sz w:val="21"/>
                <w:szCs w:val="21"/>
                <w:highlight w:val="none"/>
                <w:lang w:eastAsia="zh-CN"/>
              </w:rPr>
              <w:t>☑</w:t>
            </w:r>
            <w:r>
              <w:rPr>
                <w:rFonts w:ascii="Times New Roman" w:eastAsia="宋体" w:hAnsi="Times New Roman" w:cs="Times New Roman" w:hint="default"/>
                <w:color w:val="auto"/>
                <w:szCs w:val="21"/>
                <w:highlight w:val="none"/>
              </w:rPr>
              <w:t>否</w:t>
            </w:r>
          </w:p>
          <w:p>
            <w:pPr>
              <w:adjustRightInd w:val="0"/>
              <w:snapToGrid w:val="0"/>
              <w:spacing w:after="0"/>
              <w:rPr>
                <w:rFonts w:hint="default"/>
                <w:color w:val="auto"/>
                <w:szCs w:val="21"/>
                <w:highlight w:val="none"/>
              </w:rPr>
            </w:pPr>
            <w:r>
              <w:rPr>
                <w:rFonts w:ascii="宋体" w:eastAsia="宋体" w:hAnsi="宋体" w:hint="eastAsia"/>
                <w:color w:val="auto"/>
                <w:sz w:val="21"/>
                <w:szCs w:val="21"/>
                <w:highlight w:val="none"/>
              </w:rPr>
              <w:t>□</w:t>
            </w:r>
            <w:r>
              <w:rPr>
                <w:rFonts w:ascii="Times New Roman" w:eastAsia="宋体" w:hAnsi="Times New Roman" w:cs="Times New Roman" w:hint="default"/>
                <w:color w:val="auto"/>
                <w:szCs w:val="21"/>
                <w:highlight w:val="none"/>
              </w:rPr>
              <w:t>是：</w:t>
            </w:r>
            <w:r>
              <w:rPr>
                <w:rFonts w:ascii="Times New Roman" w:eastAsia="宋体" w:hAnsi="Times New Roman" w:cs="Times New Roman" w:hint="default"/>
                <w:color w:val="auto"/>
                <w:szCs w:val="21"/>
                <w:highlight w:val="none"/>
                <w:u w:val="single"/>
              </w:rPr>
              <w:t xml:space="preserve">            </w:t>
            </w:r>
          </w:p>
        </w:tc>
        <w:tc>
          <w:tcPr>
            <w:tcW w:w="2199" w:type="dxa"/>
            <w:tcMar>
              <w:top w:w="16" w:type="dxa"/>
              <w:left w:w="16" w:type="dxa"/>
              <w:right w:w="16" w:type="dxa"/>
            </w:tcMar>
            <w:vAlign w:val="center"/>
          </w:tcPr>
          <w:p>
            <w:pPr>
              <w:adjustRightInd w:val="0"/>
              <w:snapToGrid w:val="0"/>
              <w:spacing w:after="0"/>
              <w:jc w:val="center"/>
              <w:rPr>
                <w:rFonts w:hint="default"/>
                <w:color w:val="auto"/>
                <w:spacing w:val="-6"/>
                <w:szCs w:val="21"/>
                <w:highlight w:val="none"/>
              </w:rPr>
            </w:pPr>
            <w:r>
              <w:rPr>
                <w:rFonts w:ascii="Times New Roman" w:eastAsia="宋体" w:hAnsi="Times New Roman" w:cs="Times New Roman" w:hint="default"/>
                <w:color w:val="auto"/>
                <w:spacing w:val="-6"/>
                <w:szCs w:val="21"/>
                <w:highlight w:val="none"/>
              </w:rPr>
              <w:t>用地（用海）</w:t>
            </w:r>
          </w:p>
          <w:p>
            <w:pPr>
              <w:adjustRightInd w:val="0"/>
              <w:snapToGrid w:val="0"/>
              <w:spacing w:after="0"/>
              <w:jc w:val="center"/>
              <w:rPr>
                <w:rFonts w:hint="default"/>
                <w:color w:val="auto"/>
                <w:szCs w:val="21"/>
                <w:highlight w:val="none"/>
              </w:rPr>
            </w:pPr>
            <w:r>
              <w:rPr>
                <w:rFonts w:ascii="Times New Roman" w:eastAsia="宋体" w:hAnsi="Times New Roman" w:cs="Times New Roman" w:hint="default"/>
                <w:color w:val="auto"/>
                <w:spacing w:val="-6"/>
                <w:szCs w:val="21"/>
                <w:highlight w:val="none"/>
              </w:rPr>
              <w:t>面积（m</w:t>
            </w:r>
            <w:r>
              <w:rPr>
                <w:rFonts w:ascii="Times New Roman" w:eastAsia="宋体" w:hAnsi="Times New Roman" w:cs="Times New Roman" w:hint="default"/>
                <w:color w:val="auto"/>
                <w:spacing w:val="-6"/>
                <w:szCs w:val="21"/>
                <w:highlight w:val="none"/>
                <w:vertAlign w:val="superscript"/>
              </w:rPr>
              <w:t>2</w:t>
            </w:r>
            <w:r>
              <w:rPr>
                <w:rFonts w:ascii="Times New Roman" w:eastAsia="宋体" w:hAnsi="Times New Roman" w:cs="Times New Roman" w:hint="default"/>
                <w:color w:val="auto"/>
                <w:spacing w:val="-6"/>
                <w:szCs w:val="21"/>
                <w:highlight w:val="none"/>
              </w:rPr>
              <w:t>）</w:t>
            </w:r>
          </w:p>
        </w:tc>
        <w:tc>
          <w:tcPr>
            <w:tcW w:w="3417" w:type="dxa"/>
            <w:vAlign w:val="center"/>
          </w:tcPr>
          <w:p>
            <w:pPr>
              <w:adjustRightInd w:val="0"/>
              <w:snapToGrid w:val="0"/>
              <w:spacing w:after="0"/>
              <w:jc w:val="center"/>
              <w:rPr>
                <w:rFonts w:hint="default"/>
                <w:color w:val="auto"/>
                <w:szCs w:val="21"/>
                <w:highlight w:val="none"/>
              </w:rPr>
            </w:pPr>
            <w:r>
              <w:rPr>
                <w:rFonts w:cs="Times New Roman" w:hint="eastAsia"/>
                <w:color w:val="auto"/>
                <w:szCs w:val="21"/>
                <w:highlight w:val="none"/>
                <w:lang w:val="en-US" w:eastAsia="zh-CN"/>
              </w:rPr>
              <w:t>无新增用地</w:t>
            </w:r>
          </w:p>
        </w:tc>
      </w:tr>
      <w:tr>
        <w:tblPrEx>
          <w:tblW w:w="9071" w:type="dxa"/>
          <w:tblLayout w:type="fixed"/>
          <w:tblCellMar>
            <w:top w:w="0" w:type="dxa"/>
            <w:left w:w="108" w:type="dxa"/>
            <w:bottom w:w="0" w:type="dxa"/>
            <w:right w:w="108" w:type="dxa"/>
          </w:tblCellMar>
          <w:tblLook w:val="0000"/>
        </w:tblPrEx>
        <w:trPr>
          <w:trHeight w:val="804"/>
        </w:trPr>
        <w:tc>
          <w:tcPr>
            <w:tcW w:w="1267" w:type="dxa"/>
            <w:vAlign w:val="center"/>
          </w:tcPr>
          <w:p>
            <w:pPr>
              <w:autoSpaceDE w:val="0"/>
              <w:autoSpaceDN w:val="0"/>
              <w:adjustRightInd w:val="0"/>
              <w:snapToGrid w:val="0"/>
              <w:spacing w:after="0"/>
              <w:jc w:val="center"/>
              <w:rPr>
                <w:rFonts w:hint="default"/>
                <w:color w:val="auto"/>
                <w:kern w:val="0"/>
                <w:szCs w:val="21"/>
                <w:highlight w:val="none"/>
              </w:rPr>
            </w:pPr>
            <w:r>
              <w:rPr>
                <w:rFonts w:ascii="Times New Roman" w:eastAsia="宋体" w:hAnsi="Times New Roman" w:cs="Times New Roman" w:hint="default"/>
                <w:color w:val="auto"/>
                <w:kern w:val="0"/>
                <w:szCs w:val="21"/>
                <w:highlight w:val="none"/>
              </w:rPr>
              <w:t>专项评价设置情况</w:t>
            </w:r>
          </w:p>
        </w:tc>
        <w:tc>
          <w:tcPr>
            <w:tcW w:w="7804" w:type="dxa"/>
            <w:gridSpan w:val="3"/>
            <w:vAlign w:val="center"/>
          </w:tcPr>
          <w:p>
            <w:pPr>
              <w:autoSpaceDE w:val="0"/>
              <w:autoSpaceDN w:val="0"/>
              <w:adjustRightInd w:val="0"/>
              <w:snapToGrid w:val="0"/>
              <w:spacing w:after="0"/>
              <w:jc w:val="center"/>
              <w:rPr>
                <w:rFonts w:hint="default"/>
                <w:color w:val="auto"/>
                <w:kern w:val="0"/>
                <w:szCs w:val="21"/>
                <w:highlight w:val="none"/>
              </w:rPr>
            </w:pPr>
            <w:r>
              <w:rPr>
                <w:rFonts w:ascii="Times New Roman" w:eastAsia="宋体" w:hAnsi="Times New Roman" w:cs="Times New Roman" w:hint="default"/>
                <w:color w:val="auto"/>
                <w:kern w:val="0"/>
                <w:szCs w:val="21"/>
                <w:highlight w:val="none"/>
              </w:rPr>
              <w:t>无</w:t>
            </w:r>
          </w:p>
        </w:tc>
      </w:tr>
      <w:tr>
        <w:tblPrEx>
          <w:tblW w:w="9071" w:type="dxa"/>
          <w:tblLayout w:type="fixed"/>
          <w:tblCellMar>
            <w:top w:w="0" w:type="dxa"/>
            <w:left w:w="108" w:type="dxa"/>
            <w:bottom w:w="0" w:type="dxa"/>
            <w:right w:w="108" w:type="dxa"/>
          </w:tblCellMar>
          <w:tblLook w:val="0000"/>
        </w:tblPrEx>
        <w:trPr>
          <w:trHeight w:val="822"/>
        </w:trPr>
        <w:tc>
          <w:tcPr>
            <w:tcW w:w="1267" w:type="dxa"/>
            <w:vAlign w:val="center"/>
          </w:tcPr>
          <w:p>
            <w:pPr>
              <w:autoSpaceDE w:val="0"/>
              <w:autoSpaceDN w:val="0"/>
              <w:adjustRightInd w:val="0"/>
              <w:snapToGrid w:val="0"/>
              <w:spacing w:after="0"/>
              <w:jc w:val="center"/>
              <w:rPr>
                <w:rFonts w:hint="default"/>
                <w:color w:val="auto"/>
                <w:kern w:val="0"/>
                <w:szCs w:val="21"/>
                <w:highlight w:val="none"/>
              </w:rPr>
            </w:pPr>
            <w:r>
              <w:rPr>
                <w:rFonts w:ascii="Times New Roman" w:eastAsia="宋体" w:hAnsi="Times New Roman" w:cs="Times New Roman" w:hint="default"/>
                <w:color w:val="auto"/>
                <w:szCs w:val="21"/>
                <w:highlight w:val="none"/>
              </w:rPr>
              <w:t>规划情况</w:t>
            </w:r>
          </w:p>
        </w:tc>
        <w:tc>
          <w:tcPr>
            <w:tcW w:w="7804" w:type="dxa"/>
            <w:gridSpan w:val="3"/>
            <w:vAlign w:val="center"/>
          </w:tcPr>
          <w:p>
            <w:pPr>
              <w:autoSpaceDE w:val="0"/>
              <w:autoSpaceDN w:val="0"/>
              <w:adjustRightInd w:val="0"/>
              <w:snapToGrid w:val="0"/>
              <w:spacing w:after="0"/>
              <w:jc w:val="center"/>
              <w:rPr>
                <w:rFonts w:hint="eastAsia"/>
                <w:color w:val="auto"/>
                <w:kern w:val="0"/>
                <w:szCs w:val="21"/>
                <w:highlight w:val="none"/>
              </w:rPr>
            </w:pPr>
            <w:r>
              <w:rPr>
                <w:rFonts w:cs="Times New Roman" w:hint="eastAsia"/>
                <w:color w:val="auto"/>
                <w:kern w:val="0"/>
                <w:sz w:val="21"/>
                <w:szCs w:val="21"/>
                <w:highlight w:val="none"/>
                <w:lang w:val="en-US" w:eastAsia="zh-CN"/>
              </w:rPr>
              <w:t>无</w:t>
            </w:r>
          </w:p>
        </w:tc>
      </w:tr>
      <w:tr>
        <w:tblPrEx>
          <w:tblW w:w="9071" w:type="dxa"/>
          <w:tblLayout w:type="fixed"/>
          <w:tblCellMar>
            <w:top w:w="0" w:type="dxa"/>
            <w:left w:w="108" w:type="dxa"/>
            <w:bottom w:w="0" w:type="dxa"/>
            <w:right w:w="108" w:type="dxa"/>
          </w:tblCellMar>
          <w:tblLook w:val="0000"/>
        </w:tblPrEx>
        <w:trPr>
          <w:trHeight w:val="954"/>
        </w:trPr>
        <w:tc>
          <w:tcPr>
            <w:tcW w:w="1267" w:type="dxa"/>
            <w:vAlign w:val="center"/>
          </w:tcPr>
          <w:p>
            <w:pPr>
              <w:adjustRightInd w:val="0"/>
              <w:snapToGrid w:val="0"/>
              <w:spacing w:after="0"/>
              <w:jc w:val="center"/>
              <w:rPr>
                <w:rFonts w:hint="default"/>
                <w:color w:val="auto"/>
                <w:kern w:val="0"/>
                <w:szCs w:val="21"/>
                <w:highlight w:val="none"/>
              </w:rPr>
            </w:pPr>
            <w:r>
              <w:rPr>
                <w:rFonts w:ascii="Times New Roman" w:eastAsia="宋体" w:hAnsi="Times New Roman" w:cs="Times New Roman" w:hint="default"/>
                <w:color w:val="auto"/>
                <w:szCs w:val="21"/>
                <w:highlight w:val="none"/>
              </w:rPr>
              <w:t>规划环境影响评价情况</w:t>
            </w:r>
          </w:p>
        </w:tc>
        <w:tc>
          <w:tcPr>
            <w:tcW w:w="7804" w:type="dxa"/>
            <w:gridSpan w:val="3"/>
            <w:vAlign w:val="center"/>
          </w:tcPr>
          <w:p>
            <w:pPr>
              <w:autoSpaceDE w:val="0"/>
              <w:autoSpaceDN w:val="0"/>
              <w:adjustRightInd w:val="0"/>
              <w:snapToGrid w:val="0"/>
              <w:spacing w:after="0"/>
              <w:jc w:val="center"/>
              <w:rPr>
                <w:rFonts w:hint="default"/>
                <w:color w:val="auto"/>
                <w:kern w:val="0"/>
                <w:szCs w:val="21"/>
                <w:highlight w:val="none"/>
              </w:rPr>
            </w:pPr>
            <w:r>
              <w:rPr>
                <w:rFonts w:ascii="Times New Roman" w:eastAsia="宋体" w:hAnsi="Times New Roman" w:cs="Times New Roman" w:hint="default"/>
                <w:color w:val="auto"/>
                <w:kern w:val="0"/>
                <w:sz w:val="21"/>
                <w:szCs w:val="21"/>
                <w:highlight w:val="none"/>
              </w:rPr>
              <w:t>无</w:t>
            </w:r>
          </w:p>
        </w:tc>
      </w:tr>
      <w:tr>
        <w:tblPrEx>
          <w:tblW w:w="9071" w:type="dxa"/>
          <w:tblLayout w:type="fixed"/>
          <w:tblCellMar>
            <w:top w:w="0" w:type="dxa"/>
            <w:left w:w="108" w:type="dxa"/>
            <w:bottom w:w="0" w:type="dxa"/>
            <w:right w:w="108" w:type="dxa"/>
          </w:tblCellMar>
          <w:tblLook w:val="0000"/>
        </w:tblPrEx>
        <w:trPr>
          <w:trHeight w:val="2955"/>
        </w:trPr>
        <w:tc>
          <w:tcPr>
            <w:tcW w:w="1267" w:type="dxa"/>
            <w:vAlign w:val="center"/>
          </w:tcPr>
          <w:p>
            <w:pPr>
              <w:autoSpaceDE w:val="0"/>
              <w:autoSpaceDN w:val="0"/>
              <w:adjustRightInd w:val="0"/>
              <w:snapToGrid w:val="0"/>
              <w:spacing w:after="0"/>
              <w:jc w:val="center"/>
              <w:rPr>
                <w:rFonts w:hint="default"/>
                <w:color w:val="auto"/>
                <w:kern w:val="0"/>
                <w:szCs w:val="21"/>
                <w:highlight w:val="none"/>
              </w:rPr>
            </w:pPr>
            <w:r>
              <w:rPr>
                <w:rFonts w:ascii="Times New Roman" w:eastAsia="宋体" w:hAnsi="Times New Roman" w:cs="Times New Roman" w:hint="default"/>
                <w:color w:val="auto"/>
                <w:kern w:val="0"/>
                <w:szCs w:val="21"/>
                <w:highlight w:val="none"/>
              </w:rPr>
              <w:t>规划及规划环境</w:t>
            </w:r>
          </w:p>
          <w:p>
            <w:pPr>
              <w:autoSpaceDE w:val="0"/>
              <w:autoSpaceDN w:val="0"/>
              <w:adjustRightInd w:val="0"/>
              <w:snapToGrid w:val="0"/>
              <w:spacing w:after="0"/>
              <w:jc w:val="center"/>
              <w:rPr>
                <w:rFonts w:hint="default"/>
                <w:color w:val="auto"/>
                <w:kern w:val="0"/>
                <w:szCs w:val="21"/>
                <w:highlight w:val="none"/>
              </w:rPr>
            </w:pPr>
            <w:r>
              <w:rPr>
                <w:rFonts w:ascii="Times New Roman" w:eastAsia="宋体" w:hAnsi="Times New Roman" w:cs="Times New Roman" w:hint="default"/>
                <w:color w:val="auto"/>
                <w:kern w:val="0"/>
                <w:szCs w:val="21"/>
                <w:highlight w:val="none"/>
              </w:rPr>
              <w:t>影响评价符合性分析</w:t>
            </w:r>
          </w:p>
        </w:tc>
        <w:tc>
          <w:tcPr>
            <w:tcW w:w="7804" w:type="dxa"/>
            <w:gridSpan w:val="3"/>
            <w:vAlign w:val="center"/>
          </w:tcPr>
          <w:p>
            <w:pPr>
              <w:keepNext w:val="0"/>
              <w:keepLines w:val="0"/>
              <w:pageBreakBefore w:val="0"/>
              <w:widowControl w:val="0"/>
              <w:kinsoku/>
              <w:wordWrap/>
              <w:overflowPunct/>
              <w:topLinePunct w:val="0"/>
              <w:autoSpaceDE w:val="0"/>
              <w:autoSpaceDN w:val="0"/>
              <w:bidi w:val="0"/>
              <w:adjustRightInd w:val="0"/>
              <w:snapToGrid w:val="0"/>
              <w:spacing w:after="0" w:line="360" w:lineRule="auto"/>
              <w:jc w:val="center"/>
              <w:textAlignment w:val="auto"/>
              <w:rPr>
                <w:rFonts w:hint="eastAsia"/>
                <w:color w:val="auto"/>
                <w:kern w:val="0"/>
                <w:szCs w:val="21"/>
                <w:highlight w:val="none"/>
              </w:rPr>
            </w:pPr>
            <w:r>
              <w:rPr>
                <w:rFonts w:cs="Times New Roman" w:hint="eastAsia"/>
                <w:color w:val="auto"/>
                <w:kern w:val="0"/>
                <w:szCs w:val="21"/>
                <w:highlight w:val="none"/>
                <w:lang w:val="en-US" w:eastAsia="zh-CN"/>
              </w:rPr>
              <w:t>无</w:t>
            </w:r>
          </w:p>
        </w:tc>
      </w:tr>
    </w:tbl>
    <w:p>
      <w:pPr>
        <w:sectPr>
          <w:footerReference w:type="even" r:id="rId6"/>
          <w:footerReference w:type="default" r:id="rId7"/>
          <w:pgSz w:w="11906" w:h="16838" w:orient="portrait"/>
          <w:pgMar w:top="1440" w:right="1440" w:bottom="1440" w:left="1440" w:header="851" w:footer="1077"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linePitch="312"/>
        </w:sectPr>
      </w:pPr>
    </w:p>
    <w:tbl>
      <w:tblPr>
        <w:tblStyle w:val="TableNormal"/>
        <w:tblW w:w="907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67"/>
        <w:gridCol w:w="7804"/>
      </w:tblGrid>
      <w:tr>
        <w:tblPrEx>
          <w:tblW w:w="907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495"/>
        </w:trPr>
        <w:tc>
          <w:tcPr>
            <w:tcW w:w="1267" w:type="dxa"/>
            <w:vAlign w:val="center"/>
          </w:tcPr>
          <w:p>
            <w:pPr>
              <w:autoSpaceDE w:val="0"/>
              <w:autoSpaceDN w:val="0"/>
              <w:adjustRightInd w:val="0"/>
              <w:snapToGrid w:val="0"/>
              <w:spacing w:after="0"/>
              <w:jc w:val="center"/>
              <w:rPr>
                <w:rFonts w:hint="default"/>
                <w:color w:val="auto"/>
                <w:kern w:val="0"/>
                <w:szCs w:val="21"/>
                <w:highlight w:val="none"/>
              </w:rPr>
            </w:pPr>
            <w:r>
              <w:rPr>
                <w:rFonts w:ascii="Times New Roman" w:eastAsia="宋体" w:hAnsi="Times New Roman" w:cs="Times New Roman" w:hint="default"/>
                <w:color w:val="auto"/>
                <w:kern w:val="0"/>
                <w:szCs w:val="21"/>
                <w:highlight w:val="none"/>
              </w:rPr>
              <w:t>其他符合性分析</w:t>
            </w:r>
          </w:p>
        </w:tc>
        <w:tc>
          <w:tcPr>
            <w:tcW w:w="7804" w:type="dxa"/>
            <w:vAlign w:val="center"/>
          </w:tcPr>
          <w:p>
            <w:pPr>
              <w:pStyle w:val="Char2"/>
              <w:spacing w:after="0" w:line="360" w:lineRule="auto"/>
              <w:ind w:firstLine="482"/>
              <w:rPr>
                <w:rFonts w:hint="default"/>
                <w:color w:val="auto"/>
                <w:sz w:val="24"/>
                <w:szCs w:val="24"/>
                <w:highlight w:val="none"/>
                <w:lang w:val="en-GB"/>
              </w:rPr>
            </w:pPr>
            <w:r>
              <w:rPr>
                <w:rFonts w:hint="default"/>
                <w:color w:val="auto"/>
                <w:sz w:val="24"/>
                <w:szCs w:val="24"/>
                <w:highlight w:val="none"/>
              </w:rPr>
              <w:t>1、</w:t>
            </w:r>
            <w:r>
              <w:rPr>
                <w:rFonts w:hint="default"/>
                <w:color w:val="auto"/>
                <w:sz w:val="24"/>
                <w:szCs w:val="24"/>
                <w:highlight w:val="none"/>
                <w:lang w:val="en-GB"/>
              </w:rPr>
              <w:t>与产业政策相符性分析</w:t>
            </w:r>
          </w:p>
          <w:p>
            <w:pPr>
              <w:pStyle w:val="Char2"/>
              <w:spacing w:after="0" w:line="360" w:lineRule="auto"/>
              <w:ind w:firstLine="480"/>
              <w:rPr>
                <w:rFonts w:hint="default"/>
                <w:color w:val="auto"/>
                <w:sz w:val="24"/>
                <w:szCs w:val="24"/>
                <w:highlight w:val="none"/>
              </w:rPr>
            </w:pPr>
            <w:r>
              <w:rPr>
                <w:rFonts w:hint="default"/>
                <w:color w:val="auto"/>
                <w:sz w:val="24"/>
                <w:szCs w:val="24"/>
                <w:highlight w:val="none"/>
              </w:rPr>
              <w:t>本项目属于</w:t>
            </w:r>
            <w:r>
              <w:rPr>
                <w:rFonts w:hint="eastAsia"/>
                <w:color w:val="auto"/>
                <w:sz w:val="24"/>
                <w:szCs w:val="24"/>
                <w:highlight w:val="none"/>
                <w:lang w:val="en-US" w:eastAsia="zh-CN"/>
              </w:rPr>
              <w:t>垃圾填埋气发电项目</w:t>
            </w:r>
            <w:r>
              <w:rPr>
                <w:rFonts w:hint="default"/>
                <w:color w:val="auto"/>
                <w:sz w:val="24"/>
                <w:szCs w:val="24"/>
                <w:highlight w:val="none"/>
              </w:rPr>
              <w:t>，依据《中华人民共和国环境保护法》、《中华人民共和国环境影响评价法》、中华人民共和国国务院令第682号《建设项目环境保护管理条例》以及《建设项目环境影响评价分类管理名录（2021年版）》，本项目属于</w:t>
            </w:r>
            <w:r>
              <w:rPr>
                <w:rFonts w:hint="eastAsia"/>
                <w:color w:val="auto"/>
                <w:sz w:val="24"/>
                <w:szCs w:val="24"/>
                <w:highlight w:val="none"/>
                <w:lang w:eastAsia="zh-CN"/>
              </w:rPr>
              <w:t>“</w:t>
            </w:r>
            <w:r>
              <w:rPr>
                <w:rFonts w:hint="default"/>
                <w:color w:val="auto"/>
                <w:sz w:val="24"/>
                <w:szCs w:val="24"/>
                <w:highlight w:val="none"/>
              </w:rPr>
              <w:t>四十一、电力、热力生产和供应业</w:t>
            </w:r>
            <w:r>
              <w:rPr>
                <w:rFonts w:hint="eastAsia"/>
                <w:color w:val="auto"/>
                <w:sz w:val="24"/>
                <w:szCs w:val="24"/>
                <w:highlight w:val="none"/>
                <w:lang w:eastAsia="zh-CN"/>
              </w:rPr>
              <w:t>，</w:t>
            </w:r>
            <w:r>
              <w:rPr>
                <w:rFonts w:hint="default"/>
                <w:color w:val="auto"/>
                <w:sz w:val="24"/>
                <w:szCs w:val="24"/>
                <w:highlight w:val="none"/>
              </w:rPr>
              <w:t>生物质能发电4417</w:t>
            </w:r>
            <w:r>
              <w:rPr>
                <w:rFonts w:hint="eastAsia"/>
                <w:color w:val="auto"/>
                <w:sz w:val="24"/>
                <w:szCs w:val="24"/>
                <w:highlight w:val="none"/>
                <w:lang w:eastAsia="zh-CN"/>
              </w:rPr>
              <w:t>，利用农林生物质、沼气、垃圾填埋气发电的</w:t>
            </w:r>
            <w:r>
              <w:rPr>
                <w:rFonts w:hint="eastAsia"/>
                <w:color w:val="auto"/>
                <w:sz w:val="24"/>
                <w:szCs w:val="24"/>
                <w:highlight w:val="none"/>
                <w:lang w:eastAsia="zh-CN"/>
              </w:rPr>
              <w:t>”</w:t>
            </w:r>
            <w:r>
              <w:rPr>
                <w:rFonts w:hint="default"/>
                <w:color w:val="auto"/>
                <w:sz w:val="24"/>
                <w:szCs w:val="24"/>
                <w:highlight w:val="none"/>
              </w:rPr>
              <w:t>，需编制环境影响报告表。</w:t>
            </w:r>
          </w:p>
          <w:p>
            <w:pPr>
              <w:pStyle w:val="Char2"/>
              <w:spacing w:after="0" w:line="360" w:lineRule="auto"/>
              <w:ind w:firstLine="480"/>
              <w:rPr>
                <w:rFonts w:hint="default"/>
                <w:color w:val="auto"/>
                <w:sz w:val="24"/>
                <w:szCs w:val="24"/>
                <w:highlight w:val="none"/>
              </w:rPr>
            </w:pPr>
            <w:r>
              <w:rPr>
                <w:rFonts w:hint="default"/>
                <w:color w:val="auto"/>
                <w:sz w:val="24"/>
                <w:szCs w:val="24"/>
                <w:highlight w:val="none"/>
              </w:rPr>
              <w:t>根据中华人民共和国发展与改革委员会第2</w:t>
            </w:r>
            <w:r>
              <w:rPr>
                <w:rFonts w:hint="eastAsia"/>
                <w:color w:val="auto"/>
                <w:sz w:val="24"/>
                <w:szCs w:val="24"/>
                <w:highlight w:val="none"/>
                <w:lang w:val="en-US" w:eastAsia="zh-CN"/>
              </w:rPr>
              <w:t>9</w:t>
            </w:r>
            <w:r>
              <w:rPr>
                <w:rFonts w:hint="default"/>
                <w:color w:val="auto"/>
                <w:sz w:val="24"/>
                <w:szCs w:val="24"/>
                <w:highlight w:val="none"/>
              </w:rPr>
              <w:t>号令《产业结构调整指导目录（2019年本）》，该项目属于其中鼓励类</w:t>
            </w:r>
            <w:r>
              <w:rPr>
                <w:rFonts w:hint="eastAsia"/>
                <w:color w:val="auto"/>
                <w:sz w:val="24"/>
                <w:szCs w:val="24"/>
                <w:highlight w:val="none"/>
                <w:lang w:val="en-US" w:eastAsia="zh-CN"/>
              </w:rPr>
              <w:t>中四十三、环境保护与资源节约综合利用，、</w:t>
            </w:r>
            <w:r>
              <w:rPr>
                <w:rFonts w:hint="eastAsia"/>
                <w:color w:val="auto"/>
                <w:sz w:val="24"/>
                <w:szCs w:val="24"/>
                <w:highlight w:val="none"/>
                <w:lang w:val="en-US" w:eastAsia="zh-CN"/>
              </w:rPr>
              <w:t>“</w:t>
            </w:r>
            <w:r>
              <w:rPr>
                <w:rFonts w:hint="eastAsia"/>
                <w:color w:val="auto"/>
                <w:sz w:val="24"/>
                <w:szCs w:val="24"/>
                <w:highlight w:val="none"/>
                <w:lang w:val="en-US" w:eastAsia="zh-CN"/>
              </w:rPr>
              <w:t>三废</w:t>
            </w:r>
            <w:r>
              <w:rPr>
                <w:rFonts w:hint="eastAsia"/>
                <w:color w:val="auto"/>
                <w:sz w:val="24"/>
                <w:szCs w:val="24"/>
                <w:highlight w:val="none"/>
                <w:lang w:val="en-US" w:eastAsia="zh-CN"/>
              </w:rPr>
              <w:t>”</w:t>
            </w:r>
            <w:r>
              <w:rPr>
                <w:rFonts w:hint="eastAsia"/>
                <w:color w:val="auto"/>
                <w:sz w:val="24"/>
                <w:szCs w:val="24"/>
                <w:highlight w:val="none"/>
                <w:lang w:val="en-US" w:eastAsia="zh-CN"/>
              </w:rPr>
              <w:t>综合利用与治理技术、装备和工程。</w:t>
            </w:r>
            <w:r>
              <w:rPr>
                <w:rFonts w:hint="default"/>
                <w:color w:val="auto"/>
                <w:sz w:val="24"/>
                <w:szCs w:val="24"/>
                <w:highlight w:val="none"/>
              </w:rPr>
              <w:t>根据《市场准入负面清单》（202</w:t>
            </w:r>
            <w:r>
              <w:rPr>
                <w:rFonts w:hint="eastAsia"/>
                <w:color w:val="auto"/>
                <w:sz w:val="24"/>
                <w:szCs w:val="24"/>
                <w:highlight w:val="none"/>
                <w:lang w:val="en-US" w:eastAsia="zh-CN"/>
              </w:rPr>
              <w:t>2</w:t>
            </w:r>
            <w:r>
              <w:rPr>
                <w:rFonts w:hint="default"/>
                <w:color w:val="auto"/>
                <w:sz w:val="24"/>
                <w:szCs w:val="24"/>
                <w:highlight w:val="none"/>
              </w:rPr>
              <w:t>年版）相关要求，本项目不属于禁止准入类；同时对照关于印发《陕西省限制投资类产业指导目录》的通知，本项目不在其列。</w:t>
            </w:r>
          </w:p>
          <w:p>
            <w:pPr>
              <w:spacing w:after="0" w:line="360" w:lineRule="auto"/>
              <w:ind w:firstLine="480" w:firstLineChars="200"/>
              <w:rPr>
                <w:rFonts w:hint="default"/>
                <w:color w:val="auto"/>
                <w:sz w:val="24"/>
                <w:highlight w:val="none"/>
              </w:rPr>
            </w:pPr>
            <w:r>
              <w:rPr>
                <w:rFonts w:hint="default"/>
                <w:color w:val="auto"/>
                <w:sz w:val="24"/>
                <w:szCs w:val="24"/>
                <w:highlight w:val="none"/>
              </w:rPr>
              <w:t>2、与相关环保政策符合性分析</w:t>
            </w:r>
          </w:p>
          <w:p>
            <w:pPr>
              <w:spacing w:after="0" w:line="360" w:lineRule="auto"/>
              <w:jc w:val="center"/>
              <w:rPr>
                <w:rFonts w:hint="default"/>
                <w:color w:val="auto"/>
                <w:highlight w:val="none"/>
              </w:rPr>
            </w:pPr>
            <w:r>
              <w:rPr>
                <w:rFonts w:hint="default"/>
                <w:color w:val="auto"/>
                <w:highlight w:val="none"/>
              </w:rPr>
              <w:t>表1-</w:t>
            </w:r>
            <w:r>
              <w:rPr>
                <w:rFonts w:hint="eastAsia"/>
                <w:color w:val="auto"/>
                <w:highlight w:val="none"/>
                <w:lang w:val="en-US" w:eastAsia="zh-CN"/>
              </w:rPr>
              <w:t>1</w:t>
            </w:r>
            <w:r>
              <w:rPr>
                <w:rFonts w:hint="default"/>
                <w:color w:val="auto"/>
                <w:highlight w:val="none"/>
              </w:rPr>
              <w:t xml:space="preserve">    与相关环保政策符合性分析</w:t>
            </w:r>
          </w:p>
          <w:tbl>
            <w:tblPr>
              <w:tblStyle w:val="TableNormal"/>
              <w:tblW w:w="4993"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20"/>
              <w:gridCol w:w="1105"/>
              <w:gridCol w:w="3263"/>
              <w:gridCol w:w="1873"/>
              <w:gridCol w:w="806"/>
            </w:tblGrid>
            <w:tr>
              <w:tblPrEx>
                <w:tblW w:w="4993"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521"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序号</w:t>
                  </w:r>
                </w:p>
              </w:tc>
              <w:tc>
                <w:tcPr>
                  <w:tcW w:w="1105"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分析判定内容</w:t>
                  </w:r>
                </w:p>
              </w:tc>
              <w:tc>
                <w:tcPr>
                  <w:tcW w:w="3263"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政策及相关内容</w:t>
                  </w:r>
                </w:p>
              </w:tc>
              <w:tc>
                <w:tcPr>
                  <w:tcW w:w="1873"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本项目情况</w:t>
                  </w:r>
                </w:p>
              </w:tc>
              <w:tc>
                <w:tcPr>
                  <w:tcW w:w="806"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判定</w:t>
                  </w:r>
                </w:p>
                <w:p>
                  <w:pPr>
                    <w:autoSpaceDE w:val="0"/>
                    <w:autoSpaceDN w:val="0"/>
                    <w:adjustRightInd w:val="0"/>
                    <w:snapToGrid w:val="0"/>
                    <w:spacing w:after="0"/>
                    <w:jc w:val="center"/>
                    <w:rPr>
                      <w:rFonts w:hint="default"/>
                      <w:color w:val="auto"/>
                      <w:highlight w:val="none"/>
                    </w:rPr>
                  </w:pPr>
                  <w:r>
                    <w:rPr>
                      <w:rFonts w:hint="default"/>
                      <w:color w:val="auto"/>
                      <w:highlight w:val="none"/>
                    </w:rPr>
                    <w:t>结论</w:t>
                  </w:r>
                </w:p>
              </w:tc>
            </w:tr>
            <w:tr>
              <w:tblPrEx>
                <w:tblW w:w="4993" w:type="pct"/>
                <w:jc w:val="center"/>
                <w:tblInd w:w="113" w:type="dxa"/>
                <w:tblLayout w:type="fixed"/>
                <w:tblCellMar>
                  <w:top w:w="0" w:type="dxa"/>
                  <w:left w:w="108" w:type="dxa"/>
                  <w:bottom w:w="0" w:type="dxa"/>
                  <w:right w:w="108" w:type="dxa"/>
                </w:tblCellMar>
                <w:tblLook w:val="0000"/>
              </w:tblPrEx>
              <w:trPr>
                <w:trHeight w:val="604"/>
                <w:jc w:val="center"/>
              </w:trPr>
              <w:tc>
                <w:tcPr>
                  <w:tcW w:w="521" w:type="dxa"/>
                  <w:vMerge w:val="restart"/>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1</w:t>
                  </w:r>
                </w:p>
              </w:tc>
              <w:tc>
                <w:tcPr>
                  <w:tcW w:w="1105" w:type="dxa"/>
                  <w:vMerge w:val="restart"/>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《陕西省</w:t>
                  </w:r>
                  <w:r>
                    <w:rPr>
                      <w:rFonts w:hint="default"/>
                      <w:color w:val="auto"/>
                      <w:highlight w:val="none"/>
                    </w:rPr>
                    <w:t>“</w:t>
                  </w:r>
                  <w:r>
                    <w:rPr>
                      <w:rFonts w:hint="default"/>
                      <w:color w:val="auto"/>
                      <w:highlight w:val="none"/>
                      <w:lang w:eastAsia="zh-CN"/>
                    </w:rPr>
                    <w:t>十四五</w:t>
                  </w:r>
                  <w:r>
                    <w:rPr>
                      <w:rFonts w:hint="default"/>
                      <w:color w:val="auto"/>
                      <w:highlight w:val="none"/>
                    </w:rPr>
                    <w:t>”</w:t>
                  </w:r>
                  <w:r>
                    <w:rPr>
                      <w:rFonts w:hint="default"/>
                      <w:color w:val="auto"/>
                      <w:highlight w:val="none"/>
                      <w:lang w:eastAsia="zh-CN"/>
                    </w:rPr>
                    <w:t>生态环境保护规划》</w:t>
                  </w:r>
                </w:p>
              </w:tc>
              <w:tc>
                <w:tcPr>
                  <w:tcW w:w="3263" w:type="dxa"/>
                  <w:vAlign w:val="center"/>
                </w:tcPr>
                <w:p>
                  <w:pPr>
                    <w:autoSpaceDE w:val="0"/>
                    <w:autoSpaceDN w:val="0"/>
                    <w:adjustRightInd w:val="0"/>
                    <w:snapToGrid w:val="0"/>
                    <w:spacing w:after="0"/>
                    <w:jc w:val="center"/>
                    <w:rPr>
                      <w:rFonts w:hint="eastAsia"/>
                      <w:color w:val="auto"/>
                      <w:highlight w:val="none"/>
                    </w:rPr>
                  </w:pPr>
                  <w:r>
                    <w:rPr>
                      <w:rFonts w:hint="default"/>
                      <w:color w:val="auto"/>
                      <w:highlight w:val="none"/>
                    </w:rPr>
                    <w:t>提升能源结构清洁低碳水平</w:t>
                  </w:r>
                  <w:r>
                    <w:rPr>
                      <w:rFonts w:hint="eastAsia"/>
                      <w:color w:val="auto"/>
                      <w:highlight w:val="none"/>
                      <w:lang w:eastAsia="zh-CN"/>
                    </w:rPr>
                    <w:t>。</w:t>
                  </w:r>
                  <w:r>
                    <w:rPr>
                      <w:rFonts w:hint="default"/>
                      <w:color w:val="auto"/>
                      <w:highlight w:val="none"/>
                    </w:rPr>
                    <w:t>加快电源结构调整和布局优化，新增用电需求主要通过新能源电力保障，减少煤电占比</w:t>
                  </w:r>
                  <w:r>
                    <w:rPr>
                      <w:rFonts w:hint="eastAsia"/>
                      <w:color w:val="auto"/>
                      <w:highlight w:val="none"/>
                      <w:lang w:eastAsia="zh-CN"/>
                    </w:rPr>
                    <w:t>。加速能源体系清洁低碳发展进程，壮大风电、太阳能、氢能、生物质能、地热能等可再生能源产业。</w:t>
                  </w:r>
                </w:p>
              </w:tc>
              <w:tc>
                <w:tcPr>
                  <w:tcW w:w="1873"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本项目</w:t>
                  </w:r>
                  <w:r>
                    <w:rPr>
                      <w:rFonts w:hint="eastAsia"/>
                      <w:color w:val="auto"/>
                      <w:highlight w:val="none"/>
                      <w:lang w:val="en-US" w:eastAsia="zh-CN"/>
                    </w:rPr>
                    <w:t>利用垃圾填埋场产生的填埋气发电，属于清洁能源，且实现了资源的高效利用</w:t>
                  </w:r>
                </w:p>
              </w:tc>
              <w:tc>
                <w:tcPr>
                  <w:tcW w:w="806"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符合</w:t>
                  </w:r>
                </w:p>
              </w:tc>
            </w:tr>
            <w:tr>
              <w:tblPrEx>
                <w:tblW w:w="4993" w:type="pct"/>
                <w:jc w:val="center"/>
                <w:tblInd w:w="113" w:type="dxa"/>
                <w:tblLayout w:type="fixed"/>
                <w:tblCellMar>
                  <w:top w:w="0" w:type="dxa"/>
                  <w:left w:w="108" w:type="dxa"/>
                  <w:bottom w:w="0" w:type="dxa"/>
                  <w:right w:w="108" w:type="dxa"/>
                </w:tblCellMar>
                <w:tblLook w:val="0000"/>
              </w:tblPrEx>
              <w:trPr>
                <w:trHeight w:val="604"/>
                <w:jc w:val="center"/>
              </w:trPr>
              <w:tc>
                <w:tcPr>
                  <w:tcW w:w="521" w:type="dxa"/>
                  <w:vMerge/>
                  <w:vAlign w:val="center"/>
                </w:tcPr>
                <w:p>
                  <w:pPr>
                    <w:autoSpaceDE w:val="0"/>
                    <w:autoSpaceDN w:val="0"/>
                    <w:adjustRightInd w:val="0"/>
                    <w:snapToGrid w:val="0"/>
                    <w:spacing w:after="0"/>
                    <w:jc w:val="center"/>
                    <w:rPr>
                      <w:rFonts w:hint="default"/>
                      <w:color w:val="auto"/>
                      <w:highlight w:val="none"/>
                    </w:rPr>
                  </w:pPr>
                </w:p>
              </w:tc>
              <w:tc>
                <w:tcPr>
                  <w:tcW w:w="1105" w:type="dxa"/>
                  <w:vMerge/>
                  <w:vAlign w:val="center"/>
                </w:tcPr>
                <w:p>
                  <w:pPr>
                    <w:autoSpaceDE w:val="0"/>
                    <w:autoSpaceDN w:val="0"/>
                    <w:adjustRightInd w:val="0"/>
                    <w:snapToGrid w:val="0"/>
                    <w:spacing w:after="0"/>
                    <w:jc w:val="center"/>
                    <w:rPr>
                      <w:rFonts w:hint="default"/>
                      <w:color w:val="auto"/>
                      <w:highlight w:val="none"/>
                    </w:rPr>
                  </w:pPr>
                </w:p>
              </w:tc>
              <w:tc>
                <w:tcPr>
                  <w:tcW w:w="3263" w:type="dxa"/>
                  <w:vAlign w:val="center"/>
                </w:tcPr>
                <w:p>
                  <w:pPr>
                    <w:autoSpaceDE w:val="0"/>
                    <w:autoSpaceDN w:val="0"/>
                    <w:adjustRightInd w:val="0"/>
                    <w:snapToGrid w:val="0"/>
                    <w:spacing w:after="0"/>
                    <w:jc w:val="center"/>
                    <w:rPr>
                      <w:rFonts w:hint="eastAsia"/>
                      <w:color w:val="auto"/>
                      <w:highlight w:val="none"/>
                    </w:rPr>
                  </w:pPr>
                  <w:r>
                    <w:rPr>
                      <w:rFonts w:hint="default"/>
                      <w:color w:val="auto"/>
                      <w:highlight w:val="none"/>
                    </w:rPr>
                    <w:t>控制非二氧化碳温室气体排放</w:t>
                  </w:r>
                  <w:r>
                    <w:rPr>
                      <w:rFonts w:hint="eastAsia"/>
                      <w:color w:val="auto"/>
                      <w:highlight w:val="none"/>
                      <w:lang w:eastAsia="zh-CN"/>
                    </w:rPr>
                    <w:t>。加强污水处理厂和垃圾填埋场甲</w:t>
                  </w:r>
                  <w:r>
                    <w:rPr>
                      <w:rFonts w:hint="eastAsia"/>
                      <w:color w:val="auto"/>
                      <w:highlight w:val="none"/>
                      <w:lang w:val="en-US" w:eastAsia="zh-CN"/>
                    </w:rPr>
                    <w:t>烷</w:t>
                  </w:r>
                  <w:r>
                    <w:rPr>
                      <w:rFonts w:hint="eastAsia"/>
                      <w:color w:val="auto"/>
                      <w:highlight w:val="none"/>
                      <w:lang w:eastAsia="zh-CN"/>
                    </w:rPr>
                    <w:t>排放控制和回收利用。</w:t>
                  </w:r>
                </w:p>
              </w:tc>
              <w:tc>
                <w:tcPr>
                  <w:tcW w:w="1873" w:type="dxa"/>
                  <w:vAlign w:val="center"/>
                </w:tcPr>
                <w:p>
                  <w:pPr>
                    <w:autoSpaceDE w:val="0"/>
                    <w:autoSpaceDN w:val="0"/>
                    <w:adjustRightInd w:val="0"/>
                    <w:snapToGrid w:val="0"/>
                    <w:spacing w:after="0"/>
                    <w:jc w:val="center"/>
                    <w:rPr>
                      <w:rFonts w:hint="default"/>
                      <w:color w:val="auto"/>
                      <w:highlight w:val="none"/>
                    </w:rPr>
                  </w:pPr>
                  <w:r>
                    <w:rPr>
                      <w:rFonts w:hint="eastAsia"/>
                      <w:color w:val="auto"/>
                      <w:highlight w:val="none"/>
                      <w:lang w:val="en-US" w:eastAsia="zh-CN"/>
                    </w:rPr>
                    <w:t>本项目收集垃圾填埋场产生的填埋气进行发电，属于垃圾填埋场甲烷回收利用</w:t>
                  </w:r>
                </w:p>
              </w:tc>
              <w:tc>
                <w:tcPr>
                  <w:tcW w:w="806"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lang w:eastAsia="zh-CN"/>
                    </w:rPr>
                    <w:t>符合</w:t>
                  </w:r>
                </w:p>
              </w:tc>
            </w:tr>
            <w:tr>
              <w:tblPrEx>
                <w:tblW w:w="4993" w:type="pct"/>
                <w:jc w:val="center"/>
                <w:tblInd w:w="113" w:type="dxa"/>
                <w:tblLayout w:type="fixed"/>
                <w:tblCellMar>
                  <w:top w:w="0" w:type="dxa"/>
                  <w:left w:w="108" w:type="dxa"/>
                  <w:bottom w:w="0" w:type="dxa"/>
                  <w:right w:w="108" w:type="dxa"/>
                </w:tblCellMar>
                <w:tblLook w:val="0000"/>
              </w:tblPrEx>
              <w:trPr>
                <w:trHeight w:val="326"/>
                <w:jc w:val="center"/>
              </w:trPr>
              <w:tc>
                <w:tcPr>
                  <w:tcW w:w="521"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2</w:t>
                  </w:r>
                </w:p>
              </w:tc>
              <w:tc>
                <w:tcPr>
                  <w:tcW w:w="1105" w:type="dxa"/>
                  <w:vAlign w:val="center"/>
                </w:tcPr>
                <w:p>
                  <w:pPr>
                    <w:spacing w:after="0"/>
                    <w:jc w:val="center"/>
                    <w:rPr>
                      <w:rFonts w:hint="default"/>
                      <w:color w:val="auto"/>
                      <w:highlight w:val="none"/>
                    </w:rPr>
                  </w:pPr>
                  <w:r>
                    <w:rPr>
                      <w:rFonts w:hint="default"/>
                      <w:color w:val="auto"/>
                      <w:highlight w:val="none"/>
                    </w:rPr>
                    <w:t>陕西省蓝天保卫战202</w:t>
                  </w:r>
                  <w:r>
                    <w:rPr>
                      <w:rFonts w:hint="eastAsia"/>
                      <w:color w:val="auto"/>
                      <w:highlight w:val="none"/>
                      <w:lang w:val="en-US" w:eastAsia="zh-CN"/>
                    </w:rPr>
                    <w:t>2</w:t>
                  </w:r>
                  <w:r>
                    <w:rPr>
                      <w:rFonts w:hint="default"/>
                      <w:color w:val="auto"/>
                      <w:highlight w:val="none"/>
                    </w:rPr>
                    <w:t>年工作方案</w:t>
                  </w:r>
                </w:p>
              </w:tc>
              <w:tc>
                <w:tcPr>
                  <w:tcW w:w="3263" w:type="dxa"/>
                  <w:vAlign w:val="center"/>
                </w:tcPr>
                <w:p>
                  <w:pPr>
                    <w:spacing w:after="0"/>
                    <w:jc w:val="center"/>
                    <w:rPr>
                      <w:rFonts w:hint="default"/>
                      <w:color w:val="auto"/>
                      <w:highlight w:val="none"/>
                    </w:rPr>
                  </w:pPr>
                  <w:r>
                    <w:rPr>
                      <w:rFonts w:hint="default"/>
                      <w:color w:val="auto"/>
                      <w:highlight w:val="none"/>
                    </w:rPr>
                    <w:t>12.持续推进重点区域煤炭消费总量控制。重点压减非电用煤，大力发展新能源和清洁能源，逐步形成非化石能源既基本满足能源需求增量又规模化替代化石能源存量的能源生产消费格局</w:t>
                  </w:r>
                </w:p>
              </w:tc>
              <w:tc>
                <w:tcPr>
                  <w:tcW w:w="1873" w:type="dxa"/>
                  <w:vAlign w:val="center"/>
                </w:tcPr>
                <w:p>
                  <w:pPr>
                    <w:spacing w:after="0"/>
                    <w:jc w:val="center"/>
                    <w:rPr>
                      <w:rFonts w:hint="default"/>
                      <w:color w:val="auto"/>
                      <w:highlight w:val="none"/>
                    </w:rPr>
                  </w:pPr>
                  <w:r>
                    <w:rPr>
                      <w:rFonts w:hint="eastAsia"/>
                      <w:color w:val="auto"/>
                      <w:highlight w:val="none"/>
                      <w:lang w:val="en-US" w:eastAsia="zh-CN"/>
                    </w:rPr>
                    <w:t>本项目利用垃圾填埋气发电，属于废化石能源，属于新能源和清洁能源</w:t>
                  </w:r>
                </w:p>
              </w:tc>
              <w:tc>
                <w:tcPr>
                  <w:tcW w:w="806" w:type="dxa"/>
                  <w:vAlign w:val="center"/>
                </w:tcPr>
                <w:p>
                  <w:pPr>
                    <w:autoSpaceDE w:val="0"/>
                    <w:autoSpaceDN w:val="0"/>
                    <w:adjustRightInd w:val="0"/>
                    <w:snapToGrid w:val="0"/>
                    <w:spacing w:after="0"/>
                    <w:jc w:val="center"/>
                    <w:rPr>
                      <w:rFonts w:hint="default"/>
                      <w:color w:val="auto"/>
                      <w:highlight w:val="none"/>
                    </w:rPr>
                  </w:pPr>
                  <w:r>
                    <w:rPr>
                      <w:rFonts w:hint="default"/>
                      <w:color w:val="auto"/>
                      <w:highlight w:val="none"/>
                    </w:rPr>
                    <w:t>符合</w:t>
                  </w:r>
                </w:p>
              </w:tc>
            </w:tr>
            <w:tr>
              <w:tblPrEx>
                <w:tblW w:w="4993" w:type="pct"/>
                <w:jc w:val="center"/>
                <w:tblInd w:w="113" w:type="dxa"/>
                <w:tblLayout w:type="fixed"/>
                <w:tblCellMar>
                  <w:top w:w="0" w:type="dxa"/>
                  <w:left w:w="108" w:type="dxa"/>
                  <w:bottom w:w="0" w:type="dxa"/>
                  <w:right w:w="108" w:type="dxa"/>
                </w:tblCellMar>
                <w:tblLook w:val="0000"/>
              </w:tblPrEx>
              <w:trPr>
                <w:trHeight w:val="326"/>
                <w:jc w:val="center"/>
              </w:trPr>
              <w:tc>
                <w:tcPr>
                  <w:tcW w:w="521" w:type="dxa"/>
                  <w:vAlign w:val="center"/>
                </w:tcPr>
                <w:p>
                  <w:pPr>
                    <w:autoSpaceDE w:val="0"/>
                    <w:autoSpaceDN w:val="0"/>
                    <w:adjustRightInd w:val="0"/>
                    <w:snapToGrid w:val="0"/>
                    <w:spacing w:after="0"/>
                    <w:jc w:val="center"/>
                    <w:rPr>
                      <w:rFonts w:hint="eastAsia"/>
                      <w:color w:val="auto"/>
                      <w:highlight w:val="none"/>
                    </w:rPr>
                  </w:pPr>
                  <w:r>
                    <w:rPr>
                      <w:rFonts w:hint="eastAsia"/>
                      <w:color w:val="auto"/>
                      <w:highlight w:val="none"/>
                      <w:lang w:val="en-US" w:eastAsia="zh-CN"/>
                    </w:rPr>
                    <w:t>3</w:t>
                  </w:r>
                </w:p>
              </w:tc>
              <w:tc>
                <w:tcPr>
                  <w:tcW w:w="1105" w:type="dxa"/>
                  <w:vAlign w:val="center"/>
                </w:tcPr>
                <w:p>
                  <w:pPr>
                    <w:spacing w:after="0"/>
                    <w:jc w:val="center"/>
                    <w:rPr>
                      <w:rFonts w:hint="default"/>
                      <w:color w:val="auto"/>
                      <w:highlight w:val="none"/>
                    </w:rPr>
                  </w:pPr>
                  <w:r>
                    <w:rPr>
                      <w:rFonts w:hint="eastAsia"/>
                      <w:color w:val="auto"/>
                      <w:highlight w:val="none"/>
                      <w:lang w:eastAsia="zh-CN"/>
                    </w:rPr>
                    <w:t>“</w:t>
                  </w:r>
                  <w:r>
                    <w:rPr>
                      <w:rFonts w:hint="eastAsia"/>
                      <w:color w:val="auto"/>
                      <w:highlight w:val="none"/>
                      <w:lang w:val="en-US" w:eastAsia="zh-CN"/>
                    </w:rPr>
                    <w:t>十四五</w:t>
                  </w:r>
                  <w:r>
                    <w:rPr>
                      <w:rFonts w:hint="eastAsia"/>
                      <w:color w:val="auto"/>
                      <w:highlight w:val="none"/>
                      <w:lang w:eastAsia="zh-CN"/>
                    </w:rPr>
                    <w:t>”</w:t>
                  </w:r>
                  <w:r>
                    <w:rPr>
                      <w:rFonts w:hint="eastAsia"/>
                      <w:color w:val="auto"/>
                      <w:highlight w:val="none"/>
                      <w:lang w:val="en-US" w:eastAsia="zh-CN"/>
                    </w:rPr>
                    <w:t>现代能源体系规划</w:t>
                  </w:r>
                </w:p>
              </w:tc>
              <w:tc>
                <w:tcPr>
                  <w:tcW w:w="3263" w:type="dxa"/>
                  <w:vAlign w:val="center"/>
                </w:tcPr>
                <w:p>
                  <w:pPr>
                    <w:spacing w:after="0"/>
                    <w:jc w:val="center"/>
                    <w:rPr>
                      <w:rFonts w:hint="eastAsia"/>
                      <w:color w:val="auto"/>
                      <w:highlight w:val="none"/>
                    </w:rPr>
                  </w:pPr>
                  <w:r>
                    <w:rPr>
                      <w:rFonts w:hint="default"/>
                      <w:color w:val="auto"/>
                      <w:highlight w:val="none"/>
                    </w:rPr>
                    <w:t>因地制宜发展其他可再生能源。推进生物质能多元化利用，稳步发展城镇生活垃圾焚烧发电，有序发展农林生物质发电和沼气发电</w:t>
                  </w:r>
                  <w:r>
                    <w:rPr>
                      <w:rFonts w:hint="eastAsia"/>
                      <w:color w:val="auto"/>
                      <w:highlight w:val="none"/>
                      <w:lang w:eastAsia="zh-CN"/>
                    </w:rPr>
                    <w:t>。</w:t>
                  </w:r>
                </w:p>
              </w:tc>
              <w:tc>
                <w:tcPr>
                  <w:tcW w:w="1873" w:type="dxa"/>
                  <w:vAlign w:val="center"/>
                </w:tcPr>
                <w:p>
                  <w:pPr>
                    <w:spacing w:after="0"/>
                    <w:jc w:val="center"/>
                    <w:rPr>
                      <w:rFonts w:hint="default"/>
                      <w:color w:val="auto"/>
                      <w:highlight w:val="none"/>
                    </w:rPr>
                  </w:pPr>
                  <w:r>
                    <w:rPr>
                      <w:rFonts w:hint="eastAsia"/>
                      <w:color w:val="auto"/>
                      <w:highlight w:val="none"/>
                      <w:lang w:val="en-US" w:eastAsia="zh-CN"/>
                    </w:rPr>
                    <w:t>本项目利用垃圾填埋气发电，属于利用生物质发电</w:t>
                  </w:r>
                </w:p>
              </w:tc>
              <w:tc>
                <w:tcPr>
                  <w:tcW w:w="806" w:type="dxa"/>
                  <w:vAlign w:val="center"/>
                </w:tcPr>
                <w:p>
                  <w:pPr>
                    <w:autoSpaceDE w:val="0"/>
                    <w:autoSpaceDN w:val="0"/>
                    <w:adjustRightInd w:val="0"/>
                    <w:snapToGrid w:val="0"/>
                    <w:spacing w:after="0"/>
                    <w:jc w:val="center"/>
                    <w:rPr>
                      <w:rFonts w:hint="eastAsia"/>
                      <w:color w:val="auto"/>
                      <w:highlight w:val="none"/>
                    </w:rPr>
                  </w:pPr>
                  <w:r>
                    <w:rPr>
                      <w:rFonts w:hint="eastAsia"/>
                      <w:color w:val="auto"/>
                      <w:highlight w:val="none"/>
                      <w:lang w:val="en-US" w:eastAsia="zh-CN"/>
                    </w:rPr>
                    <w:t>符合</w:t>
                  </w:r>
                </w:p>
              </w:tc>
            </w:tr>
          </w:tbl>
          <w:p/>
        </w:tc>
      </w:tr>
    </w:tbl>
    <w:p>
      <w:pPr>
        <w:sectPr>
          <w:footerReference w:type="even" r:id="rId8"/>
          <w:footerReference w:type="default" r:id="rId9"/>
          <w:type w:val="nextPage"/>
          <w:pgSz w:w="11906" w:h="16838" w:orient="portrait"/>
          <w:pgMar w:top="1440" w:right="1440" w:bottom="1440" w:left="1440" w:header="851" w:footer="1077"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linePitch="312"/>
        </w:sectPr>
      </w:pPr>
    </w:p>
    <w:tbl>
      <w:tblPr>
        <w:tblStyle w:val="TableNormal"/>
        <w:tblW w:w="907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67"/>
        <w:gridCol w:w="7804"/>
      </w:tblGrid>
      <w:tr>
        <w:tblPrEx>
          <w:tblW w:w="907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495"/>
        </w:trPr>
        <w:tc>
          <w:tcPr>
            <w:tcW w:w="1267" w:type="dxa"/>
            <w:vAlign w:val="center"/>
          </w:tcPr>
          <w:p/>
        </w:tc>
        <w:tc>
          <w:tcPr>
            <w:tcW w:w="7804" w:type="dxa"/>
            <w:vAlign w:val="center"/>
          </w:tcPr>
          <w:p>
            <w:pPr>
              <w:spacing w:after="0" w:line="360" w:lineRule="auto"/>
              <w:ind w:firstLine="480" w:firstLineChars="200"/>
              <w:jc w:val="left"/>
              <w:rPr>
                <w:rFonts w:hint="default"/>
                <w:color w:val="auto"/>
                <w:sz w:val="24"/>
                <w:highlight w:val="none"/>
              </w:rPr>
            </w:pPr>
            <w:r>
              <w:rPr>
                <w:rFonts w:hint="default"/>
                <w:color w:val="auto"/>
                <w:sz w:val="24"/>
                <w:szCs w:val="24"/>
                <w:highlight w:val="none"/>
              </w:rPr>
              <w:t>3、项目选址合理性分析</w:t>
            </w:r>
          </w:p>
          <w:p>
            <w:pPr>
              <w:spacing w:after="0" w:line="360" w:lineRule="auto"/>
              <w:ind w:firstLine="480" w:firstLineChars="200"/>
              <w:jc w:val="left"/>
              <w:rPr>
                <w:rFonts w:hint="default"/>
                <w:color w:val="auto"/>
                <w:sz w:val="24"/>
                <w:highlight w:val="none"/>
              </w:rPr>
            </w:pPr>
            <w:r>
              <w:rPr>
                <w:rFonts w:hint="default"/>
                <w:color w:val="auto"/>
                <w:sz w:val="24"/>
                <w:szCs w:val="24"/>
                <w:highlight w:val="none"/>
              </w:rPr>
              <w:t>本项目位于</w:t>
            </w:r>
            <w:r>
              <w:rPr>
                <w:rFonts w:hint="default"/>
                <w:color w:val="auto"/>
                <w:sz w:val="24"/>
                <w:szCs w:val="24"/>
                <w:highlight w:val="none"/>
                <w:lang w:val="en-US" w:eastAsia="zh-CN"/>
              </w:rPr>
              <w:t>渭南市临渭区马家沟生活垃圾填埋场垃圾电站院内</w:t>
            </w:r>
            <w:r>
              <w:rPr>
                <w:rFonts w:hint="eastAsia"/>
                <w:color w:val="auto"/>
                <w:sz w:val="24"/>
                <w:szCs w:val="24"/>
                <w:highlight w:val="none"/>
                <w:lang w:val="en-US" w:eastAsia="zh-CN"/>
              </w:rPr>
              <w:t>，利用项目内空地新增两台发电机，不新增占地。</w:t>
            </w:r>
            <w:r>
              <w:rPr>
                <w:rFonts w:hint="default"/>
                <w:color w:val="auto"/>
                <w:sz w:val="24"/>
                <w:szCs w:val="24"/>
                <w:highlight w:val="none"/>
              </w:rPr>
              <w:t>项目东</w:t>
            </w:r>
            <w:r>
              <w:rPr>
                <w:rFonts w:hint="eastAsia"/>
                <w:color w:val="auto"/>
                <w:sz w:val="24"/>
                <w:szCs w:val="24"/>
                <w:highlight w:val="none"/>
                <w:lang w:val="en-US" w:eastAsia="zh-CN"/>
              </w:rPr>
              <w:t>南</w:t>
            </w:r>
            <w:r>
              <w:rPr>
                <w:rFonts w:hint="default"/>
                <w:color w:val="auto"/>
                <w:sz w:val="24"/>
                <w:szCs w:val="24"/>
                <w:highlight w:val="none"/>
              </w:rPr>
              <w:t>侧</w:t>
            </w:r>
            <w:r>
              <w:rPr>
                <w:rFonts w:hint="eastAsia"/>
                <w:color w:val="auto"/>
                <w:sz w:val="24"/>
                <w:szCs w:val="24"/>
                <w:highlight w:val="none"/>
                <w:lang w:val="en-US" w:eastAsia="zh-CN"/>
              </w:rPr>
              <w:t>100</w:t>
            </w:r>
            <w:r>
              <w:rPr>
                <w:rFonts w:hint="default"/>
                <w:color w:val="auto"/>
                <w:sz w:val="24"/>
                <w:szCs w:val="24"/>
                <w:highlight w:val="none"/>
                <w:lang w:val="en-US" w:eastAsia="zh-CN"/>
              </w:rPr>
              <w:t>m处为</w:t>
            </w:r>
            <w:r>
              <w:rPr>
                <w:rFonts w:hint="eastAsia"/>
                <w:color w:val="auto"/>
                <w:sz w:val="24"/>
                <w:szCs w:val="24"/>
                <w:highlight w:val="none"/>
                <w:lang w:val="en-US" w:eastAsia="zh-CN"/>
              </w:rPr>
              <w:t>马家村垃圾填埋场</w:t>
            </w:r>
            <w:r>
              <w:rPr>
                <w:rFonts w:hint="default"/>
                <w:color w:val="auto"/>
                <w:sz w:val="24"/>
                <w:szCs w:val="24"/>
                <w:highlight w:val="none"/>
              </w:rPr>
              <w:t>，</w:t>
            </w:r>
            <w:r>
              <w:rPr>
                <w:rFonts w:hint="eastAsia"/>
                <w:color w:val="auto"/>
                <w:sz w:val="24"/>
                <w:szCs w:val="24"/>
                <w:highlight w:val="none"/>
                <w:lang w:val="en-US" w:eastAsia="zh-CN"/>
              </w:rPr>
              <w:t>西南侧57m为龙寿山公墓</w:t>
            </w:r>
            <w:r>
              <w:rPr>
                <w:rFonts w:hint="default"/>
                <w:color w:val="auto"/>
                <w:sz w:val="24"/>
                <w:szCs w:val="24"/>
                <w:highlight w:val="none"/>
                <w:lang w:val="en-US" w:eastAsia="zh-CN"/>
              </w:rPr>
              <w:t>，</w:t>
            </w:r>
            <w:r>
              <w:rPr>
                <w:rFonts w:hint="eastAsia"/>
                <w:color w:val="auto"/>
                <w:sz w:val="24"/>
                <w:szCs w:val="24"/>
                <w:highlight w:val="none"/>
                <w:lang w:val="en-US" w:eastAsia="zh-CN"/>
              </w:rPr>
              <w:t>西侧距马家村330m</w:t>
            </w:r>
            <w:r>
              <w:rPr>
                <w:rFonts w:hint="default"/>
                <w:color w:val="auto"/>
                <w:sz w:val="24"/>
                <w:szCs w:val="24"/>
                <w:highlight w:val="none"/>
                <w:lang w:val="en-US" w:eastAsia="zh-CN"/>
              </w:rPr>
              <w:t>，</w:t>
            </w:r>
            <w:r>
              <w:rPr>
                <w:rFonts w:hint="eastAsia"/>
                <w:color w:val="auto"/>
                <w:sz w:val="24"/>
                <w:szCs w:val="24"/>
                <w:highlight w:val="none"/>
                <w:lang w:val="en-US" w:eastAsia="zh-CN"/>
              </w:rPr>
              <w:t>西北侧距上孟村320m</w:t>
            </w:r>
            <w:r>
              <w:rPr>
                <w:rFonts w:hint="default"/>
                <w:color w:val="auto"/>
                <w:sz w:val="24"/>
                <w:szCs w:val="24"/>
                <w:highlight w:val="none"/>
              </w:rPr>
              <w:t>。本项目为</w:t>
            </w:r>
            <w:r>
              <w:rPr>
                <w:rFonts w:hint="eastAsia"/>
                <w:color w:val="auto"/>
                <w:sz w:val="24"/>
                <w:szCs w:val="24"/>
                <w:highlight w:val="none"/>
                <w:lang w:val="en-US" w:eastAsia="zh-CN"/>
              </w:rPr>
              <w:t>垃圾填埋气发电项目</w:t>
            </w:r>
            <w:r>
              <w:rPr>
                <w:rFonts w:hint="default"/>
                <w:color w:val="auto"/>
                <w:sz w:val="24"/>
                <w:szCs w:val="24"/>
                <w:highlight w:val="none"/>
              </w:rPr>
              <w:t>，废气、</w:t>
            </w:r>
            <w:r>
              <w:rPr>
                <w:rFonts w:hint="eastAsia"/>
                <w:color w:val="auto"/>
                <w:sz w:val="24"/>
                <w:szCs w:val="24"/>
                <w:highlight w:val="none"/>
                <w:lang w:val="en-US" w:eastAsia="zh-CN"/>
              </w:rPr>
              <w:t>废水、</w:t>
            </w:r>
            <w:r>
              <w:rPr>
                <w:rFonts w:hint="default"/>
                <w:color w:val="auto"/>
                <w:sz w:val="24"/>
                <w:szCs w:val="24"/>
                <w:highlight w:val="none"/>
              </w:rPr>
              <w:t>噪声、固废在采取相应的措施后能够达标排放且对周围环境影响较小</w:t>
            </w:r>
            <w:r>
              <w:rPr>
                <w:rFonts w:hint="eastAsia"/>
                <w:color w:val="auto"/>
                <w:sz w:val="24"/>
                <w:szCs w:val="24"/>
                <w:highlight w:val="none"/>
                <w:lang w:eastAsia="zh-CN"/>
              </w:rPr>
              <w:t>。</w:t>
            </w:r>
          </w:p>
          <w:p>
            <w:pPr>
              <w:spacing w:after="0" w:line="360" w:lineRule="auto"/>
              <w:ind w:firstLine="480" w:firstLineChars="200"/>
              <w:jc w:val="left"/>
              <w:rPr>
                <w:rFonts w:hint="default"/>
                <w:color w:val="auto"/>
                <w:sz w:val="24"/>
                <w:highlight w:val="none"/>
              </w:rPr>
            </w:pPr>
            <w:r>
              <w:rPr>
                <w:rFonts w:hint="default"/>
                <w:color w:val="auto"/>
                <w:sz w:val="24"/>
                <w:szCs w:val="24"/>
                <w:highlight w:val="none"/>
              </w:rPr>
              <w:t>从</w:t>
            </w:r>
            <w:r>
              <w:rPr>
                <w:rFonts w:hint="default"/>
                <w:color w:val="auto"/>
                <w:sz w:val="24"/>
                <w:szCs w:val="24"/>
                <w:highlight w:val="none"/>
                <w:lang w:val="en-US" w:eastAsia="zh-CN"/>
              </w:rPr>
              <w:t>环境保护</w:t>
            </w:r>
            <w:r>
              <w:rPr>
                <w:rFonts w:hint="default"/>
                <w:color w:val="auto"/>
                <w:sz w:val="24"/>
                <w:szCs w:val="24"/>
                <w:highlight w:val="none"/>
              </w:rPr>
              <w:t>角度分析，</w:t>
            </w:r>
            <w:r>
              <w:rPr>
                <w:rFonts w:hint="default"/>
                <w:color w:val="auto"/>
                <w:sz w:val="24"/>
                <w:szCs w:val="24"/>
                <w:highlight w:val="none"/>
                <w:lang w:val="en-US" w:eastAsia="zh-CN"/>
              </w:rPr>
              <w:t>项目</w:t>
            </w:r>
            <w:r>
              <w:rPr>
                <w:rFonts w:hint="default"/>
                <w:color w:val="auto"/>
                <w:sz w:val="24"/>
                <w:szCs w:val="24"/>
                <w:highlight w:val="none"/>
              </w:rPr>
              <w:t>选址可行。</w:t>
            </w:r>
          </w:p>
          <w:p>
            <w:pPr>
              <w:autoSpaceDE w:val="0"/>
              <w:autoSpaceDN w:val="0"/>
              <w:adjustRightInd w:val="0"/>
              <w:snapToGrid w:val="0"/>
              <w:spacing w:after="0" w:line="360" w:lineRule="auto"/>
              <w:ind w:firstLine="480" w:firstLineChars="200"/>
              <w:rPr>
                <w:rFonts w:hint="default"/>
                <w:color w:val="auto"/>
                <w:sz w:val="24"/>
                <w:highlight w:val="none"/>
              </w:rPr>
            </w:pPr>
            <w:r>
              <w:rPr>
                <w:rFonts w:hint="default"/>
                <w:color w:val="auto"/>
                <w:sz w:val="24"/>
                <w:szCs w:val="24"/>
                <w:highlight w:val="none"/>
              </w:rPr>
              <w:t>4、</w:t>
            </w:r>
            <w:r>
              <w:rPr>
                <w:rFonts w:hint="default"/>
                <w:color w:val="auto"/>
                <w:sz w:val="24"/>
                <w:szCs w:val="24"/>
                <w:highlight w:val="none"/>
              </w:rPr>
              <w:t>“</w:t>
            </w:r>
            <w:r>
              <w:rPr>
                <w:rFonts w:hint="default"/>
                <w:color w:val="auto"/>
                <w:sz w:val="24"/>
                <w:szCs w:val="24"/>
                <w:highlight w:val="none"/>
              </w:rPr>
              <w:t>三线一单</w:t>
            </w:r>
            <w:r>
              <w:rPr>
                <w:rFonts w:hint="default"/>
                <w:color w:val="auto"/>
                <w:sz w:val="24"/>
                <w:szCs w:val="24"/>
                <w:highlight w:val="none"/>
              </w:rPr>
              <w:t>”</w:t>
            </w:r>
            <w:r>
              <w:rPr>
                <w:rFonts w:hint="default"/>
                <w:color w:val="auto"/>
                <w:sz w:val="24"/>
                <w:szCs w:val="24"/>
                <w:highlight w:val="none"/>
              </w:rPr>
              <w:t>相符性分析</w:t>
            </w:r>
          </w:p>
          <w:p>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jc w:val="both"/>
              <w:textAlignment w:val="auto"/>
              <w:rPr>
                <w:rFonts w:hint="default"/>
                <w:color w:val="auto"/>
                <w:sz w:val="24"/>
                <w:highlight w:val="none"/>
              </w:rPr>
            </w:pPr>
            <w:r>
              <w:rPr>
                <w:rFonts w:hint="default"/>
                <w:color w:val="auto"/>
                <w:sz w:val="24"/>
                <w:szCs w:val="24"/>
                <w:highlight w:val="none"/>
              </w:rPr>
              <w:t>根据</w:t>
            </w:r>
            <w:r>
              <w:rPr>
                <w:rFonts w:hint="eastAsia"/>
                <w:color w:val="auto"/>
                <w:sz w:val="24"/>
                <w:szCs w:val="24"/>
                <w:highlight w:val="none"/>
              </w:rPr>
              <w:t>渭南市</w:t>
            </w:r>
            <w:r>
              <w:rPr>
                <w:rFonts w:hint="default"/>
                <w:color w:val="auto"/>
                <w:sz w:val="24"/>
                <w:szCs w:val="24"/>
                <w:highlight w:val="none"/>
              </w:rPr>
              <w:t>人民政府印发《</w:t>
            </w:r>
            <w:r>
              <w:rPr>
                <w:rFonts w:hint="eastAsia"/>
                <w:color w:val="auto"/>
                <w:sz w:val="24"/>
                <w:szCs w:val="24"/>
                <w:highlight w:val="none"/>
              </w:rPr>
              <w:t>渭南市</w:t>
            </w:r>
            <w:r>
              <w:rPr>
                <w:rFonts w:hint="eastAsia"/>
                <w:color w:val="auto"/>
                <w:sz w:val="24"/>
                <w:szCs w:val="24"/>
                <w:highlight w:val="none"/>
              </w:rPr>
              <w:t>“</w:t>
            </w:r>
            <w:r>
              <w:rPr>
                <w:rFonts w:hint="eastAsia"/>
                <w:color w:val="auto"/>
                <w:sz w:val="24"/>
                <w:szCs w:val="24"/>
                <w:highlight w:val="none"/>
              </w:rPr>
              <w:t>三线一单</w:t>
            </w:r>
            <w:r>
              <w:rPr>
                <w:rFonts w:hint="eastAsia"/>
                <w:color w:val="auto"/>
                <w:sz w:val="24"/>
                <w:szCs w:val="24"/>
                <w:highlight w:val="none"/>
              </w:rPr>
              <w:t>”</w:t>
            </w:r>
            <w:r>
              <w:rPr>
                <w:rFonts w:hint="eastAsia"/>
                <w:color w:val="auto"/>
                <w:sz w:val="24"/>
                <w:szCs w:val="24"/>
                <w:highlight w:val="none"/>
              </w:rPr>
              <w:t>生态环境分区管控方案的通知</w:t>
            </w:r>
            <w:r>
              <w:rPr>
                <w:rFonts w:hint="default"/>
                <w:color w:val="auto"/>
                <w:sz w:val="24"/>
                <w:szCs w:val="24"/>
                <w:highlight w:val="none"/>
              </w:rPr>
              <w:t>》（</w:t>
            </w:r>
            <w:r>
              <w:rPr>
                <w:rFonts w:hint="eastAsia"/>
                <w:color w:val="auto"/>
                <w:sz w:val="24"/>
                <w:szCs w:val="24"/>
                <w:highlight w:val="none"/>
              </w:rPr>
              <w:t>渭政[2021]35号</w:t>
            </w:r>
            <w:r>
              <w:rPr>
                <w:rFonts w:hint="default"/>
                <w:color w:val="auto"/>
                <w:sz w:val="24"/>
                <w:szCs w:val="24"/>
                <w:highlight w:val="none"/>
              </w:rPr>
              <w:t>），本项目所在区域属于重点管控单元</w:t>
            </w:r>
            <w:r>
              <w:rPr>
                <w:rFonts w:hint="eastAsia"/>
                <w:color w:val="auto"/>
                <w:sz w:val="24"/>
                <w:szCs w:val="24"/>
                <w:highlight w:val="none"/>
                <w:lang w:eastAsia="zh-CN"/>
              </w:rPr>
              <w:t>。</w:t>
            </w:r>
            <w:r>
              <w:rPr>
                <w:rFonts w:hint="default"/>
                <w:color w:val="auto"/>
                <w:sz w:val="24"/>
                <w:szCs w:val="24"/>
                <w:highlight w:val="none"/>
              </w:rPr>
              <w:t>本项目与</w:t>
            </w:r>
            <w:r>
              <w:rPr>
                <w:rFonts w:hint="default"/>
                <w:color w:val="auto"/>
                <w:sz w:val="24"/>
                <w:szCs w:val="24"/>
                <w:highlight w:val="none"/>
              </w:rPr>
              <w:t>“</w:t>
            </w:r>
            <w:r>
              <w:rPr>
                <w:rFonts w:hint="default"/>
                <w:color w:val="auto"/>
                <w:sz w:val="24"/>
                <w:szCs w:val="24"/>
                <w:highlight w:val="none"/>
              </w:rPr>
              <w:t>三线一单</w:t>
            </w:r>
            <w:r>
              <w:rPr>
                <w:rFonts w:hint="default"/>
                <w:color w:val="auto"/>
                <w:sz w:val="24"/>
                <w:szCs w:val="24"/>
                <w:highlight w:val="none"/>
              </w:rPr>
              <w:t>”</w:t>
            </w:r>
            <w:r>
              <w:rPr>
                <w:rFonts w:hint="default"/>
                <w:color w:val="auto"/>
                <w:sz w:val="24"/>
                <w:szCs w:val="24"/>
                <w:highlight w:val="none"/>
              </w:rPr>
              <w:t>的符合性分析见表</w:t>
            </w:r>
            <w:r>
              <w:rPr>
                <w:rFonts w:hint="eastAsia"/>
                <w:color w:val="auto"/>
                <w:sz w:val="24"/>
                <w:szCs w:val="24"/>
                <w:highlight w:val="none"/>
                <w:lang w:val="en-US" w:eastAsia="zh-CN"/>
              </w:rPr>
              <w:t>1-2</w:t>
            </w:r>
          </w:p>
          <w:p>
            <w:pPr>
              <w:autoSpaceDE w:val="0"/>
              <w:autoSpaceDN w:val="0"/>
              <w:adjustRightInd w:val="0"/>
              <w:snapToGrid w:val="0"/>
              <w:spacing w:after="0" w:line="360" w:lineRule="auto"/>
              <w:jc w:val="center"/>
              <w:rPr>
                <w:rFonts w:hint="default"/>
                <w:b/>
                <w:bCs/>
                <w:color w:val="auto"/>
                <w:highlight w:val="none"/>
              </w:rPr>
            </w:pPr>
            <w:r>
              <w:rPr>
                <w:rFonts w:ascii="Times New Roman" w:eastAsia="宋体" w:hAnsi="Times New Roman" w:cs="Times New Roman" w:hint="default"/>
                <w:b/>
                <w:bCs/>
                <w:color w:val="auto"/>
                <w:highlight w:val="none"/>
              </w:rPr>
              <w:t>表1</w:t>
            </w:r>
            <w:r>
              <w:rPr>
                <w:rFonts w:ascii="Times New Roman" w:eastAsia="宋体" w:hAnsi="Times New Roman" w:cs="Times New Roman" w:hint="default"/>
                <w:b/>
                <w:bCs/>
                <w:color w:val="auto"/>
                <w:highlight w:val="none"/>
                <w:lang w:val="en-US" w:eastAsia="zh-CN"/>
              </w:rPr>
              <w:t>-2</w:t>
            </w:r>
            <w:r>
              <w:rPr>
                <w:rFonts w:ascii="Times New Roman" w:eastAsia="宋体" w:hAnsi="Times New Roman" w:cs="Times New Roman" w:hint="default"/>
                <w:b/>
                <w:bCs/>
                <w:color w:val="auto"/>
                <w:highlight w:val="none"/>
              </w:rPr>
              <w:t xml:space="preserve">  </w:t>
            </w:r>
            <w:r>
              <w:rPr>
                <w:rFonts w:ascii="Times New Roman" w:eastAsia="宋体" w:hAnsi="Times New Roman" w:cs="Times New Roman" w:hint="default"/>
                <w:b/>
                <w:bCs/>
                <w:color w:val="auto"/>
                <w:highlight w:val="none"/>
              </w:rPr>
              <w:t>“</w:t>
            </w:r>
            <w:r>
              <w:rPr>
                <w:rFonts w:ascii="Times New Roman" w:eastAsia="宋体" w:hAnsi="Times New Roman" w:cs="Times New Roman" w:hint="default"/>
                <w:b/>
                <w:bCs/>
                <w:color w:val="auto"/>
                <w:highlight w:val="none"/>
              </w:rPr>
              <w:t>三线一单</w:t>
            </w:r>
            <w:r>
              <w:rPr>
                <w:rFonts w:ascii="Times New Roman" w:eastAsia="宋体" w:hAnsi="Times New Roman" w:cs="Times New Roman" w:hint="default"/>
                <w:b/>
                <w:bCs/>
                <w:color w:val="auto"/>
                <w:highlight w:val="none"/>
              </w:rPr>
              <w:t>”</w:t>
            </w:r>
            <w:r>
              <w:rPr>
                <w:rFonts w:ascii="Times New Roman" w:eastAsia="宋体" w:hAnsi="Times New Roman" w:cs="Times New Roman" w:hint="default"/>
                <w:b/>
                <w:bCs/>
                <w:color w:val="auto"/>
                <w:highlight w:val="none"/>
              </w:rPr>
              <w:t>符合性分析</w:t>
            </w:r>
          </w:p>
          <w:tbl>
            <w:tblPr>
              <w:tblStyle w:val="TableNormal"/>
              <w:tblW w:w="7518" w:type="dxa"/>
              <w:jc w:val="center"/>
              <w:tblInd w:w="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
            <w:tblGrid>
              <w:gridCol w:w="814"/>
              <w:gridCol w:w="5967"/>
              <w:gridCol w:w="737"/>
            </w:tblGrid>
            <w:tr>
              <w:tblPrEx>
                <w:tblW w:w="7518" w:type="dxa"/>
                <w:jc w:val="center"/>
                <w:tblInd w:w="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Ex>
              <w:trPr>
                <w:trHeight w:val="214"/>
                <w:jc w:val="center"/>
              </w:trPr>
              <w:tc>
                <w:tcPr>
                  <w:tcW w:w="81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b/>
                      <w:bCs/>
                      <w:color w:val="auto"/>
                      <w:highlight w:val="none"/>
                    </w:rPr>
                  </w:pPr>
                  <w:r>
                    <w:rPr>
                      <w:rFonts w:hint="default"/>
                      <w:b/>
                      <w:bCs/>
                      <w:color w:val="auto"/>
                      <w:highlight w:val="none"/>
                    </w:rPr>
                    <w:t>名称</w:t>
                  </w:r>
                </w:p>
              </w:tc>
              <w:tc>
                <w:tcPr>
                  <w:tcW w:w="59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b/>
                      <w:bCs/>
                      <w:color w:val="auto"/>
                      <w:highlight w:val="none"/>
                    </w:rPr>
                  </w:pPr>
                  <w:r>
                    <w:rPr>
                      <w:rFonts w:hint="default"/>
                      <w:b/>
                      <w:bCs/>
                      <w:color w:val="auto"/>
                      <w:highlight w:val="none"/>
                    </w:rPr>
                    <w:t>项目情况</w:t>
                  </w:r>
                </w:p>
              </w:tc>
              <w:tc>
                <w:tcPr>
                  <w:tcW w:w="73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b/>
                      <w:bCs/>
                      <w:color w:val="auto"/>
                      <w:highlight w:val="none"/>
                    </w:rPr>
                  </w:pPr>
                  <w:r>
                    <w:rPr>
                      <w:rFonts w:hint="default"/>
                      <w:b/>
                      <w:bCs/>
                      <w:color w:val="auto"/>
                      <w:highlight w:val="none"/>
                    </w:rPr>
                    <w:t>符合情况</w:t>
                  </w:r>
                </w:p>
              </w:tc>
            </w:tr>
            <w:tr>
              <w:tblPrEx>
                <w:tblW w:w="7518" w:type="dxa"/>
                <w:jc w:val="center"/>
                <w:tblInd w:w="2" w:type="dxa"/>
                <w:tblLayout w:type="fixed"/>
                <w:tblCellMar>
                  <w:top w:w="0" w:type="dxa"/>
                  <w:left w:w="0" w:type="dxa"/>
                  <w:bottom w:w="0" w:type="dxa"/>
                  <w:right w:w="0" w:type="dxa"/>
                </w:tblCellMar>
                <w:tblLook w:val="0000"/>
              </w:tblPrEx>
              <w:trPr>
                <w:trHeight w:val="638"/>
                <w:jc w:val="center"/>
              </w:trPr>
              <w:tc>
                <w:tcPr>
                  <w:tcW w:w="81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r>
                    <w:rPr>
                      <w:rFonts w:hint="default"/>
                      <w:color w:val="auto"/>
                      <w:highlight w:val="none"/>
                    </w:rPr>
                    <w:t>生态红线</w:t>
                  </w:r>
                </w:p>
              </w:tc>
              <w:tc>
                <w:tcPr>
                  <w:tcW w:w="59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textAlignment w:val="auto"/>
                    <w:rPr>
                      <w:rFonts w:hint="default"/>
                      <w:color w:val="auto"/>
                      <w:highlight w:val="none"/>
                    </w:rPr>
                  </w:pPr>
                  <w:r>
                    <w:rPr>
                      <w:rFonts w:hint="default"/>
                      <w:color w:val="auto"/>
                      <w:highlight w:val="none"/>
                    </w:rPr>
                    <w:t>本项目位于</w:t>
                  </w:r>
                  <w:r>
                    <w:rPr>
                      <w:rFonts w:hint="default"/>
                      <w:color w:val="auto"/>
                      <w:highlight w:val="none"/>
                      <w:lang w:val="en-US" w:eastAsia="zh-CN"/>
                    </w:rPr>
                    <w:t>渭南市临渭区马家沟生活垃圾填埋场垃圾电站院内</w:t>
                  </w:r>
                  <w:r>
                    <w:rPr>
                      <w:rFonts w:hint="default"/>
                      <w:color w:val="auto"/>
                      <w:highlight w:val="none"/>
                    </w:rPr>
                    <w:t>，本项目不涉及</w:t>
                  </w:r>
                  <w:r>
                    <w:rPr>
                      <w:rFonts w:hint="default"/>
                      <w:color w:val="auto"/>
                      <w:highlight w:val="none"/>
                    </w:rPr>
                    <w:t>“</w:t>
                  </w:r>
                  <w:r>
                    <w:rPr>
                      <w:rFonts w:hint="default"/>
                      <w:color w:val="auto"/>
                      <w:highlight w:val="none"/>
                    </w:rPr>
                    <w:t>国家公园、自然保护区、森林公园的生态保育区和核心景观区、风景名胜区的核心景区、地质公园的地质遗迹保护区、世界自然遗产的核心区和缓冲区、湿地公园的湿地保育区和恢复重建区、饮用水水源地的一级保护区、水产种质资源保护区的核心区、其他类型禁止开发区的核心保护区域</w:t>
                  </w:r>
                  <w:r>
                    <w:rPr>
                      <w:rFonts w:hint="default"/>
                      <w:color w:val="auto"/>
                      <w:highlight w:val="none"/>
                    </w:rPr>
                    <w:t>”</w:t>
                  </w:r>
                  <w:r>
                    <w:rPr>
                      <w:rFonts w:hint="default"/>
                      <w:color w:val="auto"/>
                      <w:highlight w:val="none"/>
                    </w:rPr>
                    <w:t>等需划入生态保护红线的国家级和省级禁止开发区，也不涉及</w:t>
                  </w:r>
                  <w:r>
                    <w:rPr>
                      <w:rFonts w:hint="default"/>
                      <w:color w:val="auto"/>
                      <w:highlight w:val="none"/>
                    </w:rPr>
                    <w:t>“</w:t>
                  </w:r>
                  <w:r>
                    <w:rPr>
                      <w:rFonts w:hint="default"/>
                      <w:color w:val="auto"/>
                      <w:highlight w:val="none"/>
                    </w:rPr>
                    <w:t>国家一级公益林、国家级水土流失重点预防区、沙化土地封禁保护区、野生植物集中分布地、自然岸线、雪山冰川、高原冻土等重要生态保护地</w:t>
                  </w:r>
                  <w:r>
                    <w:rPr>
                      <w:rFonts w:hint="default"/>
                      <w:color w:val="auto"/>
                      <w:highlight w:val="none"/>
                    </w:rPr>
                    <w:t>”</w:t>
                  </w:r>
                  <w:r>
                    <w:rPr>
                      <w:rFonts w:hint="default"/>
                      <w:color w:val="auto"/>
                      <w:highlight w:val="none"/>
                    </w:rPr>
                    <w:t>等需根据实际情况划入生态保护红线范围的区域。</w:t>
                  </w:r>
                </w:p>
              </w:tc>
              <w:tc>
                <w:tcPr>
                  <w:tcW w:w="73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r>
                    <w:rPr>
                      <w:rFonts w:hint="default"/>
                      <w:color w:val="auto"/>
                      <w:highlight w:val="none"/>
                    </w:rPr>
                    <w:t>符合</w:t>
                  </w:r>
                </w:p>
              </w:tc>
            </w:tr>
            <w:tr>
              <w:tblPrEx>
                <w:tblW w:w="7518" w:type="dxa"/>
                <w:jc w:val="center"/>
                <w:tblInd w:w="2" w:type="dxa"/>
                <w:tblLayout w:type="fixed"/>
                <w:tblCellMar>
                  <w:top w:w="0" w:type="dxa"/>
                  <w:left w:w="0" w:type="dxa"/>
                  <w:bottom w:w="0" w:type="dxa"/>
                  <w:right w:w="0" w:type="dxa"/>
                </w:tblCellMar>
                <w:tblLook w:val="0000"/>
              </w:tblPrEx>
              <w:trPr>
                <w:trHeight w:val="90"/>
                <w:jc w:val="center"/>
              </w:trPr>
              <w:tc>
                <w:tcPr>
                  <w:tcW w:w="81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r>
                    <w:rPr>
                      <w:rFonts w:hint="default"/>
                      <w:color w:val="auto"/>
                      <w:highlight w:val="none"/>
                    </w:rPr>
                    <w:t>环境质量底线</w:t>
                  </w:r>
                </w:p>
              </w:tc>
              <w:tc>
                <w:tcPr>
                  <w:tcW w:w="59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textAlignment w:val="auto"/>
                    <w:rPr>
                      <w:rFonts w:hint="default"/>
                      <w:color w:val="auto"/>
                      <w:highlight w:val="none"/>
                    </w:rPr>
                  </w:pPr>
                  <w:r>
                    <w:rPr>
                      <w:rFonts w:hint="default"/>
                      <w:color w:val="auto"/>
                      <w:highlight w:val="none"/>
                    </w:rPr>
                    <w:t>根据</w:t>
                  </w:r>
                  <w:r>
                    <w:rPr>
                      <w:rFonts w:hint="default"/>
                      <w:color w:val="auto"/>
                      <w:highlight w:val="none"/>
                      <w:lang w:eastAsia="zh-CN"/>
                    </w:rPr>
                    <w:t>项目区环境质量现状：</w:t>
                  </w:r>
                </w:p>
                <w:p>
                  <w:pPr>
                    <w:keepNext w:val="0"/>
                    <w:keepLines w:val="0"/>
                    <w:pageBreakBefore w:val="0"/>
                    <w:widowControl w:val="0"/>
                    <w:kinsoku/>
                    <w:wordWrap/>
                    <w:overflowPunct/>
                    <w:topLinePunct w:val="0"/>
                    <w:autoSpaceDE w:val="0"/>
                    <w:autoSpaceDN w:val="0"/>
                    <w:bidi w:val="0"/>
                    <w:adjustRightInd w:val="0"/>
                    <w:snapToGrid w:val="0"/>
                    <w:spacing w:after="0" w:line="240" w:lineRule="auto"/>
                    <w:textAlignment w:val="auto"/>
                    <w:rPr>
                      <w:rFonts w:hint="default"/>
                      <w:color w:val="auto"/>
                      <w:highlight w:val="none"/>
                    </w:rPr>
                  </w:pPr>
                  <w:r>
                    <w:rPr>
                      <w:rFonts w:hint="default"/>
                      <w:color w:val="auto"/>
                      <w:highlight w:val="none"/>
                      <w:lang w:eastAsia="zh-CN"/>
                    </w:rPr>
                    <w:t>引用陕西省生态环境厅发布的《陕西省环保快报》中渭南市临渭区2021年1~12月大气常规六项污染物监测结果，本项目所在评价区域为不达标区，PM2.5、PM10、NO2年平均质量浓度超标。本项目环境空气功能区为二类区，执行《环境空气质量标准》（GB3095-2012）二级标准；声环境执行《声环境质量标准》（GB3096-2008）2类标准。项目建设应按照本环评要求的措施合理处置各项污染物，建成后对周边的影响较小。</w:t>
                  </w:r>
                </w:p>
              </w:tc>
              <w:tc>
                <w:tcPr>
                  <w:tcW w:w="73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r>
                    <w:rPr>
                      <w:rFonts w:hint="default"/>
                      <w:color w:val="auto"/>
                      <w:highlight w:val="none"/>
                    </w:rPr>
                    <w:t>符合</w:t>
                  </w:r>
                </w:p>
              </w:tc>
            </w:tr>
            <w:tr>
              <w:tblPrEx>
                <w:tblW w:w="7518" w:type="dxa"/>
                <w:jc w:val="center"/>
                <w:tblInd w:w="2" w:type="dxa"/>
                <w:tblLayout w:type="fixed"/>
                <w:tblCellMar>
                  <w:top w:w="0" w:type="dxa"/>
                  <w:left w:w="0" w:type="dxa"/>
                  <w:bottom w:w="0" w:type="dxa"/>
                  <w:right w:w="0" w:type="dxa"/>
                </w:tblCellMar>
                <w:tblLook w:val="0000"/>
              </w:tblPrEx>
              <w:trPr>
                <w:trHeight w:val="614"/>
                <w:jc w:val="center"/>
              </w:trPr>
              <w:tc>
                <w:tcPr>
                  <w:tcW w:w="81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r>
                    <w:rPr>
                      <w:rFonts w:hint="default"/>
                      <w:color w:val="auto"/>
                      <w:highlight w:val="none"/>
                    </w:rPr>
                    <w:t>资源利用上线</w:t>
                  </w:r>
                </w:p>
              </w:tc>
              <w:tc>
                <w:tcPr>
                  <w:tcW w:w="59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textAlignment w:val="auto"/>
                    <w:rPr>
                      <w:rFonts w:hint="default"/>
                      <w:color w:val="auto"/>
                      <w:highlight w:val="none"/>
                    </w:rPr>
                  </w:pPr>
                  <w:r>
                    <w:rPr>
                      <w:rFonts w:hint="default"/>
                      <w:color w:val="auto"/>
                      <w:highlight w:val="none"/>
                    </w:rPr>
                    <w:t>项目运营过程中会消耗一定量的水资源，项目资源消耗量相对区域资源利用总量较少</w:t>
                  </w:r>
                  <w:r>
                    <w:rPr>
                      <w:rFonts w:hint="default"/>
                      <w:color w:val="auto"/>
                      <w:highlight w:val="none"/>
                      <w:lang w:eastAsia="zh-CN"/>
                    </w:rPr>
                    <w:t>。</w:t>
                  </w:r>
                </w:p>
              </w:tc>
              <w:tc>
                <w:tcPr>
                  <w:tcW w:w="73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r>
                    <w:rPr>
                      <w:rFonts w:hint="default"/>
                      <w:color w:val="auto"/>
                      <w:highlight w:val="none"/>
                    </w:rPr>
                    <w:t>符合</w:t>
                  </w:r>
                </w:p>
              </w:tc>
            </w:tr>
            <w:tr>
              <w:tblPrEx>
                <w:tblW w:w="7518" w:type="dxa"/>
                <w:jc w:val="center"/>
                <w:tblInd w:w="2" w:type="dxa"/>
                <w:tblLayout w:type="fixed"/>
                <w:tblCellMar>
                  <w:top w:w="0" w:type="dxa"/>
                  <w:left w:w="0" w:type="dxa"/>
                  <w:bottom w:w="0" w:type="dxa"/>
                  <w:right w:w="0" w:type="dxa"/>
                </w:tblCellMar>
                <w:tblLook w:val="0000"/>
              </w:tblPrEx>
              <w:trPr>
                <w:trHeight w:val="524"/>
                <w:jc w:val="center"/>
              </w:trPr>
              <w:tc>
                <w:tcPr>
                  <w:tcW w:w="814"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r>
                    <w:rPr>
                      <w:rFonts w:hint="default"/>
                      <w:color w:val="auto"/>
                      <w:highlight w:val="none"/>
                    </w:rPr>
                    <w:t>环境准入负面清单</w:t>
                  </w:r>
                </w:p>
              </w:tc>
              <w:tc>
                <w:tcPr>
                  <w:tcW w:w="59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textAlignment w:val="auto"/>
                    <w:rPr>
                      <w:rFonts w:hint="default"/>
                      <w:color w:val="auto"/>
                      <w:highlight w:val="none"/>
                    </w:rPr>
                  </w:pPr>
                  <w:r>
                    <w:rPr>
                      <w:rFonts w:hint="default"/>
                      <w:color w:val="auto"/>
                      <w:highlight w:val="none"/>
                    </w:rPr>
                    <w:t>项目区不在《陕西省国家重点生态功能区产业准入负面清单（试行）》范围内。</w:t>
                  </w:r>
                </w:p>
              </w:tc>
              <w:tc>
                <w:tcPr>
                  <w:tcW w:w="73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r>
                    <w:rPr>
                      <w:rFonts w:hint="default"/>
                      <w:color w:val="auto"/>
                      <w:highlight w:val="none"/>
                    </w:rPr>
                    <w:t>符合</w:t>
                  </w:r>
                </w:p>
              </w:tc>
            </w:tr>
            <w:tr>
              <w:tblPrEx>
                <w:tblW w:w="7518" w:type="dxa"/>
                <w:jc w:val="center"/>
                <w:tblInd w:w="2" w:type="dxa"/>
                <w:tblLayout w:type="fixed"/>
                <w:tblCellMar>
                  <w:top w:w="0" w:type="dxa"/>
                  <w:left w:w="0" w:type="dxa"/>
                  <w:bottom w:w="0" w:type="dxa"/>
                  <w:right w:w="0" w:type="dxa"/>
                </w:tblCellMar>
                <w:tblLook w:val="0000"/>
              </w:tblPrEx>
              <w:trPr>
                <w:trHeight w:val="904"/>
                <w:jc w:val="center"/>
              </w:trPr>
              <w:tc>
                <w:tcPr>
                  <w:tcW w:w="814" w:type="dxa"/>
                  <w:vMerg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default"/>
                      <w:color w:val="auto"/>
                      <w:highlight w:val="none"/>
                    </w:rPr>
                  </w:pPr>
                </w:p>
              </w:tc>
              <w:tc>
                <w:tcPr>
                  <w:tcW w:w="59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textAlignment w:val="auto"/>
                    <w:rPr>
                      <w:rFonts w:hint="eastAsia"/>
                      <w:color w:val="auto"/>
                      <w:highlight w:val="none"/>
                    </w:rPr>
                  </w:pPr>
                  <w:r>
                    <w:rPr>
                      <w:rFonts w:ascii="Times New Roman" w:eastAsia="宋体" w:hAnsi="Times New Roman" w:cs="Times New Roman"/>
                      <w:color w:val="auto"/>
                      <w:spacing w:val="-10"/>
                      <w:sz w:val="21"/>
                      <w:szCs w:val="21"/>
                      <w:highlight w:val="none"/>
                    </w:rPr>
                    <w:t>本项目符合渭南市“三线一单”生态环境分区管控方案中重点管控单元管控要求</w:t>
                  </w:r>
                  <w:r>
                    <w:rPr>
                      <w:rFonts w:ascii="Times New Roman" w:eastAsia="宋体" w:hAnsi="Times New Roman" w:cs="Times New Roman" w:hint="eastAsia"/>
                      <w:color w:val="auto"/>
                      <w:spacing w:val="-10"/>
                      <w:sz w:val="21"/>
                      <w:szCs w:val="21"/>
                      <w:highlight w:val="none"/>
                      <w:lang w:eastAsia="zh-CN"/>
                    </w:rPr>
                    <w:t>：</w:t>
                  </w:r>
                  <w:r>
                    <w:rPr>
                      <w:rFonts w:ascii="Times New Roman" w:eastAsia="宋体" w:hAnsi="Times New Roman" w:cs="Times New Roman"/>
                      <w:color w:val="auto"/>
                      <w:spacing w:val="-10"/>
                      <w:sz w:val="21"/>
                      <w:szCs w:val="21"/>
                      <w:highlight w:val="none"/>
                    </w:rPr>
                    <w:t>以“双碳战略为突破口，进一步优化产业布局，持续推进能源化工产业转型升级，加强污染物排放控制和环境风险防控，不断提升资源能源利用效率，解决生态环境质量不优、生态环境风险高等问题”。</w:t>
                  </w:r>
                </w:p>
              </w:tc>
              <w:tc>
                <w:tcPr>
                  <w:tcW w:w="73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rFonts w:hint="eastAsia"/>
                      <w:color w:val="auto"/>
                      <w:highlight w:val="none"/>
                    </w:rPr>
                  </w:pPr>
                  <w:r>
                    <w:rPr>
                      <w:rFonts w:hint="eastAsia"/>
                      <w:color w:val="auto"/>
                      <w:highlight w:val="none"/>
                      <w:lang w:val="en-US" w:eastAsia="zh-CN"/>
                    </w:rPr>
                    <w:t>符合</w:t>
                  </w:r>
                </w:p>
              </w:tc>
            </w:tr>
          </w:tbl>
          <w:p>
            <w:pPr>
              <w:pStyle w:val="Heading2"/>
              <w:rPr>
                <w:rFonts w:hint="default"/>
                <w:color w:val="auto"/>
                <w:highlight w:val="none"/>
              </w:rPr>
            </w:pPr>
          </w:p>
        </w:tc>
      </w:tr>
    </w:tbl>
    <w:p>
      <w:pPr>
        <w:spacing w:line="360" w:lineRule="auto"/>
        <w:outlineLvl w:val="0"/>
        <w:rPr>
          <w:color w:val="auto"/>
          <w:sz w:val="30"/>
          <w:highlight w:val="none"/>
        </w:rPr>
        <w:sectPr>
          <w:footerReference w:type="even" r:id="rId10"/>
          <w:footerReference w:type="default" r:id="rId11"/>
          <w:type w:val="nextPage"/>
          <w:pgSz w:w="11906" w:h="16838" w:orient="portrait"/>
          <w:pgMar w:top="1440" w:right="1440" w:bottom="1440" w:left="1440" w:header="851" w:footer="1077"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linePitch="312"/>
        </w:sectPr>
      </w:pPr>
    </w:p>
    <w:p>
      <w:pPr>
        <w:pStyle w:val="NormalWeb"/>
        <w:spacing w:before="0" w:beforeAutospacing="0" w:after="0" w:afterAutospacing="0" w:line="360" w:lineRule="auto"/>
        <w:jc w:val="center"/>
        <w:outlineLvl w:val="0"/>
        <w:rPr>
          <w:rFonts w:ascii="Times New Roman" w:hAnsi="Times New Roman"/>
          <w:snapToGrid w:val="0"/>
          <w:color w:val="auto"/>
          <w:sz w:val="30"/>
          <w:szCs w:val="30"/>
          <w:highlight w:val="none"/>
        </w:rPr>
      </w:pPr>
      <w:r>
        <w:rPr>
          <w:rFonts w:ascii="Times New Roman" w:hAnsi="Times New Roman"/>
          <w:snapToGrid w:val="0"/>
          <w:color w:val="auto"/>
          <w:sz w:val="30"/>
          <w:szCs w:val="30"/>
          <w:highlight w:val="none"/>
        </w:rPr>
        <w:t>二、建设项目工程分析</w:t>
      </w:r>
    </w:p>
    <w:tbl>
      <w:tblPr>
        <w:tblStyle w:val="TableNormal"/>
        <w:tblW w:w="907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790"/>
      </w:tblGrid>
      <w:tr>
        <w:tblPrEx>
          <w:tblW w:w="907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trPr>
        <w:tc>
          <w:tcPr>
            <w:tcW w:w="678" w:type="dxa"/>
            <w:vAlign w:val="center"/>
          </w:tcPr>
          <w:p>
            <w:pPr>
              <w:pStyle w:val="NormalWeb"/>
              <w:adjustRightInd w:val="0"/>
              <w:snapToGrid w:val="0"/>
              <w:spacing w:before="0" w:beforeAutospacing="0" w:after="0" w:afterAutospacing="0"/>
              <w:jc w:val="center"/>
              <w:rPr>
                <w:rFonts w:ascii="Times New Roman" w:hAnsi="Times New Roman" w:hint="default"/>
                <w:color w:val="auto"/>
                <w:szCs w:val="24"/>
                <w:highlight w:val="none"/>
              </w:rPr>
            </w:pPr>
            <w:r>
              <w:rPr>
                <w:rFonts w:ascii="Times New Roman" w:eastAsia="宋体" w:hAnsi="Times New Roman" w:cs="Times New Roman" w:hint="default"/>
                <w:color w:val="auto"/>
                <w:szCs w:val="24"/>
                <w:highlight w:val="none"/>
              </w:rPr>
              <w:t>建设内容</w:t>
            </w:r>
          </w:p>
        </w:tc>
        <w:tc>
          <w:tcPr>
            <w:tcW w:w="8393" w:type="dxa"/>
            <w:vAlign w:val="center"/>
          </w:tcPr>
          <w:p>
            <w:pPr>
              <w:adjustRightInd w:val="0"/>
              <w:snapToGrid w:val="0"/>
              <w:spacing w:after="0" w:line="360" w:lineRule="auto"/>
              <w:ind w:firstLine="480" w:firstLineChars="200"/>
              <w:rPr>
                <w:rFonts w:hint="eastAsia"/>
                <w:b/>
                <w:bCs/>
                <w:color w:val="auto"/>
                <w:sz w:val="24"/>
                <w:highlight w:val="none"/>
              </w:rPr>
            </w:pPr>
            <w:r>
              <w:rPr>
                <w:rFonts w:cs="Times New Roman" w:hint="eastAsia"/>
                <w:b/>
                <w:bCs/>
                <w:color w:val="auto"/>
                <w:sz w:val="24"/>
                <w:highlight w:val="none"/>
                <w:lang w:val="en-US" w:eastAsia="zh-CN"/>
              </w:rPr>
              <w:t>2.1、项目由来及建设历程</w:t>
            </w:r>
          </w:p>
          <w:p>
            <w:pPr>
              <w:keepNext w:val="0"/>
              <w:keepLines w:val="0"/>
              <w:pageBreakBefore w:val="0"/>
              <w:widowControl w:val="0"/>
              <w:kinsoku/>
              <w:wordWrap/>
              <w:overflowPunct/>
              <w:topLinePunct w:val="0"/>
              <w:autoSpaceDE/>
              <w:autoSpaceDN/>
              <w:bidi w:val="0"/>
              <w:adjustRightInd w:val="0"/>
              <w:snapToGrid w:val="0"/>
              <w:spacing w:after="0" w:line="360" w:lineRule="auto"/>
              <w:ind w:left="0" w:firstLine="480" w:firstLineChars="200"/>
              <w:textAlignment w:val="auto"/>
              <w:rPr>
                <w:rFonts w:hint="default"/>
                <w:b w:val="0"/>
                <w:bCs w:val="0"/>
                <w:color w:val="auto"/>
                <w:sz w:val="24"/>
                <w:highlight w:val="none"/>
              </w:rPr>
            </w:pPr>
            <w:r>
              <w:rPr>
                <w:rFonts w:ascii="Times New Roman" w:eastAsia="宋体" w:hAnsi="Times New Roman" w:cs="Times New Roman" w:hint="default"/>
                <w:b w:val="0"/>
                <w:bCs w:val="0"/>
                <w:color w:val="auto"/>
                <w:sz w:val="24"/>
                <w:szCs w:val="24"/>
                <w:highlight w:val="none"/>
                <w:lang w:val="en-US" w:eastAsia="zh-CN"/>
              </w:rPr>
              <w:t>2009年2月21日，上海百川畅银实业有限公司与渭南市临渭区环境卫生管理局签订了渭南市垃圾填埋场填埋气发电项目框架性协议，利用马家沟垃圾填埋场填埋气发电，特许经营20年。协议约定上海百川畅银实业有限公司成立独立的项目公司，即渭南市百川畅银新能源有限公司，合作项目的全部工作由渭南百川畅银新能源有限公司实施。</w:t>
            </w:r>
          </w:p>
          <w:p>
            <w:pPr>
              <w:pStyle w:val="BodyTextFirstIndent2"/>
              <w:keepNext w:val="0"/>
              <w:keepLines w:val="0"/>
              <w:pageBreakBefore w:val="0"/>
              <w:widowControl w:val="0"/>
              <w:kinsoku/>
              <w:wordWrap/>
              <w:overflowPunct/>
              <w:topLinePunct w:val="0"/>
              <w:autoSpaceDE/>
              <w:autoSpaceDN/>
              <w:bidi w:val="0"/>
              <w:adjustRightInd w:val="0"/>
              <w:snapToGrid w:val="0"/>
              <w:spacing w:after="0" w:line="360" w:lineRule="auto"/>
              <w:ind w:left="0" w:firstLine="480" w:firstLineChars="200"/>
              <w:textAlignment w:val="auto"/>
              <w:rPr>
                <w:rFonts w:eastAsia="宋体" w:hint="default"/>
                <w:b w:val="0"/>
                <w:bCs w:val="0"/>
                <w:color w:val="auto"/>
                <w:kern w:val="2"/>
                <w:sz w:val="24"/>
                <w:szCs w:val="24"/>
                <w:highlight w:val="none"/>
                <w:lang w:val="en-US" w:eastAsia="zh-CN" w:bidi="ar-SA"/>
              </w:rPr>
            </w:pPr>
            <w:r>
              <w:rPr>
                <w:rFonts w:ascii="Times New Roman" w:eastAsia="宋体" w:hAnsi="Times New Roman" w:cs="Times New Roman" w:hint="default"/>
                <w:b w:val="0"/>
                <w:bCs w:val="0"/>
                <w:color w:val="auto"/>
                <w:kern w:val="2"/>
                <w:sz w:val="24"/>
                <w:szCs w:val="24"/>
                <w:highlight w:val="none"/>
                <w:lang w:val="en-US" w:eastAsia="zh-CN" w:bidi="ar-SA"/>
              </w:rPr>
              <w:t>2009年11月，公司委托渭南市环境保护科学技术咨询中心编制了《渭南市生活垃圾填埋场填埋气发电项目环境影响报告表》。2010年7月，原陕西省环境保护厅以陕环批复[2010]320号《渭南市生活垃圾填埋场填埋气发电项目环境影响报告表的批复》对该项目出具了批复。环评及批复建设内容均为4台500KW发电机组，但陕西省发展改革委员会以陕发改新能源[2012]522号文件《关于渭南百川畅银新能源有限公司垃圾填埋场填埋气发电项目核准的批复》中只核准建设2台500KW发电机组，因此，公司实际建设了2台500KW发电机组。</w:t>
            </w:r>
          </w:p>
          <w:p>
            <w:pPr>
              <w:pStyle w:val="BodyTextFirstIndent2"/>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eastAsia="宋体" w:hint="default"/>
                <w:color w:val="auto"/>
                <w:sz w:val="24"/>
                <w:szCs w:val="24"/>
                <w:highlight w:val="none"/>
                <w:lang w:val="en-US" w:eastAsia="zh-CN"/>
              </w:rPr>
            </w:pPr>
            <w:r>
              <w:rPr>
                <w:rFonts w:eastAsia="宋体" w:cs="Times New Roman" w:hint="eastAsia"/>
                <w:color w:val="auto"/>
                <w:sz w:val="24"/>
                <w:szCs w:val="24"/>
                <w:highlight w:val="none"/>
                <w:lang w:val="en-US" w:eastAsia="zh-CN"/>
              </w:rPr>
              <w:t>2016年6月，渭南市百川畅银新能源有限公司委托陕西省环境监测中心站完成了渭南市生活垃圾填埋场填埋气发电项目1#发电机组、2#发电机组竣工环境保护验收监测工作。2016年10月24日，陕西省环境保护厅出具了《关于渭南百川畅银新能源有限公司渭南市生活垃圾填埋场填埋气发电项目竣工环境保护验收的批复》（陕环批复[</w:t>
            </w:r>
            <w:r>
              <w:rPr>
                <w:rFonts w:eastAsia="宋体" w:cs="Times New Roman" w:hint="eastAsia"/>
                <w:color w:val="auto"/>
                <w:sz w:val="24"/>
                <w:szCs w:val="24"/>
                <w:highlight w:val="none"/>
                <w:lang w:val="en-US" w:eastAsia="zh-CN"/>
              </w:rPr>
              <w:t>2016</w:t>
            </w:r>
            <w:r>
              <w:rPr>
                <w:rFonts w:eastAsia="宋体" w:cs="Times New Roman" w:hint="eastAsia"/>
                <w:color w:val="auto"/>
                <w:sz w:val="24"/>
                <w:szCs w:val="24"/>
                <w:highlight w:val="none"/>
                <w:lang w:val="en-US" w:eastAsia="zh-CN"/>
              </w:rPr>
              <w:t>]566号）。</w:t>
            </w:r>
          </w:p>
          <w:p>
            <w:pPr>
              <w:pStyle w:val="BodyTextFirstIndent2"/>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eastAsia="宋体" w:hint="default"/>
                <w:color w:val="auto"/>
                <w:sz w:val="24"/>
                <w:szCs w:val="24"/>
                <w:highlight w:val="none"/>
                <w:lang w:val="en-US" w:eastAsia="zh-CN"/>
              </w:rPr>
            </w:pPr>
            <w:r>
              <w:rPr>
                <w:rFonts w:ascii="Times New Roman" w:eastAsia="宋体" w:hAnsi="Times New Roman" w:cs="Times New Roman" w:hint="default"/>
                <w:color w:val="auto"/>
                <w:sz w:val="24"/>
                <w:szCs w:val="24"/>
                <w:highlight w:val="none"/>
                <w:lang w:val="en-US" w:eastAsia="zh-CN"/>
              </w:rPr>
              <w:t>2018年1月，公司在临渭区经济发展局备案了《渭南市生活垃圾填埋场填埋气发电项目扩建》，项目代码：2018-610502-44-03-000357。</w:t>
            </w:r>
            <w:r>
              <w:rPr>
                <w:rFonts w:eastAsia="宋体" w:cs="Times New Roman" w:hint="eastAsia"/>
                <w:color w:val="auto"/>
                <w:sz w:val="24"/>
                <w:szCs w:val="24"/>
                <w:highlight w:val="none"/>
                <w:lang w:val="en-US" w:eastAsia="zh-CN"/>
              </w:rPr>
              <w:t>由于备案年限已超过有效期，2022年7月18日，公司在渭南市临渭区行政审批服务局备案了</w:t>
            </w:r>
            <w:r>
              <w:rPr>
                <w:rFonts w:ascii="Times New Roman" w:eastAsia="宋体" w:hAnsi="Times New Roman" w:cs="Times New Roman" w:hint="default"/>
                <w:color w:val="auto"/>
                <w:sz w:val="24"/>
                <w:szCs w:val="24"/>
                <w:highlight w:val="none"/>
                <w:lang w:val="en-US" w:eastAsia="zh-CN"/>
              </w:rPr>
              <w:t>《渭南市生活垃圾填埋场填埋气发电项目扩建》，项目代码：2207-610502-04-05-151899。</w:t>
            </w:r>
            <w:r>
              <w:rPr>
                <w:rFonts w:ascii="Times New Roman" w:eastAsia="宋体" w:hAnsi="Times New Roman" w:cs="Times New Roman" w:hint="default"/>
                <w:color w:val="auto"/>
                <w:sz w:val="24"/>
                <w:szCs w:val="24"/>
                <w:highlight w:val="none"/>
                <w:lang w:val="en-US" w:eastAsia="zh-CN"/>
              </w:rPr>
              <w:t>渭南百川畅银新能源有限公司委托我公司承担该项目环境影响评价工作。</w:t>
            </w:r>
            <w:r>
              <w:rPr>
                <w:rFonts w:ascii="Times New Roman" w:eastAsia="宋体" w:hAnsi="Times New Roman" w:cs="Times New Roman" w:hint="default"/>
                <w:color w:val="auto"/>
                <w:kern w:val="0"/>
                <w:sz w:val="24"/>
                <w:szCs w:val="24"/>
                <w:highlight w:val="none"/>
              </w:rPr>
              <w:t>接受委托后，我公司立即组织有关技术人员进行了现场勘查，收集了与工程有关的技术资料，在工程污染因素分析的基础上，通过实地监测、类比调查和资料收集，编制完成了《</w:t>
            </w:r>
            <w:r>
              <w:rPr>
                <w:rFonts w:ascii="Times New Roman" w:eastAsia="宋体" w:hAnsi="Times New Roman" w:cs="Times New Roman" w:hint="default"/>
                <w:color w:val="auto"/>
                <w:sz w:val="24"/>
                <w:szCs w:val="24"/>
                <w:highlight w:val="none"/>
                <w:lang w:val="en-US" w:eastAsia="zh-CN"/>
              </w:rPr>
              <w:t>渭南市生活垃圾填埋场填埋气发电项目扩建</w:t>
            </w:r>
            <w:r>
              <w:rPr>
                <w:rFonts w:ascii="Times New Roman" w:eastAsia="宋体" w:hAnsi="Times New Roman" w:cs="Times New Roman" w:hint="default"/>
                <w:color w:val="auto"/>
                <w:kern w:val="0"/>
                <w:sz w:val="24"/>
                <w:szCs w:val="24"/>
                <w:highlight w:val="none"/>
              </w:rPr>
              <w:t>环境影响报告表》。</w:t>
            </w:r>
          </w:p>
          <w:p>
            <w:pPr>
              <w:adjustRightInd w:val="0"/>
              <w:snapToGrid w:val="0"/>
              <w:spacing w:after="0" w:line="360" w:lineRule="auto"/>
              <w:ind w:firstLine="480" w:firstLineChars="200"/>
              <w:rPr>
                <w:rFonts w:hint="default"/>
                <w:b/>
                <w:bCs/>
                <w:color w:val="auto"/>
                <w:sz w:val="24"/>
                <w:highlight w:val="none"/>
              </w:rPr>
            </w:pPr>
            <w:r>
              <w:rPr>
                <w:rFonts w:cs="Times New Roman" w:hint="eastAsia"/>
                <w:b/>
                <w:bCs/>
                <w:color w:val="auto"/>
                <w:sz w:val="24"/>
                <w:highlight w:val="none"/>
                <w:lang w:val="en-US" w:eastAsia="zh-CN"/>
              </w:rPr>
              <w:t>2.2</w:t>
            </w:r>
            <w:r>
              <w:rPr>
                <w:rFonts w:ascii="Times New Roman" w:eastAsia="宋体" w:hAnsi="Times New Roman" w:cs="Times New Roman" w:hint="default"/>
                <w:b/>
                <w:bCs/>
                <w:color w:val="auto"/>
                <w:sz w:val="24"/>
                <w:highlight w:val="none"/>
              </w:rPr>
              <w:t>、</w:t>
            </w:r>
            <w:r>
              <w:rPr>
                <w:rFonts w:cs="Times New Roman" w:hint="eastAsia"/>
                <w:b/>
                <w:bCs/>
                <w:color w:val="auto"/>
                <w:sz w:val="24"/>
                <w:highlight w:val="none"/>
                <w:lang w:val="en-US" w:eastAsia="zh-CN"/>
              </w:rPr>
              <w:t>建设内容</w:t>
            </w:r>
          </w:p>
          <w:p>
            <w:pPr>
              <w:adjustRightInd w:val="0"/>
              <w:snapToGrid w:val="0"/>
              <w:spacing w:after="0" w:line="360" w:lineRule="auto"/>
              <w:ind w:firstLine="480" w:firstLineChars="200"/>
              <w:rPr>
                <w:rFonts w:hint="default"/>
                <w:b/>
                <w:bCs/>
                <w:color w:val="auto"/>
                <w:sz w:val="24"/>
                <w:highlight w:val="none"/>
              </w:rPr>
            </w:pPr>
            <w:r>
              <w:rPr>
                <w:rFonts w:cs="Times New Roman" w:hint="eastAsia"/>
                <w:b/>
                <w:bCs/>
                <w:color w:val="auto"/>
                <w:sz w:val="24"/>
                <w:highlight w:val="none"/>
                <w:lang w:val="en-US" w:eastAsia="zh-CN"/>
              </w:rPr>
              <w:t xml:space="preserve">2.2.1 </w:t>
            </w:r>
            <w:r>
              <w:rPr>
                <w:rFonts w:ascii="Times New Roman" w:eastAsia="宋体" w:hAnsi="Times New Roman" w:cs="Times New Roman" w:hint="default"/>
                <w:b/>
                <w:bCs/>
                <w:color w:val="auto"/>
                <w:sz w:val="24"/>
                <w:highlight w:val="none"/>
              </w:rPr>
              <w:t>项目名称、建设性质及建设地点</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https://d.book118.com/508051040122006047</w:t>
        </w:r>
      </w:hyperlink>
    </w:p>
    <w:p/>
    <w:sectPr>
      <w:footerReference w:type="even" r:id="rId13"/>
      <w:footerReference w:type="default" r:id="rId14"/>
      <w:pgSz w:w="11906" w:h="16838" w:orient="portrait"/>
      <w:pgMar w:top="1440" w:right="1440" w:bottom="1440" w:left="1440" w:header="851" w:footer="992" w:gutter="0"/>
      <w:pgBorders w:zOrder="front" w:display="allPages" w:offsetFrom="text">
        <w:top w:val="none" w:sz="0" w:space="0" w:color="auto"/>
        <w:left w:val="none" w:sz="0" w:space="0" w:color="auto"/>
        <w:bottom w:val="none" w:sz="0" w:space="0" w:color="auto"/>
        <w:right w:val="none" w:sz="0" w:space="0" w:color="auto"/>
      </w:pgBorders>
      <w:pgNumType w:start="4"/>
      <w:cols w:space="708"/>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7A"/>
    <w:family w:val="auto"/>
    <w:pitch w:val="default"/>
    <w:sig w:usb0="800002BF" w:usb1="38CF7CFA" w:usb2="00000016" w:usb3="00000000" w:csb0="00040001" w:csb1="00000000"/>
  </w:font>
  <w:font w:name="Arial">
    <w:panose1 w:val="020B0604020202020204"/>
    <w:charset w:val="01"/>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1" w:usb1="080E0000" w:usb2="00000010" w:usb3="00000000" w:csb0="0004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7A"/>
    <w:family w:val="auto"/>
    <w:pitch w:val="default"/>
    <w:sig w:usb0="A00002BF" w:usb1="38CF7CFA" w:usb2="00000016" w:usb3="00000000" w:csb0="0004000F" w:csb1="00000000"/>
  </w:font>
  <w:font w:name="宋?">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5" o:spid="_x0000_s2049" type="#_x0000_t202" style="width:2in;height:2in;margin-top:0;margin-left:0;mso-position-horizontal:center;mso-position-horizontal-relative:margin;mso-wrap-style:none;position:absolute;z-index:25165824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5" o:spid="_x0000_s2050" type="#_x0000_t202" style="width:2in;height:2in;margin-top:0;margin-left:0;mso-position-horizontal:center;mso-position-horizontal-relative:margin;mso-wrap-style:none;position:absolute;z-index:251659264"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5" o:spid="_x0000_s2051" type="#_x0000_t202" style="width:2in;height:2in;margin-top:0;margin-left:0;mso-position-horizontal:center;mso-position-horizontal-relative:margin;mso-wrap-style:none;position:absolute;z-index:251660288"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25" o:spid="_x0000_s2052" type="#_x0000_t202" style="width:2in;height:2in;margin-top:0;margin-left:0;mso-position-horizontal:center;mso-position-horizontal-relative:margin;mso-wrap-style:none;position:absolute;z-index:251661312"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stylePaneFormatFilter w:val="3F01"/>
  <w:documentProtection w:edit="trackedChanges" w:enforcement="0"/>
  <w:defaultTabStop w:val="420"/>
  <w:drawingGridVerticalSpacing w:val="156"/>
  <w:doNotShadeFormData/>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51C0"/>
    <w:rsid w:val="000060B3"/>
    <w:rsid w:val="0000760E"/>
    <w:rsid w:val="0004364B"/>
    <w:rsid w:val="00050437"/>
    <w:rsid w:val="00061B1F"/>
    <w:rsid w:val="000640DA"/>
    <w:rsid w:val="00065FB1"/>
    <w:rsid w:val="000733C4"/>
    <w:rsid w:val="00074783"/>
    <w:rsid w:val="0008070B"/>
    <w:rsid w:val="000810AC"/>
    <w:rsid w:val="00081A02"/>
    <w:rsid w:val="00082231"/>
    <w:rsid w:val="00082B89"/>
    <w:rsid w:val="00092D38"/>
    <w:rsid w:val="0009377B"/>
    <w:rsid w:val="000A20C9"/>
    <w:rsid w:val="000B058F"/>
    <w:rsid w:val="000B4467"/>
    <w:rsid w:val="000B4DB9"/>
    <w:rsid w:val="000C09AC"/>
    <w:rsid w:val="000C767F"/>
    <w:rsid w:val="000D5A44"/>
    <w:rsid w:val="000E3ED2"/>
    <w:rsid w:val="00131F42"/>
    <w:rsid w:val="001357F1"/>
    <w:rsid w:val="00140FA8"/>
    <w:rsid w:val="00141148"/>
    <w:rsid w:val="00142FEB"/>
    <w:rsid w:val="00143A2D"/>
    <w:rsid w:val="00145A41"/>
    <w:rsid w:val="001506F7"/>
    <w:rsid w:val="00151675"/>
    <w:rsid w:val="00157435"/>
    <w:rsid w:val="001621DF"/>
    <w:rsid w:val="0017504D"/>
    <w:rsid w:val="0017671A"/>
    <w:rsid w:val="00177422"/>
    <w:rsid w:val="00184590"/>
    <w:rsid w:val="001870D1"/>
    <w:rsid w:val="0018781E"/>
    <w:rsid w:val="0019262D"/>
    <w:rsid w:val="001A1B35"/>
    <w:rsid w:val="001A48A2"/>
    <w:rsid w:val="001A6F61"/>
    <w:rsid w:val="001A7F09"/>
    <w:rsid w:val="001B24A2"/>
    <w:rsid w:val="001B72B8"/>
    <w:rsid w:val="001C69B3"/>
    <w:rsid w:val="001D5595"/>
    <w:rsid w:val="001D7874"/>
    <w:rsid w:val="001D7F22"/>
    <w:rsid w:val="001E1071"/>
    <w:rsid w:val="001F0F17"/>
    <w:rsid w:val="001F3347"/>
    <w:rsid w:val="001F69E4"/>
    <w:rsid w:val="001F6E1B"/>
    <w:rsid w:val="002125B4"/>
    <w:rsid w:val="002155B8"/>
    <w:rsid w:val="00220687"/>
    <w:rsid w:val="00224839"/>
    <w:rsid w:val="002249B2"/>
    <w:rsid w:val="00226574"/>
    <w:rsid w:val="002278EC"/>
    <w:rsid w:val="0023280E"/>
    <w:rsid w:val="00236C57"/>
    <w:rsid w:val="002377D1"/>
    <w:rsid w:val="00240937"/>
    <w:rsid w:val="002475C7"/>
    <w:rsid w:val="002506BC"/>
    <w:rsid w:val="00251C34"/>
    <w:rsid w:val="00254345"/>
    <w:rsid w:val="00262923"/>
    <w:rsid w:val="00264557"/>
    <w:rsid w:val="002805AB"/>
    <w:rsid w:val="00284204"/>
    <w:rsid w:val="00291773"/>
    <w:rsid w:val="002A168C"/>
    <w:rsid w:val="002A3DC7"/>
    <w:rsid w:val="002B49E2"/>
    <w:rsid w:val="002B7B00"/>
    <w:rsid w:val="002B7C44"/>
    <w:rsid w:val="002C2B17"/>
    <w:rsid w:val="002D3DD0"/>
    <w:rsid w:val="002E1F3A"/>
    <w:rsid w:val="002E298A"/>
    <w:rsid w:val="002E4223"/>
    <w:rsid w:val="002E5713"/>
    <w:rsid w:val="00301978"/>
    <w:rsid w:val="0030332C"/>
    <w:rsid w:val="003051C2"/>
    <w:rsid w:val="0031056E"/>
    <w:rsid w:val="00312296"/>
    <w:rsid w:val="00314C20"/>
    <w:rsid w:val="00314F0E"/>
    <w:rsid w:val="00321D8E"/>
    <w:rsid w:val="0032383F"/>
    <w:rsid w:val="00325928"/>
    <w:rsid w:val="00332863"/>
    <w:rsid w:val="0033684D"/>
    <w:rsid w:val="00337B42"/>
    <w:rsid w:val="00341B42"/>
    <w:rsid w:val="0034348F"/>
    <w:rsid w:val="003525BD"/>
    <w:rsid w:val="00356653"/>
    <w:rsid w:val="0035743F"/>
    <w:rsid w:val="00357BE2"/>
    <w:rsid w:val="0036170C"/>
    <w:rsid w:val="003627F1"/>
    <w:rsid w:val="00366E0F"/>
    <w:rsid w:val="00381A72"/>
    <w:rsid w:val="00384676"/>
    <w:rsid w:val="00390857"/>
    <w:rsid w:val="00392DAD"/>
    <w:rsid w:val="003A4BF3"/>
    <w:rsid w:val="003A73E1"/>
    <w:rsid w:val="003B420D"/>
    <w:rsid w:val="003C24C4"/>
    <w:rsid w:val="003C6C16"/>
    <w:rsid w:val="003D794D"/>
    <w:rsid w:val="003E3058"/>
    <w:rsid w:val="003E4C27"/>
    <w:rsid w:val="003E76A9"/>
    <w:rsid w:val="003F0809"/>
    <w:rsid w:val="003F4057"/>
    <w:rsid w:val="003F4E4A"/>
    <w:rsid w:val="003F6A8C"/>
    <w:rsid w:val="003F755C"/>
    <w:rsid w:val="00406F01"/>
    <w:rsid w:val="00416D50"/>
    <w:rsid w:val="00416FD5"/>
    <w:rsid w:val="00417772"/>
    <w:rsid w:val="00420E6A"/>
    <w:rsid w:val="004213B7"/>
    <w:rsid w:val="004221B8"/>
    <w:rsid w:val="00425A9E"/>
    <w:rsid w:val="00426D6B"/>
    <w:rsid w:val="00431E6C"/>
    <w:rsid w:val="00433CE7"/>
    <w:rsid w:val="00451143"/>
    <w:rsid w:val="00452738"/>
    <w:rsid w:val="00455EF2"/>
    <w:rsid w:val="00456091"/>
    <w:rsid w:val="00466321"/>
    <w:rsid w:val="00470DF4"/>
    <w:rsid w:val="0047177F"/>
    <w:rsid w:val="00484B9B"/>
    <w:rsid w:val="004855F6"/>
    <w:rsid w:val="0048661E"/>
    <w:rsid w:val="00494670"/>
    <w:rsid w:val="004A3823"/>
    <w:rsid w:val="004A7CBD"/>
    <w:rsid w:val="004E3906"/>
    <w:rsid w:val="004E6946"/>
    <w:rsid w:val="004F1618"/>
    <w:rsid w:val="004F1AD8"/>
    <w:rsid w:val="005039CB"/>
    <w:rsid w:val="0050558F"/>
    <w:rsid w:val="00506286"/>
    <w:rsid w:val="00510813"/>
    <w:rsid w:val="00511990"/>
    <w:rsid w:val="00511DE0"/>
    <w:rsid w:val="00514870"/>
    <w:rsid w:val="00514B9B"/>
    <w:rsid w:val="00517F02"/>
    <w:rsid w:val="00522137"/>
    <w:rsid w:val="00524303"/>
    <w:rsid w:val="005258A2"/>
    <w:rsid w:val="005401AE"/>
    <w:rsid w:val="00542E07"/>
    <w:rsid w:val="00545424"/>
    <w:rsid w:val="00547DDC"/>
    <w:rsid w:val="00554A7B"/>
    <w:rsid w:val="00554D24"/>
    <w:rsid w:val="0055572C"/>
    <w:rsid w:val="0056106A"/>
    <w:rsid w:val="005720AE"/>
    <w:rsid w:val="005726B1"/>
    <w:rsid w:val="00576F3E"/>
    <w:rsid w:val="00594D77"/>
    <w:rsid w:val="005969E4"/>
    <w:rsid w:val="005A06B7"/>
    <w:rsid w:val="005A1759"/>
    <w:rsid w:val="005A68A7"/>
    <w:rsid w:val="005B00E0"/>
    <w:rsid w:val="005D36AB"/>
    <w:rsid w:val="005E409E"/>
    <w:rsid w:val="00617CC3"/>
    <w:rsid w:val="006377A6"/>
    <w:rsid w:val="00637A3D"/>
    <w:rsid w:val="006411EF"/>
    <w:rsid w:val="006748B8"/>
    <w:rsid w:val="006775C3"/>
    <w:rsid w:val="00683CDA"/>
    <w:rsid w:val="0069290A"/>
    <w:rsid w:val="00696EA5"/>
    <w:rsid w:val="0069775A"/>
    <w:rsid w:val="00697813"/>
    <w:rsid w:val="006A3EE8"/>
    <w:rsid w:val="006A72BF"/>
    <w:rsid w:val="006B03F2"/>
    <w:rsid w:val="006B37DC"/>
    <w:rsid w:val="006B4F68"/>
    <w:rsid w:val="006C0592"/>
    <w:rsid w:val="006C272E"/>
    <w:rsid w:val="006C5479"/>
    <w:rsid w:val="006D13B5"/>
    <w:rsid w:val="006E12FF"/>
    <w:rsid w:val="006E607E"/>
    <w:rsid w:val="00706C5D"/>
    <w:rsid w:val="00711649"/>
    <w:rsid w:val="00732922"/>
    <w:rsid w:val="0075162E"/>
    <w:rsid w:val="00754034"/>
    <w:rsid w:val="00756556"/>
    <w:rsid w:val="007618C4"/>
    <w:rsid w:val="00767980"/>
    <w:rsid w:val="00770B19"/>
    <w:rsid w:val="0077463F"/>
    <w:rsid w:val="007836EA"/>
    <w:rsid w:val="00784CDA"/>
    <w:rsid w:val="007906C4"/>
    <w:rsid w:val="007940EA"/>
    <w:rsid w:val="00795A53"/>
    <w:rsid w:val="007967E8"/>
    <w:rsid w:val="007A2170"/>
    <w:rsid w:val="007A22BF"/>
    <w:rsid w:val="007A3323"/>
    <w:rsid w:val="007B72B8"/>
    <w:rsid w:val="007B7A58"/>
    <w:rsid w:val="007C0467"/>
    <w:rsid w:val="007C21B5"/>
    <w:rsid w:val="007C35A5"/>
    <w:rsid w:val="007E4BD2"/>
    <w:rsid w:val="007F4ED0"/>
    <w:rsid w:val="00801393"/>
    <w:rsid w:val="00802F88"/>
    <w:rsid w:val="0081293E"/>
    <w:rsid w:val="00815465"/>
    <w:rsid w:val="00817E9A"/>
    <w:rsid w:val="008201FB"/>
    <w:rsid w:val="008210BE"/>
    <w:rsid w:val="00823276"/>
    <w:rsid w:val="008306BD"/>
    <w:rsid w:val="00831A80"/>
    <w:rsid w:val="00833743"/>
    <w:rsid w:val="008340A4"/>
    <w:rsid w:val="008557D7"/>
    <w:rsid w:val="0087135F"/>
    <w:rsid w:val="00872D94"/>
    <w:rsid w:val="00880364"/>
    <w:rsid w:val="008846C7"/>
    <w:rsid w:val="00891592"/>
    <w:rsid w:val="00891E9E"/>
    <w:rsid w:val="008962AF"/>
    <w:rsid w:val="008A2F68"/>
    <w:rsid w:val="008B4FA6"/>
    <w:rsid w:val="008B5282"/>
    <w:rsid w:val="008B7C17"/>
    <w:rsid w:val="008C2D01"/>
    <w:rsid w:val="008C40E6"/>
    <w:rsid w:val="008D0817"/>
    <w:rsid w:val="008D0F7A"/>
    <w:rsid w:val="008D2B2C"/>
    <w:rsid w:val="008D68E4"/>
    <w:rsid w:val="008E0506"/>
    <w:rsid w:val="008E0CFF"/>
    <w:rsid w:val="008E5D6B"/>
    <w:rsid w:val="008E76F0"/>
    <w:rsid w:val="008F15FE"/>
    <w:rsid w:val="008F2D29"/>
    <w:rsid w:val="008F5187"/>
    <w:rsid w:val="008F60D8"/>
    <w:rsid w:val="00902727"/>
    <w:rsid w:val="0090312B"/>
    <w:rsid w:val="00904DCD"/>
    <w:rsid w:val="0091736D"/>
    <w:rsid w:val="0092677B"/>
    <w:rsid w:val="0093037A"/>
    <w:rsid w:val="009325B3"/>
    <w:rsid w:val="0094154D"/>
    <w:rsid w:val="0095155F"/>
    <w:rsid w:val="00954128"/>
    <w:rsid w:val="00954429"/>
    <w:rsid w:val="009563CE"/>
    <w:rsid w:val="00976328"/>
    <w:rsid w:val="0097680D"/>
    <w:rsid w:val="00982438"/>
    <w:rsid w:val="0098404C"/>
    <w:rsid w:val="00985283"/>
    <w:rsid w:val="00995992"/>
    <w:rsid w:val="009A03E5"/>
    <w:rsid w:val="009A0F3B"/>
    <w:rsid w:val="009A1017"/>
    <w:rsid w:val="009A1BB4"/>
    <w:rsid w:val="009A2628"/>
    <w:rsid w:val="009A3200"/>
    <w:rsid w:val="009A5DC2"/>
    <w:rsid w:val="009B0897"/>
    <w:rsid w:val="009B7BD9"/>
    <w:rsid w:val="009C7DD5"/>
    <w:rsid w:val="009E227D"/>
    <w:rsid w:val="009E5019"/>
    <w:rsid w:val="009F3997"/>
    <w:rsid w:val="00A04F1B"/>
    <w:rsid w:val="00A0501B"/>
    <w:rsid w:val="00A11854"/>
    <w:rsid w:val="00A14947"/>
    <w:rsid w:val="00A32A83"/>
    <w:rsid w:val="00A368DB"/>
    <w:rsid w:val="00A37B07"/>
    <w:rsid w:val="00A423AA"/>
    <w:rsid w:val="00A53EC6"/>
    <w:rsid w:val="00A55C0F"/>
    <w:rsid w:val="00A8713F"/>
    <w:rsid w:val="00A90BA1"/>
    <w:rsid w:val="00A910A3"/>
    <w:rsid w:val="00A96DF4"/>
    <w:rsid w:val="00A97A9A"/>
    <w:rsid w:val="00AA0671"/>
    <w:rsid w:val="00AA2531"/>
    <w:rsid w:val="00AA6482"/>
    <w:rsid w:val="00AB1E09"/>
    <w:rsid w:val="00AB5330"/>
    <w:rsid w:val="00AB7747"/>
    <w:rsid w:val="00AC14CE"/>
    <w:rsid w:val="00AC2A56"/>
    <w:rsid w:val="00AC719C"/>
    <w:rsid w:val="00AD055E"/>
    <w:rsid w:val="00AD47A7"/>
    <w:rsid w:val="00AF0CBF"/>
    <w:rsid w:val="00AF257F"/>
    <w:rsid w:val="00AF33CF"/>
    <w:rsid w:val="00AF4D50"/>
    <w:rsid w:val="00AF6179"/>
    <w:rsid w:val="00B0447F"/>
    <w:rsid w:val="00B1295A"/>
    <w:rsid w:val="00B20A45"/>
    <w:rsid w:val="00B22C5C"/>
    <w:rsid w:val="00B24F30"/>
    <w:rsid w:val="00B31ABF"/>
    <w:rsid w:val="00B33BE3"/>
    <w:rsid w:val="00B53B5D"/>
    <w:rsid w:val="00B6055E"/>
    <w:rsid w:val="00B6317D"/>
    <w:rsid w:val="00B64D96"/>
    <w:rsid w:val="00B7723F"/>
    <w:rsid w:val="00B80534"/>
    <w:rsid w:val="00B8433C"/>
    <w:rsid w:val="00B87491"/>
    <w:rsid w:val="00B91E0E"/>
    <w:rsid w:val="00B976C6"/>
    <w:rsid w:val="00BA29E9"/>
    <w:rsid w:val="00BA7142"/>
    <w:rsid w:val="00BB237C"/>
    <w:rsid w:val="00BB41A3"/>
    <w:rsid w:val="00BC32DC"/>
    <w:rsid w:val="00BC35B6"/>
    <w:rsid w:val="00BD1B51"/>
    <w:rsid w:val="00BD4596"/>
    <w:rsid w:val="00BE0528"/>
    <w:rsid w:val="00BE1405"/>
    <w:rsid w:val="00BE312D"/>
    <w:rsid w:val="00BF1C20"/>
    <w:rsid w:val="00C10578"/>
    <w:rsid w:val="00C135BC"/>
    <w:rsid w:val="00C15C95"/>
    <w:rsid w:val="00C2596A"/>
    <w:rsid w:val="00C27537"/>
    <w:rsid w:val="00C328FE"/>
    <w:rsid w:val="00C33507"/>
    <w:rsid w:val="00C355CD"/>
    <w:rsid w:val="00C4409D"/>
    <w:rsid w:val="00C44E72"/>
    <w:rsid w:val="00C45A06"/>
    <w:rsid w:val="00C47E5B"/>
    <w:rsid w:val="00C61E4B"/>
    <w:rsid w:val="00C64BFF"/>
    <w:rsid w:val="00C704E9"/>
    <w:rsid w:val="00C70C8B"/>
    <w:rsid w:val="00C763C9"/>
    <w:rsid w:val="00C80057"/>
    <w:rsid w:val="00C82232"/>
    <w:rsid w:val="00C82913"/>
    <w:rsid w:val="00C972B1"/>
    <w:rsid w:val="00CA2CCE"/>
    <w:rsid w:val="00CA43FD"/>
    <w:rsid w:val="00CA5DFC"/>
    <w:rsid w:val="00CA7EF8"/>
    <w:rsid w:val="00CB0028"/>
    <w:rsid w:val="00CC489B"/>
    <w:rsid w:val="00CD2BCD"/>
    <w:rsid w:val="00CD3A4C"/>
    <w:rsid w:val="00CE10E9"/>
    <w:rsid w:val="00CE2910"/>
    <w:rsid w:val="00CE5393"/>
    <w:rsid w:val="00CF36BE"/>
    <w:rsid w:val="00CF4C0F"/>
    <w:rsid w:val="00CF6000"/>
    <w:rsid w:val="00D003F3"/>
    <w:rsid w:val="00D0364F"/>
    <w:rsid w:val="00D06834"/>
    <w:rsid w:val="00D12BA7"/>
    <w:rsid w:val="00D308ED"/>
    <w:rsid w:val="00D36D86"/>
    <w:rsid w:val="00D428AA"/>
    <w:rsid w:val="00D50A34"/>
    <w:rsid w:val="00D53EFA"/>
    <w:rsid w:val="00D56BCE"/>
    <w:rsid w:val="00D64ED2"/>
    <w:rsid w:val="00D94A7C"/>
    <w:rsid w:val="00D95896"/>
    <w:rsid w:val="00D97D9D"/>
    <w:rsid w:val="00DB2983"/>
    <w:rsid w:val="00DC1257"/>
    <w:rsid w:val="00DC3DC0"/>
    <w:rsid w:val="00DC5B2B"/>
    <w:rsid w:val="00DD318D"/>
    <w:rsid w:val="00DF2E12"/>
    <w:rsid w:val="00DF514A"/>
    <w:rsid w:val="00DF6690"/>
    <w:rsid w:val="00DF6804"/>
    <w:rsid w:val="00E0358D"/>
    <w:rsid w:val="00E04323"/>
    <w:rsid w:val="00E06EC2"/>
    <w:rsid w:val="00E070A2"/>
    <w:rsid w:val="00E2656A"/>
    <w:rsid w:val="00E32445"/>
    <w:rsid w:val="00E357DD"/>
    <w:rsid w:val="00E412D0"/>
    <w:rsid w:val="00E54778"/>
    <w:rsid w:val="00E56322"/>
    <w:rsid w:val="00E60982"/>
    <w:rsid w:val="00E62C62"/>
    <w:rsid w:val="00E654C1"/>
    <w:rsid w:val="00E65D97"/>
    <w:rsid w:val="00E67D8D"/>
    <w:rsid w:val="00E72A5A"/>
    <w:rsid w:val="00E73354"/>
    <w:rsid w:val="00E814C6"/>
    <w:rsid w:val="00E84D93"/>
    <w:rsid w:val="00E9242D"/>
    <w:rsid w:val="00EB5255"/>
    <w:rsid w:val="00EB5C47"/>
    <w:rsid w:val="00ED0639"/>
    <w:rsid w:val="00EF4755"/>
    <w:rsid w:val="00EF5F1F"/>
    <w:rsid w:val="00EF7135"/>
    <w:rsid w:val="00F027DB"/>
    <w:rsid w:val="00F04C3A"/>
    <w:rsid w:val="00F06B31"/>
    <w:rsid w:val="00F14A7A"/>
    <w:rsid w:val="00F22985"/>
    <w:rsid w:val="00F3383E"/>
    <w:rsid w:val="00F465A7"/>
    <w:rsid w:val="00F50B7C"/>
    <w:rsid w:val="00F54150"/>
    <w:rsid w:val="00F550E6"/>
    <w:rsid w:val="00F6340C"/>
    <w:rsid w:val="00F718BD"/>
    <w:rsid w:val="00F74345"/>
    <w:rsid w:val="00F80A0A"/>
    <w:rsid w:val="00F82B19"/>
    <w:rsid w:val="00F82E66"/>
    <w:rsid w:val="00F9212D"/>
    <w:rsid w:val="00F965DA"/>
    <w:rsid w:val="00FA406A"/>
    <w:rsid w:val="00FB33C9"/>
    <w:rsid w:val="00FB503A"/>
    <w:rsid w:val="00FB516C"/>
    <w:rsid w:val="00FD0236"/>
    <w:rsid w:val="00FD18F4"/>
    <w:rsid w:val="00FD54DB"/>
    <w:rsid w:val="00FD619F"/>
    <w:rsid w:val="011179F4"/>
    <w:rsid w:val="01290F7E"/>
    <w:rsid w:val="0131497A"/>
    <w:rsid w:val="01466F42"/>
    <w:rsid w:val="015D1E09"/>
    <w:rsid w:val="018F4995"/>
    <w:rsid w:val="019D625A"/>
    <w:rsid w:val="01B55CA5"/>
    <w:rsid w:val="01B779EA"/>
    <w:rsid w:val="01D73BB1"/>
    <w:rsid w:val="025D2629"/>
    <w:rsid w:val="02697903"/>
    <w:rsid w:val="027F3DD7"/>
    <w:rsid w:val="02991262"/>
    <w:rsid w:val="02993A6A"/>
    <w:rsid w:val="02CF5754"/>
    <w:rsid w:val="02F96569"/>
    <w:rsid w:val="03027D96"/>
    <w:rsid w:val="031E7B2E"/>
    <w:rsid w:val="033104FC"/>
    <w:rsid w:val="033D5E2B"/>
    <w:rsid w:val="036766BD"/>
    <w:rsid w:val="037E131C"/>
    <w:rsid w:val="03870314"/>
    <w:rsid w:val="03DD36EA"/>
    <w:rsid w:val="03E33542"/>
    <w:rsid w:val="03EA7B21"/>
    <w:rsid w:val="03F17A5D"/>
    <w:rsid w:val="04081BC1"/>
    <w:rsid w:val="040B4CFC"/>
    <w:rsid w:val="04405616"/>
    <w:rsid w:val="04412EB2"/>
    <w:rsid w:val="054566E6"/>
    <w:rsid w:val="05705628"/>
    <w:rsid w:val="05865883"/>
    <w:rsid w:val="05B60AFF"/>
    <w:rsid w:val="05CD4007"/>
    <w:rsid w:val="05EE6378"/>
    <w:rsid w:val="05F83EAE"/>
    <w:rsid w:val="060E7065"/>
    <w:rsid w:val="063E7D85"/>
    <w:rsid w:val="06B377FD"/>
    <w:rsid w:val="06E33639"/>
    <w:rsid w:val="06F775E6"/>
    <w:rsid w:val="06F82AFD"/>
    <w:rsid w:val="06FC27B3"/>
    <w:rsid w:val="07144D4B"/>
    <w:rsid w:val="07293586"/>
    <w:rsid w:val="07295285"/>
    <w:rsid w:val="074C456F"/>
    <w:rsid w:val="07622F7E"/>
    <w:rsid w:val="07636392"/>
    <w:rsid w:val="07770C56"/>
    <w:rsid w:val="078676C8"/>
    <w:rsid w:val="07B32EFC"/>
    <w:rsid w:val="07C26E65"/>
    <w:rsid w:val="07F87432"/>
    <w:rsid w:val="08007D51"/>
    <w:rsid w:val="080B38BA"/>
    <w:rsid w:val="0870471C"/>
    <w:rsid w:val="08841682"/>
    <w:rsid w:val="08847654"/>
    <w:rsid w:val="089E3A0A"/>
    <w:rsid w:val="08A065FD"/>
    <w:rsid w:val="092217DD"/>
    <w:rsid w:val="09237544"/>
    <w:rsid w:val="093A7294"/>
    <w:rsid w:val="09640E80"/>
    <w:rsid w:val="09811430"/>
    <w:rsid w:val="09D620EE"/>
    <w:rsid w:val="09E37842"/>
    <w:rsid w:val="0A0E178B"/>
    <w:rsid w:val="0A1641C2"/>
    <w:rsid w:val="0A263993"/>
    <w:rsid w:val="0A2D3AC2"/>
    <w:rsid w:val="0A406341"/>
    <w:rsid w:val="0A513FD1"/>
    <w:rsid w:val="0A764494"/>
    <w:rsid w:val="0AA755DF"/>
    <w:rsid w:val="0AAD3563"/>
    <w:rsid w:val="0B120D44"/>
    <w:rsid w:val="0B866662"/>
    <w:rsid w:val="0B8843D4"/>
    <w:rsid w:val="0B9856A6"/>
    <w:rsid w:val="0BD27BF6"/>
    <w:rsid w:val="0BF14D31"/>
    <w:rsid w:val="0C3B3C7D"/>
    <w:rsid w:val="0C675661"/>
    <w:rsid w:val="0C882B0D"/>
    <w:rsid w:val="0C9F6E28"/>
    <w:rsid w:val="0CAB2EAE"/>
    <w:rsid w:val="0CAC11FB"/>
    <w:rsid w:val="0CE030AB"/>
    <w:rsid w:val="0D513FA3"/>
    <w:rsid w:val="0D526F13"/>
    <w:rsid w:val="0D621C7D"/>
    <w:rsid w:val="0D843B3D"/>
    <w:rsid w:val="0DB01656"/>
    <w:rsid w:val="0DB80007"/>
    <w:rsid w:val="0E092728"/>
    <w:rsid w:val="0E43471E"/>
    <w:rsid w:val="0E675F11"/>
    <w:rsid w:val="0E73034D"/>
    <w:rsid w:val="0E755AC7"/>
    <w:rsid w:val="0E767508"/>
    <w:rsid w:val="0EB332BC"/>
    <w:rsid w:val="0EBE091F"/>
    <w:rsid w:val="0EC11F16"/>
    <w:rsid w:val="0EF256D8"/>
    <w:rsid w:val="0F13775A"/>
    <w:rsid w:val="0F1C0CB6"/>
    <w:rsid w:val="0F2205F6"/>
    <w:rsid w:val="0F5F45FE"/>
    <w:rsid w:val="0F7B064B"/>
    <w:rsid w:val="0F9A112B"/>
    <w:rsid w:val="0FBA428B"/>
    <w:rsid w:val="0FC10B8E"/>
    <w:rsid w:val="0FCA36A9"/>
    <w:rsid w:val="0FE17730"/>
    <w:rsid w:val="0FE32E79"/>
    <w:rsid w:val="0FEE6EC4"/>
    <w:rsid w:val="0FF63F0B"/>
    <w:rsid w:val="10064F01"/>
    <w:rsid w:val="10161D73"/>
    <w:rsid w:val="106D2F64"/>
    <w:rsid w:val="1079509C"/>
    <w:rsid w:val="10B63710"/>
    <w:rsid w:val="10BB4048"/>
    <w:rsid w:val="10CB2B0F"/>
    <w:rsid w:val="10F10820"/>
    <w:rsid w:val="11060C7B"/>
    <w:rsid w:val="111C2F7A"/>
    <w:rsid w:val="115B3F56"/>
    <w:rsid w:val="115E34B7"/>
    <w:rsid w:val="11665CA1"/>
    <w:rsid w:val="11924785"/>
    <w:rsid w:val="11AA1867"/>
    <w:rsid w:val="11B302DB"/>
    <w:rsid w:val="11C22B51"/>
    <w:rsid w:val="11C62449"/>
    <w:rsid w:val="1226517F"/>
    <w:rsid w:val="12304B9D"/>
    <w:rsid w:val="12465466"/>
    <w:rsid w:val="12894E7F"/>
    <w:rsid w:val="12D12C66"/>
    <w:rsid w:val="12E10673"/>
    <w:rsid w:val="12F33BE8"/>
    <w:rsid w:val="13214E53"/>
    <w:rsid w:val="13272E6E"/>
    <w:rsid w:val="13487FF8"/>
    <w:rsid w:val="135C5B7C"/>
    <w:rsid w:val="13951726"/>
    <w:rsid w:val="13B308C3"/>
    <w:rsid w:val="13CE70DB"/>
    <w:rsid w:val="13F06DE3"/>
    <w:rsid w:val="14180F04"/>
    <w:rsid w:val="14396509"/>
    <w:rsid w:val="14460006"/>
    <w:rsid w:val="146001DE"/>
    <w:rsid w:val="14731D89"/>
    <w:rsid w:val="14767765"/>
    <w:rsid w:val="14DD2C3C"/>
    <w:rsid w:val="15342350"/>
    <w:rsid w:val="15900CD0"/>
    <w:rsid w:val="159E0C77"/>
    <w:rsid w:val="15CF7D5B"/>
    <w:rsid w:val="16087E1D"/>
    <w:rsid w:val="1640197A"/>
    <w:rsid w:val="16544964"/>
    <w:rsid w:val="16555F4E"/>
    <w:rsid w:val="16665430"/>
    <w:rsid w:val="16696A65"/>
    <w:rsid w:val="166D0697"/>
    <w:rsid w:val="16753DB7"/>
    <w:rsid w:val="167C6B80"/>
    <w:rsid w:val="16B9635A"/>
    <w:rsid w:val="16CA3A56"/>
    <w:rsid w:val="16E0631B"/>
    <w:rsid w:val="171043FA"/>
    <w:rsid w:val="173A7024"/>
    <w:rsid w:val="17701D14"/>
    <w:rsid w:val="17735226"/>
    <w:rsid w:val="17997FF5"/>
    <w:rsid w:val="17A852FA"/>
    <w:rsid w:val="17D7327D"/>
    <w:rsid w:val="17DA7B09"/>
    <w:rsid w:val="17F420B4"/>
    <w:rsid w:val="180E5751"/>
    <w:rsid w:val="18217DDD"/>
    <w:rsid w:val="18581ED1"/>
    <w:rsid w:val="18731B2B"/>
    <w:rsid w:val="189F624C"/>
    <w:rsid w:val="18B70A3F"/>
    <w:rsid w:val="18FA4A32"/>
    <w:rsid w:val="19130818"/>
    <w:rsid w:val="19291D5A"/>
    <w:rsid w:val="192E18C9"/>
    <w:rsid w:val="19432484"/>
    <w:rsid w:val="195B2021"/>
    <w:rsid w:val="196841A7"/>
    <w:rsid w:val="19783EA3"/>
    <w:rsid w:val="1979515C"/>
    <w:rsid w:val="19876C46"/>
    <w:rsid w:val="19A402AA"/>
    <w:rsid w:val="1A1C66C0"/>
    <w:rsid w:val="1A210717"/>
    <w:rsid w:val="1A42393B"/>
    <w:rsid w:val="1A486CDB"/>
    <w:rsid w:val="1A4A4F4A"/>
    <w:rsid w:val="1A8F22F5"/>
    <w:rsid w:val="1AAD45DE"/>
    <w:rsid w:val="1AB87FC8"/>
    <w:rsid w:val="1ABC1334"/>
    <w:rsid w:val="1ACE1E60"/>
    <w:rsid w:val="1AFF068A"/>
    <w:rsid w:val="1B046F80"/>
    <w:rsid w:val="1B3267B5"/>
    <w:rsid w:val="1B40161D"/>
    <w:rsid w:val="1B441859"/>
    <w:rsid w:val="1B4A25D6"/>
    <w:rsid w:val="1B6606B1"/>
    <w:rsid w:val="1B6A78A4"/>
    <w:rsid w:val="1B752D59"/>
    <w:rsid w:val="1BA424BF"/>
    <w:rsid w:val="1BF40817"/>
    <w:rsid w:val="1C0421CC"/>
    <w:rsid w:val="1C17772D"/>
    <w:rsid w:val="1C273890"/>
    <w:rsid w:val="1C2B13DA"/>
    <w:rsid w:val="1C5E7925"/>
    <w:rsid w:val="1C6535AC"/>
    <w:rsid w:val="1C9F3A4C"/>
    <w:rsid w:val="1CFD070F"/>
    <w:rsid w:val="1D1006F6"/>
    <w:rsid w:val="1D225030"/>
    <w:rsid w:val="1D5F6196"/>
    <w:rsid w:val="1D6132A5"/>
    <w:rsid w:val="1D8E56D5"/>
    <w:rsid w:val="1DC05DBA"/>
    <w:rsid w:val="1DD63A76"/>
    <w:rsid w:val="1DD91718"/>
    <w:rsid w:val="1DED0139"/>
    <w:rsid w:val="1E066109"/>
    <w:rsid w:val="1E362C80"/>
    <w:rsid w:val="1E4B2EA0"/>
    <w:rsid w:val="1E5E5806"/>
    <w:rsid w:val="1E7A43DA"/>
    <w:rsid w:val="1E8630B0"/>
    <w:rsid w:val="1ED8701B"/>
    <w:rsid w:val="1EDA7FC8"/>
    <w:rsid w:val="1EE6328B"/>
    <w:rsid w:val="1EFA66D6"/>
    <w:rsid w:val="1F11168C"/>
    <w:rsid w:val="1F30171E"/>
    <w:rsid w:val="1F666A93"/>
    <w:rsid w:val="1F6707FD"/>
    <w:rsid w:val="1F865B0D"/>
    <w:rsid w:val="1FA96986"/>
    <w:rsid w:val="1FC55839"/>
    <w:rsid w:val="1FD36E46"/>
    <w:rsid w:val="1FD5412F"/>
    <w:rsid w:val="1FDC3D2C"/>
    <w:rsid w:val="1FE7539E"/>
    <w:rsid w:val="1FF961BE"/>
    <w:rsid w:val="2009072F"/>
    <w:rsid w:val="204B3C96"/>
    <w:rsid w:val="204C7D7F"/>
    <w:rsid w:val="20671BE0"/>
    <w:rsid w:val="20963CB8"/>
    <w:rsid w:val="20A81A1B"/>
    <w:rsid w:val="20B07FB6"/>
    <w:rsid w:val="20B646FB"/>
    <w:rsid w:val="20B85272"/>
    <w:rsid w:val="20BD51B5"/>
    <w:rsid w:val="20E218E9"/>
    <w:rsid w:val="20E25BAE"/>
    <w:rsid w:val="21045D1D"/>
    <w:rsid w:val="210C2D9A"/>
    <w:rsid w:val="211E4FD7"/>
    <w:rsid w:val="211F0C11"/>
    <w:rsid w:val="212C5EFA"/>
    <w:rsid w:val="213B74B1"/>
    <w:rsid w:val="215A2310"/>
    <w:rsid w:val="21615659"/>
    <w:rsid w:val="21AA1498"/>
    <w:rsid w:val="21DE318A"/>
    <w:rsid w:val="21EF5B80"/>
    <w:rsid w:val="220C170D"/>
    <w:rsid w:val="22576990"/>
    <w:rsid w:val="22994B98"/>
    <w:rsid w:val="22F47480"/>
    <w:rsid w:val="23394D7F"/>
    <w:rsid w:val="233E1FD4"/>
    <w:rsid w:val="237A31F0"/>
    <w:rsid w:val="23C866FA"/>
    <w:rsid w:val="23DE1C48"/>
    <w:rsid w:val="240210CD"/>
    <w:rsid w:val="241F591E"/>
    <w:rsid w:val="2447674C"/>
    <w:rsid w:val="24745DDC"/>
    <w:rsid w:val="24B71CB9"/>
    <w:rsid w:val="24B943B2"/>
    <w:rsid w:val="24BA7848"/>
    <w:rsid w:val="24BF09F7"/>
    <w:rsid w:val="25073F72"/>
    <w:rsid w:val="252D53FE"/>
    <w:rsid w:val="25305608"/>
    <w:rsid w:val="257F3BC2"/>
    <w:rsid w:val="25C64418"/>
    <w:rsid w:val="25DE2671"/>
    <w:rsid w:val="25DE3B8C"/>
    <w:rsid w:val="25EC2D81"/>
    <w:rsid w:val="25F10496"/>
    <w:rsid w:val="25F74D57"/>
    <w:rsid w:val="26502B68"/>
    <w:rsid w:val="26735377"/>
    <w:rsid w:val="268A5F53"/>
    <w:rsid w:val="268E2BB4"/>
    <w:rsid w:val="268E5102"/>
    <w:rsid w:val="26D36137"/>
    <w:rsid w:val="274D6589"/>
    <w:rsid w:val="276552A4"/>
    <w:rsid w:val="277057A2"/>
    <w:rsid w:val="278B6B56"/>
    <w:rsid w:val="27923ECA"/>
    <w:rsid w:val="27A83F0F"/>
    <w:rsid w:val="28031B4C"/>
    <w:rsid w:val="280A4640"/>
    <w:rsid w:val="2811590E"/>
    <w:rsid w:val="286E2445"/>
    <w:rsid w:val="28721CD6"/>
    <w:rsid w:val="28A01172"/>
    <w:rsid w:val="28C2085F"/>
    <w:rsid w:val="28CB7452"/>
    <w:rsid w:val="28EA4144"/>
    <w:rsid w:val="291148F8"/>
    <w:rsid w:val="29123D4E"/>
    <w:rsid w:val="291F3ECC"/>
    <w:rsid w:val="29206EB8"/>
    <w:rsid w:val="29595666"/>
    <w:rsid w:val="2964110C"/>
    <w:rsid w:val="29874881"/>
    <w:rsid w:val="298D66CF"/>
    <w:rsid w:val="29BF7E38"/>
    <w:rsid w:val="29C453E7"/>
    <w:rsid w:val="29E325E0"/>
    <w:rsid w:val="2A2372A9"/>
    <w:rsid w:val="2A452503"/>
    <w:rsid w:val="2A4807EE"/>
    <w:rsid w:val="2A8755B1"/>
    <w:rsid w:val="2AA2556A"/>
    <w:rsid w:val="2AAF6143"/>
    <w:rsid w:val="2AB67B52"/>
    <w:rsid w:val="2B084AD1"/>
    <w:rsid w:val="2B101A49"/>
    <w:rsid w:val="2B195401"/>
    <w:rsid w:val="2B7737BE"/>
    <w:rsid w:val="2B7B1C5D"/>
    <w:rsid w:val="2BA936A8"/>
    <w:rsid w:val="2BC275BC"/>
    <w:rsid w:val="2BDB0142"/>
    <w:rsid w:val="2BDE228B"/>
    <w:rsid w:val="2BEC3054"/>
    <w:rsid w:val="2C1B6A5F"/>
    <w:rsid w:val="2C315A5A"/>
    <w:rsid w:val="2C3D0E5E"/>
    <w:rsid w:val="2C4B1C25"/>
    <w:rsid w:val="2C5F0ED1"/>
    <w:rsid w:val="2C9128A3"/>
    <w:rsid w:val="2CA3556B"/>
    <w:rsid w:val="2CA40ABF"/>
    <w:rsid w:val="2CC35194"/>
    <w:rsid w:val="2CCE468B"/>
    <w:rsid w:val="2D182FB2"/>
    <w:rsid w:val="2D285128"/>
    <w:rsid w:val="2D313878"/>
    <w:rsid w:val="2D9E56F5"/>
    <w:rsid w:val="2DB5799F"/>
    <w:rsid w:val="2DED3ACB"/>
    <w:rsid w:val="2E667F96"/>
    <w:rsid w:val="2E7F751E"/>
    <w:rsid w:val="2E8226AB"/>
    <w:rsid w:val="2E895495"/>
    <w:rsid w:val="2EBE4D96"/>
    <w:rsid w:val="2EF26CEB"/>
    <w:rsid w:val="2F2377B0"/>
    <w:rsid w:val="2F297BE9"/>
    <w:rsid w:val="2FB40CAA"/>
    <w:rsid w:val="2FC67260"/>
    <w:rsid w:val="2FD065E6"/>
    <w:rsid w:val="2FD96870"/>
    <w:rsid w:val="2FED0290"/>
    <w:rsid w:val="30544D5E"/>
    <w:rsid w:val="30580BC9"/>
    <w:rsid w:val="30AA59F8"/>
    <w:rsid w:val="30AF454A"/>
    <w:rsid w:val="30E611C0"/>
    <w:rsid w:val="311D0A59"/>
    <w:rsid w:val="311E2ED7"/>
    <w:rsid w:val="315619EE"/>
    <w:rsid w:val="315C449C"/>
    <w:rsid w:val="317F7033"/>
    <w:rsid w:val="31B82709"/>
    <w:rsid w:val="31C541F4"/>
    <w:rsid w:val="31CE3115"/>
    <w:rsid w:val="31D05482"/>
    <w:rsid w:val="32400B34"/>
    <w:rsid w:val="328B0D6D"/>
    <w:rsid w:val="329E6876"/>
    <w:rsid w:val="32C33D73"/>
    <w:rsid w:val="333015F2"/>
    <w:rsid w:val="334B6320"/>
    <w:rsid w:val="335E665B"/>
    <w:rsid w:val="33640DAD"/>
    <w:rsid w:val="33710872"/>
    <w:rsid w:val="3389226F"/>
    <w:rsid w:val="33D934D4"/>
    <w:rsid w:val="33F10877"/>
    <w:rsid w:val="33FE2F6A"/>
    <w:rsid w:val="340E07E5"/>
    <w:rsid w:val="34235BF7"/>
    <w:rsid w:val="342838C6"/>
    <w:rsid w:val="34316623"/>
    <w:rsid w:val="344E68B9"/>
    <w:rsid w:val="346869A6"/>
    <w:rsid w:val="346C28CB"/>
    <w:rsid w:val="34890A32"/>
    <w:rsid w:val="348A2F2F"/>
    <w:rsid w:val="34957045"/>
    <w:rsid w:val="34983063"/>
    <w:rsid w:val="34995802"/>
    <w:rsid w:val="34A248EC"/>
    <w:rsid w:val="34C3006D"/>
    <w:rsid w:val="34E84DEE"/>
    <w:rsid w:val="34EA3A75"/>
    <w:rsid w:val="34EE459C"/>
    <w:rsid w:val="350773F4"/>
    <w:rsid w:val="35641555"/>
    <w:rsid w:val="356603CE"/>
    <w:rsid w:val="358C5FA8"/>
    <w:rsid w:val="35C15DF1"/>
    <w:rsid w:val="35E06C96"/>
    <w:rsid w:val="36074A7F"/>
    <w:rsid w:val="361B760D"/>
    <w:rsid w:val="36401356"/>
    <w:rsid w:val="36923549"/>
    <w:rsid w:val="369A7C6C"/>
    <w:rsid w:val="36B75FBF"/>
    <w:rsid w:val="36B91988"/>
    <w:rsid w:val="36B95DE5"/>
    <w:rsid w:val="36BD0C45"/>
    <w:rsid w:val="36D07861"/>
    <w:rsid w:val="37050604"/>
    <w:rsid w:val="370B1916"/>
    <w:rsid w:val="372357B2"/>
    <w:rsid w:val="37D05999"/>
    <w:rsid w:val="37E00298"/>
    <w:rsid w:val="384D2A54"/>
    <w:rsid w:val="387A54B7"/>
    <w:rsid w:val="388A50B5"/>
    <w:rsid w:val="389A3F45"/>
    <w:rsid w:val="38B302F9"/>
    <w:rsid w:val="38DA5E36"/>
    <w:rsid w:val="38E40B28"/>
    <w:rsid w:val="38EB00C0"/>
    <w:rsid w:val="38F12CD3"/>
    <w:rsid w:val="38F94775"/>
    <w:rsid w:val="390D78DC"/>
    <w:rsid w:val="392971ED"/>
    <w:rsid w:val="39325651"/>
    <w:rsid w:val="39415B41"/>
    <w:rsid w:val="3948325C"/>
    <w:rsid w:val="39491576"/>
    <w:rsid w:val="39AC61FF"/>
    <w:rsid w:val="39CE01A3"/>
    <w:rsid w:val="39D76BCC"/>
    <w:rsid w:val="3A00325D"/>
    <w:rsid w:val="3A172B2D"/>
    <w:rsid w:val="3A212275"/>
    <w:rsid w:val="3A2400D0"/>
    <w:rsid w:val="3A3C4BF5"/>
    <w:rsid w:val="3A4A6564"/>
    <w:rsid w:val="3A872856"/>
    <w:rsid w:val="3ACC22F6"/>
    <w:rsid w:val="3AF87F40"/>
    <w:rsid w:val="3B3763D1"/>
    <w:rsid w:val="3B41092D"/>
    <w:rsid w:val="3BA32C9C"/>
    <w:rsid w:val="3BEC762B"/>
    <w:rsid w:val="3C084525"/>
    <w:rsid w:val="3C13253F"/>
    <w:rsid w:val="3C261A0B"/>
    <w:rsid w:val="3C2F6E1E"/>
    <w:rsid w:val="3C30634D"/>
    <w:rsid w:val="3C4F64BA"/>
    <w:rsid w:val="3C7400FF"/>
    <w:rsid w:val="3CB70209"/>
    <w:rsid w:val="3CBB12E3"/>
    <w:rsid w:val="3CCB5BDC"/>
    <w:rsid w:val="3CDA245A"/>
    <w:rsid w:val="3D195072"/>
    <w:rsid w:val="3D1E06B7"/>
    <w:rsid w:val="3D262254"/>
    <w:rsid w:val="3D4F3BDD"/>
    <w:rsid w:val="3DBA6BF7"/>
    <w:rsid w:val="3DBE4C9E"/>
    <w:rsid w:val="3DC6336E"/>
    <w:rsid w:val="3DCD448B"/>
    <w:rsid w:val="3DFC7461"/>
    <w:rsid w:val="3E067747"/>
    <w:rsid w:val="3E583791"/>
    <w:rsid w:val="3E904D04"/>
    <w:rsid w:val="3ED2745E"/>
    <w:rsid w:val="3EDA0523"/>
    <w:rsid w:val="3EDE7D94"/>
    <w:rsid w:val="3EEE0D6A"/>
    <w:rsid w:val="3F215781"/>
    <w:rsid w:val="3F6E405A"/>
    <w:rsid w:val="3FB31A43"/>
    <w:rsid w:val="40122A17"/>
    <w:rsid w:val="404B0F96"/>
    <w:rsid w:val="406C7355"/>
    <w:rsid w:val="407A6407"/>
    <w:rsid w:val="409567C7"/>
    <w:rsid w:val="40FC174F"/>
    <w:rsid w:val="41117069"/>
    <w:rsid w:val="41273FF6"/>
    <w:rsid w:val="417E4464"/>
    <w:rsid w:val="41FD5076"/>
    <w:rsid w:val="4200449D"/>
    <w:rsid w:val="42181930"/>
    <w:rsid w:val="423A3BCC"/>
    <w:rsid w:val="423B01AE"/>
    <w:rsid w:val="423F629F"/>
    <w:rsid w:val="424E57D2"/>
    <w:rsid w:val="42682F79"/>
    <w:rsid w:val="429527E9"/>
    <w:rsid w:val="42966265"/>
    <w:rsid w:val="42971E93"/>
    <w:rsid w:val="42AB7914"/>
    <w:rsid w:val="42B26C49"/>
    <w:rsid w:val="430810AB"/>
    <w:rsid w:val="43302D46"/>
    <w:rsid w:val="433A6FE6"/>
    <w:rsid w:val="43417116"/>
    <w:rsid w:val="43480868"/>
    <w:rsid w:val="4350713C"/>
    <w:rsid w:val="43661E85"/>
    <w:rsid w:val="436653E0"/>
    <w:rsid w:val="43AC48B4"/>
    <w:rsid w:val="43BB6667"/>
    <w:rsid w:val="43C33F8C"/>
    <w:rsid w:val="43C4431A"/>
    <w:rsid w:val="43C53374"/>
    <w:rsid w:val="44111C72"/>
    <w:rsid w:val="44B951CC"/>
    <w:rsid w:val="44BD5993"/>
    <w:rsid w:val="44CD14E0"/>
    <w:rsid w:val="44DA4D15"/>
    <w:rsid w:val="44DD04CE"/>
    <w:rsid w:val="44EE2DC5"/>
    <w:rsid w:val="44F20B0B"/>
    <w:rsid w:val="451203E3"/>
    <w:rsid w:val="452E5F4C"/>
    <w:rsid w:val="45347844"/>
    <w:rsid w:val="45552D3B"/>
    <w:rsid w:val="455E1011"/>
    <w:rsid w:val="45612018"/>
    <w:rsid w:val="45817969"/>
    <w:rsid w:val="458946E9"/>
    <w:rsid w:val="45A47C0E"/>
    <w:rsid w:val="45BC431D"/>
    <w:rsid w:val="45D74105"/>
    <w:rsid w:val="45EA50B5"/>
    <w:rsid w:val="45F3145C"/>
    <w:rsid w:val="464179DD"/>
    <w:rsid w:val="46577FD6"/>
    <w:rsid w:val="466F52DB"/>
    <w:rsid w:val="46D955A7"/>
    <w:rsid w:val="470C0044"/>
    <w:rsid w:val="47133957"/>
    <w:rsid w:val="47281EF6"/>
    <w:rsid w:val="47672DC6"/>
    <w:rsid w:val="47A07E0C"/>
    <w:rsid w:val="47A24A03"/>
    <w:rsid w:val="47BD0236"/>
    <w:rsid w:val="47C175A0"/>
    <w:rsid w:val="4810176F"/>
    <w:rsid w:val="48512399"/>
    <w:rsid w:val="4870272E"/>
    <w:rsid w:val="48A40902"/>
    <w:rsid w:val="49341E1D"/>
    <w:rsid w:val="49435922"/>
    <w:rsid w:val="49604629"/>
    <w:rsid w:val="497D666B"/>
    <w:rsid w:val="49A80935"/>
    <w:rsid w:val="49AC7FA8"/>
    <w:rsid w:val="49DC7715"/>
    <w:rsid w:val="49E1767F"/>
    <w:rsid w:val="4A023139"/>
    <w:rsid w:val="4A043A48"/>
    <w:rsid w:val="4A047A04"/>
    <w:rsid w:val="4A3F0004"/>
    <w:rsid w:val="4A424AB1"/>
    <w:rsid w:val="4A5A0292"/>
    <w:rsid w:val="4A7451E7"/>
    <w:rsid w:val="4A7B576F"/>
    <w:rsid w:val="4A813817"/>
    <w:rsid w:val="4AC3709D"/>
    <w:rsid w:val="4AEE3662"/>
    <w:rsid w:val="4AF561A9"/>
    <w:rsid w:val="4B41435F"/>
    <w:rsid w:val="4B5476EF"/>
    <w:rsid w:val="4B7C46D8"/>
    <w:rsid w:val="4BE37068"/>
    <w:rsid w:val="4C4A0649"/>
    <w:rsid w:val="4C5829DC"/>
    <w:rsid w:val="4C7E5ECA"/>
    <w:rsid w:val="4C876AA5"/>
    <w:rsid w:val="4C902DF2"/>
    <w:rsid w:val="4CBB3090"/>
    <w:rsid w:val="4CEF776B"/>
    <w:rsid w:val="4D0E00FB"/>
    <w:rsid w:val="4D176606"/>
    <w:rsid w:val="4D860166"/>
    <w:rsid w:val="4D860577"/>
    <w:rsid w:val="4DCA0B9D"/>
    <w:rsid w:val="4DEC4FB0"/>
    <w:rsid w:val="4E01392D"/>
    <w:rsid w:val="4E075D8A"/>
    <w:rsid w:val="4E2A1BDC"/>
    <w:rsid w:val="4E2E5541"/>
    <w:rsid w:val="4E345540"/>
    <w:rsid w:val="4E4E5C0A"/>
    <w:rsid w:val="4E6D3E6F"/>
    <w:rsid w:val="4E743158"/>
    <w:rsid w:val="4E916291"/>
    <w:rsid w:val="4EA87356"/>
    <w:rsid w:val="4EB07C18"/>
    <w:rsid w:val="4EC00FAD"/>
    <w:rsid w:val="4EC83E66"/>
    <w:rsid w:val="4EF1256C"/>
    <w:rsid w:val="4EF3065C"/>
    <w:rsid w:val="4EF41D7E"/>
    <w:rsid w:val="4F1F29A8"/>
    <w:rsid w:val="4F834294"/>
    <w:rsid w:val="4F9843DC"/>
    <w:rsid w:val="4FC62A8C"/>
    <w:rsid w:val="4FDB0F59"/>
    <w:rsid w:val="4FE20F0D"/>
    <w:rsid w:val="4FE51552"/>
    <w:rsid w:val="4FF34679"/>
    <w:rsid w:val="5005237C"/>
    <w:rsid w:val="50474550"/>
    <w:rsid w:val="50504C4B"/>
    <w:rsid w:val="50622339"/>
    <w:rsid w:val="509C6E7C"/>
    <w:rsid w:val="50D42EB2"/>
    <w:rsid w:val="50DB0DD5"/>
    <w:rsid w:val="50E52C8A"/>
    <w:rsid w:val="510119A2"/>
    <w:rsid w:val="511062B9"/>
    <w:rsid w:val="511E26DB"/>
    <w:rsid w:val="5162104E"/>
    <w:rsid w:val="51675EF1"/>
    <w:rsid w:val="51772570"/>
    <w:rsid w:val="517A726F"/>
    <w:rsid w:val="517D7089"/>
    <w:rsid w:val="519F6E76"/>
    <w:rsid w:val="51A45A2A"/>
    <w:rsid w:val="51B55C83"/>
    <w:rsid w:val="51BB10D2"/>
    <w:rsid w:val="51EB79B1"/>
    <w:rsid w:val="520C4A2A"/>
    <w:rsid w:val="523751AB"/>
    <w:rsid w:val="524A5BCC"/>
    <w:rsid w:val="52933621"/>
    <w:rsid w:val="530B100E"/>
    <w:rsid w:val="5328006A"/>
    <w:rsid w:val="537D07A2"/>
    <w:rsid w:val="537D7232"/>
    <w:rsid w:val="538577C7"/>
    <w:rsid w:val="53A039CC"/>
    <w:rsid w:val="53A1505A"/>
    <w:rsid w:val="53A40325"/>
    <w:rsid w:val="53B574AE"/>
    <w:rsid w:val="54063E08"/>
    <w:rsid w:val="54126693"/>
    <w:rsid w:val="54131B49"/>
    <w:rsid w:val="543437E8"/>
    <w:rsid w:val="547D222F"/>
    <w:rsid w:val="54B91165"/>
    <w:rsid w:val="54D501F6"/>
    <w:rsid w:val="54D978F9"/>
    <w:rsid w:val="54F73313"/>
    <w:rsid w:val="54F80955"/>
    <w:rsid w:val="55061D20"/>
    <w:rsid w:val="550E2D30"/>
    <w:rsid w:val="55507DF1"/>
    <w:rsid w:val="555170A7"/>
    <w:rsid w:val="555979A7"/>
    <w:rsid w:val="555B6AC9"/>
    <w:rsid w:val="556A73DD"/>
    <w:rsid w:val="5587536D"/>
    <w:rsid w:val="559B174B"/>
    <w:rsid w:val="55AC0650"/>
    <w:rsid w:val="55CD7F99"/>
    <w:rsid w:val="55CE0CF4"/>
    <w:rsid w:val="55F318B3"/>
    <w:rsid w:val="55F72C49"/>
    <w:rsid w:val="563C7C25"/>
    <w:rsid w:val="567C4A34"/>
    <w:rsid w:val="56936C8A"/>
    <w:rsid w:val="56B22A9C"/>
    <w:rsid w:val="56C81063"/>
    <w:rsid w:val="56CA1E57"/>
    <w:rsid w:val="5700118E"/>
    <w:rsid w:val="57647D46"/>
    <w:rsid w:val="578D4C2C"/>
    <w:rsid w:val="57B72A76"/>
    <w:rsid w:val="57B81A13"/>
    <w:rsid w:val="57C3426C"/>
    <w:rsid w:val="57CE1F93"/>
    <w:rsid w:val="57EA4E93"/>
    <w:rsid w:val="580F50A5"/>
    <w:rsid w:val="588743D1"/>
    <w:rsid w:val="5887701A"/>
    <w:rsid w:val="58931534"/>
    <w:rsid w:val="58AE6F93"/>
    <w:rsid w:val="58C61FB3"/>
    <w:rsid w:val="58CF4F76"/>
    <w:rsid w:val="59040AD3"/>
    <w:rsid w:val="591B4C45"/>
    <w:rsid w:val="595543AF"/>
    <w:rsid w:val="59C0439F"/>
    <w:rsid w:val="59C073A6"/>
    <w:rsid w:val="59E37754"/>
    <w:rsid w:val="59ED60BD"/>
    <w:rsid w:val="5A4D680C"/>
    <w:rsid w:val="5A836138"/>
    <w:rsid w:val="5A86647F"/>
    <w:rsid w:val="5ABE2233"/>
    <w:rsid w:val="5B5F1EC7"/>
    <w:rsid w:val="5B865ADF"/>
    <w:rsid w:val="5BC54722"/>
    <w:rsid w:val="5BDF5D95"/>
    <w:rsid w:val="5BFE7528"/>
    <w:rsid w:val="5C58213B"/>
    <w:rsid w:val="5C706A6A"/>
    <w:rsid w:val="5C9C7B71"/>
    <w:rsid w:val="5C9E3207"/>
    <w:rsid w:val="5C9F0396"/>
    <w:rsid w:val="5CE16951"/>
    <w:rsid w:val="5CFC4F56"/>
    <w:rsid w:val="5D9F066C"/>
    <w:rsid w:val="5DA502C0"/>
    <w:rsid w:val="5DB172CF"/>
    <w:rsid w:val="5DE75075"/>
    <w:rsid w:val="5DE9037F"/>
    <w:rsid w:val="5DF55015"/>
    <w:rsid w:val="5E0716A0"/>
    <w:rsid w:val="5E1611EE"/>
    <w:rsid w:val="5E2467F1"/>
    <w:rsid w:val="5E4D2118"/>
    <w:rsid w:val="5EB7046A"/>
    <w:rsid w:val="5ED2113D"/>
    <w:rsid w:val="5EDF567B"/>
    <w:rsid w:val="5EF96DC2"/>
    <w:rsid w:val="5F0774C7"/>
    <w:rsid w:val="5F1A2B43"/>
    <w:rsid w:val="5F9601A3"/>
    <w:rsid w:val="5FB27934"/>
    <w:rsid w:val="5FB837BB"/>
    <w:rsid w:val="5FD22AC1"/>
    <w:rsid w:val="5FDB6E3C"/>
    <w:rsid w:val="5FE056C3"/>
    <w:rsid w:val="5FEE4C1D"/>
    <w:rsid w:val="5FFB7174"/>
    <w:rsid w:val="600F5043"/>
    <w:rsid w:val="60406552"/>
    <w:rsid w:val="605B2AC1"/>
    <w:rsid w:val="6062147D"/>
    <w:rsid w:val="60912BEA"/>
    <w:rsid w:val="60967670"/>
    <w:rsid w:val="60B14B37"/>
    <w:rsid w:val="60CC405A"/>
    <w:rsid w:val="60E72976"/>
    <w:rsid w:val="61331DC0"/>
    <w:rsid w:val="614756D7"/>
    <w:rsid w:val="61917C01"/>
    <w:rsid w:val="61E215D8"/>
    <w:rsid w:val="61E363AF"/>
    <w:rsid w:val="620F10DF"/>
    <w:rsid w:val="621B3775"/>
    <w:rsid w:val="62307490"/>
    <w:rsid w:val="62364782"/>
    <w:rsid w:val="625A5B1B"/>
    <w:rsid w:val="62846E1D"/>
    <w:rsid w:val="62A44EE3"/>
    <w:rsid w:val="62CF3D32"/>
    <w:rsid w:val="62D4775C"/>
    <w:rsid w:val="62F947C3"/>
    <w:rsid w:val="62FA5A98"/>
    <w:rsid w:val="63084A0D"/>
    <w:rsid w:val="63213523"/>
    <w:rsid w:val="632514BC"/>
    <w:rsid w:val="632C117B"/>
    <w:rsid w:val="636655D6"/>
    <w:rsid w:val="6394356A"/>
    <w:rsid w:val="63A921D1"/>
    <w:rsid w:val="63C61B2C"/>
    <w:rsid w:val="63D40BE9"/>
    <w:rsid w:val="64102431"/>
    <w:rsid w:val="64877FFE"/>
    <w:rsid w:val="64A5243A"/>
    <w:rsid w:val="64F31BF3"/>
    <w:rsid w:val="64F531DE"/>
    <w:rsid w:val="64FB4D6A"/>
    <w:rsid w:val="65213EBD"/>
    <w:rsid w:val="65373578"/>
    <w:rsid w:val="655F4D77"/>
    <w:rsid w:val="657723A4"/>
    <w:rsid w:val="65815894"/>
    <w:rsid w:val="65AF73D0"/>
    <w:rsid w:val="65EC4C13"/>
    <w:rsid w:val="660D42C4"/>
    <w:rsid w:val="660D7B70"/>
    <w:rsid w:val="66123BE4"/>
    <w:rsid w:val="66581960"/>
    <w:rsid w:val="666F4958"/>
    <w:rsid w:val="66997FE3"/>
    <w:rsid w:val="66AD727C"/>
    <w:rsid w:val="66D535FB"/>
    <w:rsid w:val="671F124A"/>
    <w:rsid w:val="672F58D8"/>
    <w:rsid w:val="674505EE"/>
    <w:rsid w:val="677A33C6"/>
    <w:rsid w:val="67A47F2F"/>
    <w:rsid w:val="67C9178A"/>
    <w:rsid w:val="681A3AB3"/>
    <w:rsid w:val="681C6CCF"/>
    <w:rsid w:val="681E3D03"/>
    <w:rsid w:val="681F6961"/>
    <w:rsid w:val="68610A2F"/>
    <w:rsid w:val="686F68B0"/>
    <w:rsid w:val="68805514"/>
    <w:rsid w:val="68822049"/>
    <w:rsid w:val="68AD3FEB"/>
    <w:rsid w:val="68BF4B16"/>
    <w:rsid w:val="68EE1DC1"/>
    <w:rsid w:val="69316E2F"/>
    <w:rsid w:val="694A21DB"/>
    <w:rsid w:val="694D37B3"/>
    <w:rsid w:val="694E2071"/>
    <w:rsid w:val="69766163"/>
    <w:rsid w:val="697A3B33"/>
    <w:rsid w:val="69B70C11"/>
    <w:rsid w:val="69D1488F"/>
    <w:rsid w:val="69D44760"/>
    <w:rsid w:val="69EC7186"/>
    <w:rsid w:val="69F03330"/>
    <w:rsid w:val="6A3E5A03"/>
    <w:rsid w:val="6A520EC7"/>
    <w:rsid w:val="6A612CB9"/>
    <w:rsid w:val="6A6A0575"/>
    <w:rsid w:val="6A7873EE"/>
    <w:rsid w:val="6A7A0337"/>
    <w:rsid w:val="6AAF7D41"/>
    <w:rsid w:val="6ABB3B0A"/>
    <w:rsid w:val="6ABD00AC"/>
    <w:rsid w:val="6AE75379"/>
    <w:rsid w:val="6AEB53A6"/>
    <w:rsid w:val="6AF87E20"/>
    <w:rsid w:val="6B322639"/>
    <w:rsid w:val="6B8949A1"/>
    <w:rsid w:val="6BA65C25"/>
    <w:rsid w:val="6BF03352"/>
    <w:rsid w:val="6C1B390B"/>
    <w:rsid w:val="6C636C38"/>
    <w:rsid w:val="6C776D0D"/>
    <w:rsid w:val="6C7F688B"/>
    <w:rsid w:val="6C8329B5"/>
    <w:rsid w:val="6C8E0019"/>
    <w:rsid w:val="6CAD2A8D"/>
    <w:rsid w:val="6CC41640"/>
    <w:rsid w:val="6CE24E88"/>
    <w:rsid w:val="6D7A6706"/>
    <w:rsid w:val="6D957448"/>
    <w:rsid w:val="6DA07AA3"/>
    <w:rsid w:val="6DAD38F0"/>
    <w:rsid w:val="6DB34098"/>
    <w:rsid w:val="6DB545B6"/>
    <w:rsid w:val="6DC9622E"/>
    <w:rsid w:val="6DE02FB4"/>
    <w:rsid w:val="6E131F64"/>
    <w:rsid w:val="6E4B1ABE"/>
    <w:rsid w:val="6E514CED"/>
    <w:rsid w:val="6E601CC5"/>
    <w:rsid w:val="6E6167D3"/>
    <w:rsid w:val="6E6B4E85"/>
    <w:rsid w:val="6E815A25"/>
    <w:rsid w:val="6E84310D"/>
    <w:rsid w:val="6E844CA5"/>
    <w:rsid w:val="6E871429"/>
    <w:rsid w:val="6EB563D5"/>
    <w:rsid w:val="6ED92677"/>
    <w:rsid w:val="6F034735"/>
    <w:rsid w:val="6F0E28EB"/>
    <w:rsid w:val="6F225983"/>
    <w:rsid w:val="6F4F192F"/>
    <w:rsid w:val="6F5A0B95"/>
    <w:rsid w:val="6FA4548D"/>
    <w:rsid w:val="6FB66F0D"/>
    <w:rsid w:val="6FC22518"/>
    <w:rsid w:val="6FCA0AD5"/>
    <w:rsid w:val="6FDD215F"/>
    <w:rsid w:val="6FF03B0A"/>
    <w:rsid w:val="6FFC5590"/>
    <w:rsid w:val="701F0975"/>
    <w:rsid w:val="702C7D6A"/>
    <w:rsid w:val="702E3DD6"/>
    <w:rsid w:val="705D00CB"/>
    <w:rsid w:val="706D1DD0"/>
    <w:rsid w:val="70856B87"/>
    <w:rsid w:val="70D527EE"/>
    <w:rsid w:val="70EF038E"/>
    <w:rsid w:val="70F476A5"/>
    <w:rsid w:val="715B5300"/>
    <w:rsid w:val="7163539D"/>
    <w:rsid w:val="717B70C9"/>
    <w:rsid w:val="717C6BB3"/>
    <w:rsid w:val="71D27F8A"/>
    <w:rsid w:val="71DF4FA3"/>
    <w:rsid w:val="72052280"/>
    <w:rsid w:val="72145FEB"/>
    <w:rsid w:val="7221479F"/>
    <w:rsid w:val="72335085"/>
    <w:rsid w:val="724163F9"/>
    <w:rsid w:val="72553024"/>
    <w:rsid w:val="72C73FC2"/>
    <w:rsid w:val="72E016E5"/>
    <w:rsid w:val="73036C27"/>
    <w:rsid w:val="730D19F2"/>
    <w:rsid w:val="73122968"/>
    <w:rsid w:val="73145F25"/>
    <w:rsid w:val="731F5D5E"/>
    <w:rsid w:val="73415C1B"/>
    <w:rsid w:val="73571DDD"/>
    <w:rsid w:val="737E43CE"/>
    <w:rsid w:val="7380177F"/>
    <w:rsid w:val="738F54D4"/>
    <w:rsid w:val="73996565"/>
    <w:rsid w:val="739B5752"/>
    <w:rsid w:val="73A7781B"/>
    <w:rsid w:val="73C51AD5"/>
    <w:rsid w:val="73F45E16"/>
    <w:rsid w:val="741E793C"/>
    <w:rsid w:val="743F04D1"/>
    <w:rsid w:val="7441044A"/>
    <w:rsid w:val="745E3944"/>
    <w:rsid w:val="7480733A"/>
    <w:rsid w:val="74A975A6"/>
    <w:rsid w:val="74AA6493"/>
    <w:rsid w:val="74AA6E91"/>
    <w:rsid w:val="74C506E7"/>
    <w:rsid w:val="74E0652D"/>
    <w:rsid w:val="74EE60EC"/>
    <w:rsid w:val="75121651"/>
    <w:rsid w:val="75160983"/>
    <w:rsid w:val="751B545F"/>
    <w:rsid w:val="757271FA"/>
    <w:rsid w:val="759E1951"/>
    <w:rsid w:val="75B503D9"/>
    <w:rsid w:val="75ED0FCB"/>
    <w:rsid w:val="75F51FA8"/>
    <w:rsid w:val="76163827"/>
    <w:rsid w:val="7635099D"/>
    <w:rsid w:val="764201AA"/>
    <w:rsid w:val="76601F4C"/>
    <w:rsid w:val="769B13C7"/>
    <w:rsid w:val="76AB11AA"/>
    <w:rsid w:val="771C1B35"/>
    <w:rsid w:val="772E5524"/>
    <w:rsid w:val="77300217"/>
    <w:rsid w:val="77340DF1"/>
    <w:rsid w:val="77633AEC"/>
    <w:rsid w:val="77762421"/>
    <w:rsid w:val="77965102"/>
    <w:rsid w:val="779D0FCB"/>
    <w:rsid w:val="77B56B1F"/>
    <w:rsid w:val="77D219E1"/>
    <w:rsid w:val="77E52D8C"/>
    <w:rsid w:val="77FB7866"/>
    <w:rsid w:val="78066316"/>
    <w:rsid w:val="780F09F4"/>
    <w:rsid w:val="78284F7D"/>
    <w:rsid w:val="782E2E16"/>
    <w:rsid w:val="782F7906"/>
    <w:rsid w:val="785F331C"/>
    <w:rsid w:val="78A90480"/>
    <w:rsid w:val="78B7434F"/>
    <w:rsid w:val="78C62F63"/>
    <w:rsid w:val="78DF17D0"/>
    <w:rsid w:val="794629EA"/>
    <w:rsid w:val="7967020E"/>
    <w:rsid w:val="79673589"/>
    <w:rsid w:val="796D746E"/>
    <w:rsid w:val="7977328A"/>
    <w:rsid w:val="798F320D"/>
    <w:rsid w:val="79A813E2"/>
    <w:rsid w:val="79DF59A1"/>
    <w:rsid w:val="79EF131F"/>
    <w:rsid w:val="79FF5252"/>
    <w:rsid w:val="7A037AFA"/>
    <w:rsid w:val="7A364017"/>
    <w:rsid w:val="7A8265E1"/>
    <w:rsid w:val="7A913E61"/>
    <w:rsid w:val="7AB13C33"/>
    <w:rsid w:val="7AB923FE"/>
    <w:rsid w:val="7AD53AE2"/>
    <w:rsid w:val="7AE5579A"/>
    <w:rsid w:val="7AEB3D70"/>
    <w:rsid w:val="7B114C52"/>
    <w:rsid w:val="7B144B26"/>
    <w:rsid w:val="7B1912F5"/>
    <w:rsid w:val="7B38189D"/>
    <w:rsid w:val="7B48379C"/>
    <w:rsid w:val="7B686D42"/>
    <w:rsid w:val="7B7B643B"/>
    <w:rsid w:val="7B841746"/>
    <w:rsid w:val="7B897940"/>
    <w:rsid w:val="7BA95120"/>
    <w:rsid w:val="7BAC7A51"/>
    <w:rsid w:val="7C057C11"/>
    <w:rsid w:val="7C331FDB"/>
    <w:rsid w:val="7C4E2CB0"/>
    <w:rsid w:val="7C5666A4"/>
    <w:rsid w:val="7C6C5AC7"/>
    <w:rsid w:val="7C851AFF"/>
    <w:rsid w:val="7CBB28F1"/>
    <w:rsid w:val="7CC6544B"/>
    <w:rsid w:val="7CEB60E8"/>
    <w:rsid w:val="7D0239FF"/>
    <w:rsid w:val="7D0C02DF"/>
    <w:rsid w:val="7D582079"/>
    <w:rsid w:val="7D5E40CD"/>
    <w:rsid w:val="7D675485"/>
    <w:rsid w:val="7D737BFB"/>
    <w:rsid w:val="7D7A092B"/>
    <w:rsid w:val="7D851575"/>
    <w:rsid w:val="7D9D26F2"/>
    <w:rsid w:val="7DAC5C64"/>
    <w:rsid w:val="7DAE40B5"/>
    <w:rsid w:val="7DCD56F2"/>
    <w:rsid w:val="7DD67BF7"/>
    <w:rsid w:val="7DE04192"/>
    <w:rsid w:val="7E1A0328"/>
    <w:rsid w:val="7E1B408F"/>
    <w:rsid w:val="7E302272"/>
    <w:rsid w:val="7E3D7E86"/>
    <w:rsid w:val="7E3F2FE9"/>
    <w:rsid w:val="7E412ED6"/>
    <w:rsid w:val="7E5E1385"/>
    <w:rsid w:val="7E6610A0"/>
    <w:rsid w:val="7E90327A"/>
    <w:rsid w:val="7EAD7DF0"/>
    <w:rsid w:val="7F001CE7"/>
    <w:rsid w:val="7F097407"/>
    <w:rsid w:val="7F3E7446"/>
    <w:rsid w:val="7F4C7BEA"/>
    <w:rsid w:val="7F556B02"/>
    <w:rsid w:val="7F5B6C8D"/>
    <w:rsid w:val="7FD07777"/>
    <w:rsid w:val="7FE47E50"/>
    <w:rsid w:val="7FF0195B"/>
    <w:rsid w:val="7FF03014"/>
  </w:rsids>
  <w:docVars>
    <w:docVar w:name="commondata" w:val="eyJoZGlkIjoiM2E2Zjk1NDU0MTY5OWYwNTdkZTYxMDhiZTAzNTk3Nj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2"/>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pPr>
      <w:keepNext/>
      <w:overflowPunct w:val="0"/>
      <w:snapToGrid w:val="0"/>
      <w:spacing w:before="120" w:after="160" w:line="259" w:lineRule="auto"/>
      <w:ind w:left="432" w:hanging="432"/>
      <w:outlineLvl w:val="0"/>
    </w:pPr>
    <w:rPr>
      <w:rFonts w:ascii="Times New Roman" w:eastAsia="黑体" w:hAnsi="Times New Roman" w:cs="Times New Roman"/>
      <w:b/>
      <w:bCs/>
      <w:color w:val="000000"/>
      <w:kern w:val="44"/>
      <w:sz w:val="30"/>
      <w:szCs w:val="30"/>
    </w:rPr>
  </w:style>
  <w:style w:type="paragraph" w:styleId="Heading2">
    <w:name w:val="heading 2"/>
    <w:basedOn w:val="Normal"/>
    <w:next w:val="Normal"/>
    <w:pPr>
      <w:keepNext/>
      <w:keepLines/>
      <w:spacing w:before="260" w:beforeLines="0" w:after="260" w:afterLines="0" w:line="416" w:lineRule="auto"/>
      <w:outlineLvl w:val="1"/>
    </w:pPr>
    <w:rPr>
      <w:rFonts w:ascii="Arial" w:eastAsia="黑体" w:hAnsi="Arial" w:cs="Times New Roman"/>
      <w:b/>
      <w:bCs/>
      <w:kern w:val="2"/>
      <w:sz w:val="32"/>
      <w:szCs w:val="32"/>
      <w:lang w:val="en-US" w:eastAsia="zh-CN" w:bidi="ar-SA"/>
    </w:rPr>
  </w:style>
  <w:style w:type="character" w:default="1" w:styleId="DefaultParagraphFont">
    <w:name w:val="Default Paragraph Font"/>
    <w:rPr>
      <w:rFonts w:ascii="Times New Roman" w:eastAsia="宋体" w:hAnsi="Times New Roman" w:cs="Times New Roman"/>
    </w:rPr>
  </w:style>
  <w:style w:type="table" w:default="1" w:styleId="TableNormal">
    <w:name w:val="Normal Table"/>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character" w:customStyle="1" w:styleId="a">
    <w:name w:val="正文文本 字符"/>
    <w:link w:val="BodyText"/>
    <w:rPr>
      <w:rFonts w:ascii="Times New Roman" w:eastAsia="宋体" w:hAnsi="Times New Roman" w:cs="Times New Roman"/>
      <w:sz w:val="18"/>
    </w:rPr>
  </w:style>
  <w:style w:type="character" w:customStyle="1" w:styleId="a0">
    <w:name w:val="批注主题 字符"/>
    <w:link w:val="CommentSubject"/>
    <w:rPr>
      <w:rFonts w:ascii="Times New Roman" w:eastAsia="宋体" w:hAnsi="Times New Roman" w:cs="Times New Roman"/>
      <w:b/>
      <w:kern w:val="2"/>
      <w:sz w:val="24"/>
    </w:rPr>
  </w:style>
  <w:style w:type="character" w:customStyle="1" w:styleId="Char">
    <w:name w:val="表格 Char"/>
    <w:link w:val="a10"/>
    <w:rPr>
      <w:rFonts w:ascii="宋体" w:eastAsia="宋体" w:hAnsi="Times New Roman" w:cs="Times New Roman"/>
      <w:sz w:val="21"/>
    </w:rPr>
  </w:style>
  <w:style w:type="character" w:customStyle="1" w:styleId="fontstyle01">
    <w:name w:val="fontstyle01"/>
    <w:rPr>
      <w:rFonts w:ascii="宋体" w:eastAsia="宋体" w:hAnsi="宋体" w:cs="Times New Roman" w:hint="eastAsia"/>
      <w:color w:val="000000"/>
      <w:sz w:val="24"/>
      <w:szCs w:val="24"/>
    </w:rPr>
  </w:style>
  <w:style w:type="character" w:customStyle="1" w:styleId="a1">
    <w:name w:val="批注框文本 字符"/>
    <w:link w:val="BalloonText"/>
    <w:rPr>
      <w:rFonts w:ascii="Times New Roman" w:eastAsia="宋体" w:hAnsi="Times New Roman" w:cs="Times New Roman"/>
      <w:sz w:val="18"/>
    </w:rPr>
  </w:style>
  <w:style w:type="character" w:customStyle="1" w:styleId="1">
    <w:name w:val="日期 字符1"/>
    <w:link w:val="Date"/>
    <w:rPr>
      <w:rFonts w:ascii="Times New Roman" w:eastAsia="宋体" w:hAnsi="Times New Roman" w:cs="Times New Roman"/>
      <w:sz w:val="24"/>
    </w:rPr>
  </w:style>
  <w:style w:type="character" w:customStyle="1" w:styleId="10">
    <w:name w:val="正文文本 字符1"/>
    <w:rPr>
      <w:rFonts w:ascii="Times New Roman" w:eastAsia="宋体" w:hAnsi="Times New Roman" w:cs="Times New Roman"/>
      <w:sz w:val="24"/>
    </w:rPr>
  </w:style>
  <w:style w:type="character" w:styleId="Hyperlink">
    <w:name w:val="Hyperlink"/>
    <w:rPr>
      <w:rFonts w:ascii="Times New Roman" w:eastAsia="宋体" w:hAnsi="Times New Roman" w:cs="Times New Roman"/>
      <w:color w:val="0000FF"/>
      <w:u w:val="single"/>
    </w:rPr>
  </w:style>
  <w:style w:type="character" w:customStyle="1" w:styleId="a2">
    <w:name w:val="批注文字 字符"/>
    <w:link w:val="CommentText"/>
    <w:rPr>
      <w:rFonts w:ascii="Times New Roman" w:eastAsia="宋体" w:hAnsi="Times New Roman" w:cs="Times New Roman"/>
      <w:sz w:val="24"/>
    </w:rPr>
  </w:style>
  <w:style w:type="character" w:styleId="CommentReference">
    <w:name w:val="annotation reference"/>
    <w:rPr>
      <w:rFonts w:ascii="Times New Roman" w:eastAsia="宋体" w:hAnsi="Times New Roman" w:cs="Times New Roman"/>
      <w:sz w:val="21"/>
    </w:rPr>
  </w:style>
  <w:style w:type="character" w:customStyle="1" w:styleId="11">
    <w:name w:val="页脚 字符1"/>
    <w:link w:val="Footer"/>
    <w:rPr>
      <w:rFonts w:ascii="Times New Roman" w:eastAsia="宋体" w:hAnsi="Times New Roman" w:cs="Times New Roman"/>
      <w:sz w:val="18"/>
    </w:rPr>
  </w:style>
  <w:style w:type="character" w:customStyle="1" w:styleId="a3">
    <w:name w:val="日期 字符"/>
    <w:rPr>
      <w:rFonts w:ascii="Times New Roman" w:eastAsia="宋体" w:hAnsi="Times New Roman" w:cs="Times New Roman"/>
      <w:sz w:val="24"/>
    </w:rPr>
  </w:style>
  <w:style w:type="character" w:customStyle="1" w:styleId="Char0">
    <w:name w:val="正文文本 Char"/>
    <w:link w:val="BodyText"/>
    <w:rPr>
      <w:rFonts w:ascii="Times New Roman" w:eastAsia="宋体" w:hAnsi="Times New Roman" w:cs="Times New Roman"/>
      <w:kern w:val="2"/>
      <w:sz w:val="24"/>
      <w:szCs w:val="24"/>
    </w:rPr>
  </w:style>
  <w:style w:type="character" w:customStyle="1" w:styleId="a4">
    <w:name w:val="页眉 字符"/>
    <w:link w:val="Header"/>
    <w:rPr>
      <w:rFonts w:ascii="Times New Roman" w:eastAsia="宋体" w:hAnsi="Times New Roman" w:cs="Times New Roman"/>
      <w:sz w:val="18"/>
    </w:rPr>
  </w:style>
  <w:style w:type="character" w:customStyle="1" w:styleId="a5">
    <w:name w:val="正文文本缩进 字符"/>
    <w:link w:val="BodyTextIndent"/>
    <w:rPr>
      <w:rFonts w:ascii="Times New Roman" w:eastAsia="宋体" w:hAnsi="Times New Roman" w:cs="Times New Roman"/>
      <w:sz w:val="24"/>
    </w:rPr>
  </w:style>
  <w:style w:type="character" w:styleId="PageNumber">
    <w:name w:val="page number"/>
    <w:rPr>
      <w:rFonts w:ascii="Times New Roman" w:eastAsia="宋体" w:hAnsi="Times New Roman" w:cs="Times New Roman"/>
    </w:rPr>
  </w:style>
  <w:style w:type="character" w:customStyle="1" w:styleId="font61">
    <w:name w:val="font61"/>
    <w:basedOn w:val="DefaultParagraphFont"/>
    <w:rPr>
      <w:rFonts w:ascii="宋体" w:eastAsia="宋体" w:hAnsi="宋体" w:cs="宋体" w:hint="eastAsia"/>
      <w:color w:val="000000"/>
      <w:sz w:val="24"/>
      <w:szCs w:val="24"/>
      <w:u w:val="none"/>
    </w:rPr>
  </w:style>
  <w:style w:type="character" w:styleId="Strong">
    <w:name w:val="Strong"/>
    <w:rPr>
      <w:rFonts w:ascii="Times New Roman" w:eastAsia="宋体" w:hAnsi="Times New Roman" w:cs="Times New Roman"/>
      <w:b/>
    </w:rPr>
  </w:style>
  <w:style w:type="character" w:customStyle="1" w:styleId="Char1">
    <w:name w:val="正文文本缩进 Char"/>
    <w:rPr>
      <w:rFonts w:ascii="Times New Roman" w:eastAsia="宋体" w:hAnsi="Times New Roman" w:cs="Times New Roman"/>
      <w:kern w:val="2"/>
      <w:sz w:val="24"/>
      <w:szCs w:val="24"/>
    </w:rPr>
  </w:style>
  <w:style w:type="character" w:customStyle="1" w:styleId="15">
    <w:name w:val="15"/>
    <w:basedOn w:val="DefaultParagraphFont"/>
    <w:qFormat/>
    <w:rPr>
      <w:rFonts w:ascii="宋体" w:eastAsia="宋体" w:hAnsi="宋体" w:hint="eastAsia"/>
      <w:color w:val="000000"/>
      <w:sz w:val="24"/>
      <w:szCs w:val="24"/>
    </w:rPr>
  </w:style>
  <w:style w:type="character" w:customStyle="1" w:styleId="a6">
    <w:name w:val="普通(网站) 字符"/>
    <w:link w:val="NormalWeb"/>
    <w:rPr>
      <w:rFonts w:ascii="宋体" w:eastAsia="宋体" w:hAnsi="宋体" w:cs="Times New Roman"/>
      <w:sz w:val="24"/>
    </w:rPr>
  </w:style>
  <w:style w:type="character" w:customStyle="1" w:styleId="a7">
    <w:name w:val="正文首行缩进 字符"/>
    <w:link w:val="BodyTextFirstIndent"/>
    <w:rPr>
      <w:rFonts w:ascii="Times New Roman" w:eastAsia="宋体" w:hAnsi="Times New Roman" w:cs="Times New Roman"/>
      <w:kern w:val="2"/>
      <w:sz w:val="24"/>
      <w:szCs w:val="24"/>
    </w:rPr>
  </w:style>
  <w:style w:type="character" w:customStyle="1" w:styleId="2">
    <w:name w:val="正文首行缩进 2 字符"/>
    <w:link w:val="BodyTextFirstIndent2"/>
    <w:rPr>
      <w:rFonts w:ascii="Times New Roman" w:eastAsia="宋体" w:hAnsi="Times New Roman" w:cs="Times New Roman"/>
      <w:kern w:val="2"/>
      <w:sz w:val="24"/>
      <w:szCs w:val="24"/>
    </w:rPr>
  </w:style>
  <w:style w:type="character" w:customStyle="1" w:styleId="a8">
    <w:name w:val="页脚 字符"/>
    <w:rPr>
      <w:rFonts w:ascii="Times New Roman" w:eastAsia="宋体" w:hAnsi="Times New Roman" w:cs="Times New Roman"/>
    </w:rPr>
  </w:style>
  <w:style w:type="character" w:customStyle="1" w:styleId="12">
    <w:name w:val="批注文字 字符1"/>
    <w:rPr>
      <w:rFonts w:ascii="Times New Roman" w:eastAsia="宋体" w:hAnsi="Times New Roman" w:cs="Times New Roman"/>
      <w:sz w:val="24"/>
    </w:rPr>
  </w:style>
  <w:style w:type="character" w:customStyle="1" w:styleId="unnamed11">
    <w:name w:val="unnamed11"/>
    <w:rPr>
      <w:rFonts w:ascii="Times New Roman" w:eastAsia="宋体" w:hAnsi="Times New Roman" w:cs="Times New Roman"/>
      <w:sz w:val="21"/>
    </w:rPr>
  </w:style>
  <w:style w:type="paragraph" w:customStyle="1" w:styleId="a9">
    <w:name w:val="表格标题"/>
    <w:basedOn w:val="Normal"/>
    <w:next w:val="Normal"/>
    <w:pPr>
      <w:adjustRightInd w:val="0"/>
      <w:spacing w:line="360" w:lineRule="auto"/>
      <w:ind w:firstLine="0" w:firstLineChars="0"/>
      <w:jc w:val="center"/>
    </w:pPr>
    <w:rPr>
      <w:rFonts w:ascii="Times New Roman" w:eastAsia="宋体" w:hAnsi="Times New Roman" w:cs="Times New Roman"/>
      <w:b/>
      <w:kern w:val="0"/>
      <w:sz w:val="21"/>
      <w:szCs w:val="28"/>
    </w:rPr>
  </w:style>
  <w:style w:type="paragraph" w:customStyle="1" w:styleId="a10">
    <w:name w:val="表格"/>
    <w:basedOn w:val="NormalIndent"/>
    <w:next w:val="Normal"/>
    <w:link w:val="Char"/>
    <w:pPr>
      <w:adjustRightInd w:val="0"/>
      <w:snapToGrid w:val="0"/>
      <w:spacing w:beforeLines="10" w:afterLines="10" w:line="259" w:lineRule="auto"/>
      <w:jc w:val="center"/>
    </w:pPr>
    <w:rPr>
      <w:rFonts w:ascii="宋体" w:eastAsia="宋体" w:hAnsi="Times New Roman" w:cs="Times New Roman"/>
      <w:kern w:val="0"/>
      <w:szCs w:val="20"/>
    </w:rPr>
  </w:style>
  <w:style w:type="paragraph" w:customStyle="1" w:styleId="20">
    <w:name w:val="列出段落2"/>
    <w:basedOn w:val="Normal"/>
    <w:pPr>
      <w:ind w:firstLine="420" w:firstLineChars="200"/>
    </w:pPr>
    <w:rPr>
      <w:rFonts w:ascii="Times New Roman" w:eastAsia="宋体" w:hAnsi="Times New Roman" w:cs="Times New Roman"/>
    </w:rPr>
  </w:style>
  <w:style w:type="paragraph" w:styleId="TOC6">
    <w:name w:val="toc 6"/>
    <w:basedOn w:val="Normal"/>
    <w:next w:val="Normal"/>
    <w:pPr>
      <w:ind w:left="2100" w:leftChars="1000"/>
    </w:pPr>
    <w:rPr>
      <w:rFonts w:ascii="Times New Roman" w:eastAsia="宋体" w:hAnsi="Times New Roman" w:cs="Times New Roman"/>
    </w:rPr>
  </w:style>
  <w:style w:type="paragraph" w:customStyle="1" w:styleId="Default">
    <w:name w:val="Default"/>
    <w:next w:val="Normal"/>
    <w:pPr>
      <w:widowControl w:val="0"/>
      <w:autoSpaceDE w:val="0"/>
      <w:autoSpaceDN w:val="0"/>
      <w:adjustRightInd w:val="0"/>
    </w:pPr>
    <w:rPr>
      <w:rFonts w:ascii="Times New Roman" w:eastAsia="宋体" w:hAnsi="Times New Roman" w:cs="Times New Roman"/>
      <w:color w:val="000000"/>
      <w:sz w:val="24"/>
      <w:szCs w:val="24"/>
      <w:lang w:val="en-US" w:eastAsia="zh-CN" w:bidi="ar-SA"/>
    </w:rPr>
  </w:style>
  <w:style w:type="paragraph" w:styleId="Header">
    <w:name w:val="header"/>
    <w:basedOn w:val="Normal"/>
    <w:next w:val="5"/>
    <w:link w:val="a4"/>
    <w:pPr>
      <w:pBdr>
        <w:bottom w:val="single" w:sz="6" w:space="1" w:color="auto"/>
      </w:pBdr>
      <w:tabs>
        <w:tab w:val="center" w:pos="4153"/>
        <w:tab w:val="right" w:pos="8306"/>
      </w:tabs>
      <w:snapToGrid w:val="0"/>
      <w:jc w:val="center"/>
    </w:pPr>
    <w:rPr>
      <w:rFonts w:ascii="Times New Roman" w:eastAsia="宋体" w:hAnsi="Times New Roman" w:cs="Times New Roman"/>
      <w:kern w:val="0"/>
      <w:sz w:val="18"/>
      <w:szCs w:val="20"/>
    </w:rPr>
  </w:style>
  <w:style w:type="paragraph" w:customStyle="1" w:styleId="13">
    <w:name w:val="表格内容1"/>
    <w:basedOn w:val="Normal"/>
    <w:pPr>
      <w:overflowPunct w:val="0"/>
      <w:adjustRightInd w:val="0"/>
      <w:spacing w:before="40" w:beforeLines="0" w:after="60" w:afterLines="0"/>
      <w:textAlignment w:val="baseline"/>
    </w:pPr>
    <w:rPr>
      <w:rFonts w:ascii="Times New Roman" w:eastAsia="宋体" w:hAnsi="Times New Roman" w:cs="Times New Roman"/>
      <w:kern w:val="0"/>
      <w:szCs w:val="20"/>
    </w:rPr>
  </w:style>
  <w:style w:type="paragraph" w:customStyle="1" w:styleId="a11">
    <w:name w:val="图表"/>
    <w:basedOn w:val="Normal"/>
    <w:pPr>
      <w:autoSpaceDE w:val="0"/>
      <w:autoSpaceDN w:val="0"/>
      <w:adjustRightInd w:val="0"/>
      <w:snapToGrid w:val="0"/>
      <w:jc w:val="center"/>
    </w:pPr>
    <w:rPr>
      <w:rFonts w:ascii="Times New Roman" w:eastAsia="宋体" w:hAnsi="Times New Roman" w:cs="Times New Roman"/>
    </w:rPr>
  </w:style>
  <w:style w:type="paragraph" w:customStyle="1" w:styleId="14">
    <w:name w:val="样式1"/>
    <w:basedOn w:val="a17"/>
    <w:next w:val="BlockText"/>
    <w:rPr>
      <w:rFonts w:ascii="Times New Roman" w:eastAsia="宋体" w:hAnsi="Times New Roman" w:cs="Times New Roman"/>
      <w:bCs/>
      <w:kern w:val="2"/>
      <w:sz w:val="48"/>
      <w:szCs w:val="24"/>
    </w:rPr>
  </w:style>
  <w:style w:type="paragraph" w:styleId="BodyTextIndent">
    <w:name w:val="Body Text Indent"/>
    <w:basedOn w:val="Normal"/>
    <w:next w:val="Header"/>
    <w:link w:val="a5"/>
    <w:pPr>
      <w:spacing w:after="120"/>
      <w:ind w:left="420" w:leftChars="200"/>
    </w:pPr>
    <w:rPr>
      <w:rFonts w:ascii="Times New Roman" w:eastAsia="宋体" w:hAnsi="Times New Roman" w:cs="Times New Roman"/>
      <w:kern w:val="0"/>
      <w:sz w:val="24"/>
      <w:szCs w:val="20"/>
    </w:rPr>
  </w:style>
  <w:style w:type="paragraph" w:styleId="BlockText">
    <w:name w:val="Block Text"/>
    <w:basedOn w:val="Normal"/>
    <w:next w:val="Normal"/>
    <w:pPr>
      <w:adjustRightInd w:val="0"/>
      <w:spacing w:before="120" w:line="440" w:lineRule="exact"/>
      <w:ind w:left="284" w:right="284" w:firstLine="567"/>
      <w:textAlignment w:val="baseline"/>
    </w:pPr>
    <w:rPr>
      <w:rFonts w:ascii="楷体_GB2312" w:eastAsia="楷体_GB2312" w:hAnsi="Times New Roman" w:cs="Times New Roman"/>
      <w:spacing w:val="-2"/>
      <w:kern w:val="0"/>
      <w:sz w:val="28"/>
      <w:szCs w:val="20"/>
    </w:rPr>
  </w:style>
  <w:style w:type="paragraph" w:styleId="BodyTextFirstIndent2">
    <w:name w:val="Body Text First Indent 2"/>
    <w:basedOn w:val="Normal"/>
    <w:next w:val="Normal"/>
    <w:link w:val="2"/>
    <w:pPr>
      <w:spacing w:after="120" w:line="240" w:lineRule="auto"/>
      <w:ind w:left="420" w:firstLine="210"/>
    </w:pPr>
    <w:rPr>
      <w:rFonts w:ascii="Times New Roman" w:eastAsia="楷体_GB2312" w:hAnsi="Times New Roman" w:cs="Times New Roman"/>
    </w:rPr>
  </w:style>
  <w:style w:type="paragraph" w:customStyle="1" w:styleId="5">
    <w:name w:val="样式5"/>
    <w:basedOn w:val="3"/>
    <w:rPr>
      <w:rFonts w:ascii="黑体" w:eastAsia="宋体" w:hAnsi="Times New Roman" w:cs="Times New Roman"/>
      <w:lang w:val="en-US" w:eastAsia="zh-CN" w:bidi="ar-SA"/>
    </w:rPr>
  </w:style>
  <w:style w:type="paragraph" w:styleId="BalloonText">
    <w:name w:val="Balloon Text"/>
    <w:basedOn w:val="Normal"/>
    <w:link w:val="a1"/>
    <w:rPr>
      <w:rFonts w:ascii="Times New Roman" w:eastAsia="宋体" w:hAnsi="Times New Roman" w:cs="Times New Roman"/>
      <w:kern w:val="0"/>
      <w:sz w:val="18"/>
      <w:szCs w:val="20"/>
    </w:rPr>
  </w:style>
  <w:style w:type="paragraph" w:customStyle="1" w:styleId="Style3">
    <w:name w:val="Style3"/>
    <w:basedOn w:val="Normal"/>
    <w:pPr>
      <w:adjustRightInd w:val="0"/>
      <w:spacing w:line="453" w:lineRule="exact"/>
      <w:ind w:firstLine="475"/>
    </w:pPr>
    <w:rPr>
      <w:rFonts w:ascii="宋体" w:eastAsia="宋体" w:hAnsi="Calibri" w:cs="Times New Roman"/>
      <w:kern w:val="0"/>
      <w:sz w:val="24"/>
      <w:szCs w:val="24"/>
    </w:rPr>
  </w:style>
  <w:style w:type="paragraph" w:styleId="BodyText">
    <w:name w:val="Body Text"/>
    <w:basedOn w:val="Normal"/>
    <w:next w:val="TOC6"/>
    <w:link w:val="Char0"/>
    <w:pPr>
      <w:widowControl/>
      <w:snapToGrid w:val="0"/>
      <w:spacing w:before="60" w:after="160" w:line="259" w:lineRule="auto"/>
      <w:ind w:right="113"/>
    </w:pPr>
    <w:rPr>
      <w:rFonts w:ascii="Times New Roman" w:eastAsia="宋体" w:hAnsi="Times New Roman" w:cs="Times New Roman"/>
      <w:kern w:val="0"/>
      <w:sz w:val="18"/>
      <w:szCs w:val="20"/>
    </w:rPr>
  </w:style>
  <w:style w:type="paragraph" w:customStyle="1" w:styleId="Default1">
    <w:name w:val="Default1"/>
    <w:pPr>
      <w:widowControl w:val="0"/>
      <w:autoSpaceDE w:val="0"/>
      <w:autoSpaceDN w:val="0"/>
      <w:adjustRightInd w:val="0"/>
    </w:pPr>
    <w:rPr>
      <w:rFonts w:ascii="宋体" w:eastAsia="宋体" w:hAnsi="Times New Roman" w:cs="宋体"/>
      <w:color w:val="000000"/>
      <w:sz w:val="24"/>
      <w:szCs w:val="24"/>
      <w:lang w:val="en-US" w:eastAsia="zh-CN" w:bidi="ar-SA"/>
    </w:rPr>
  </w:style>
  <w:style w:type="paragraph" w:styleId="CommentText">
    <w:name w:val="annotation text"/>
    <w:basedOn w:val="Normal"/>
    <w:link w:val="a2"/>
    <w:pPr>
      <w:jc w:val="left"/>
    </w:pPr>
    <w:rPr>
      <w:rFonts w:ascii="Times New Roman" w:eastAsia="宋体" w:hAnsi="Times New Roman" w:cs="Times New Roman"/>
      <w:kern w:val="0"/>
      <w:sz w:val="24"/>
      <w:szCs w:val="20"/>
    </w:rPr>
  </w:style>
  <w:style w:type="paragraph" w:customStyle="1" w:styleId="3">
    <w:name w:val="样式3"/>
    <w:basedOn w:val="Normal"/>
    <w:pPr>
      <w:widowControl w:val="0"/>
      <w:topLinePunct w:val="0"/>
      <w:adjustRightInd/>
      <w:spacing w:before="0" w:line="240" w:lineRule="atLeast"/>
      <w:ind w:firstLine="0"/>
      <w:jc w:val="center"/>
      <w:textAlignment w:val="auto"/>
    </w:pPr>
    <w:rPr>
      <w:rFonts w:ascii="Times New Roman" w:eastAsia="宋体" w:hAnsi="Times New Roman" w:cs="Times New Roman"/>
      <w:kern w:val="2"/>
      <w:sz w:val="21"/>
      <w:szCs w:val="21"/>
    </w:rPr>
  </w:style>
  <w:style w:type="paragraph" w:customStyle="1" w:styleId="a12">
    <w:name w:val="表头"/>
    <w:basedOn w:val="Normal"/>
    <w:next w:val="PlainText"/>
    <w:pPr>
      <w:spacing w:before="240" w:after="120" w:line="240" w:lineRule="exact"/>
      <w:jc w:val="center"/>
    </w:pPr>
    <w:rPr>
      <w:rFonts w:ascii="黑体" w:eastAsia="黑体" w:hAnsi="Times New Roman" w:cs="Times New Roman"/>
    </w:rPr>
  </w:style>
  <w:style w:type="paragraph" w:customStyle="1" w:styleId="NoSpacing1">
    <w:name w:val="No Spacing1"/>
    <w:uiPriority w:val="99"/>
    <w:qFormat/>
    <w:pPr>
      <w:widowControl w:val="0"/>
      <w:jc w:val="both"/>
    </w:pPr>
    <w:rPr>
      <w:rFonts w:ascii="Times New Roman" w:eastAsia="宋体" w:hAnsi="Times New Roman" w:cs="Times New Roman"/>
      <w:kern w:val="2"/>
      <w:sz w:val="28"/>
      <w:szCs w:val="22"/>
      <w:lang w:val="en-US" w:eastAsia="zh-CN" w:bidi="ar-SA"/>
    </w:rPr>
  </w:style>
  <w:style w:type="paragraph" w:customStyle="1" w:styleId="4">
    <w:name w:val="样式4"/>
    <w:basedOn w:val="Normal"/>
    <w:pPr>
      <w:keepNext w:val="0"/>
      <w:keepLines w:val="0"/>
      <w:widowControl w:val="0"/>
      <w:suppressLineNumbers w:val="0"/>
      <w:spacing w:before="0" w:beforeAutospacing="0" w:after="0" w:afterAutospacing="0"/>
      <w:ind w:left="0" w:right="0" w:firstLine="463" w:firstLineChars="200"/>
      <w:jc w:val="both"/>
    </w:pPr>
    <w:rPr>
      <w:rFonts w:ascii="Times New Roman" w:eastAsia="宋体" w:hAnsi="Times New Roman" w:cs="Times New Roman" w:hint="default"/>
      <w:bCs/>
      <w:color w:val="0000FF"/>
      <w:kern w:val="2"/>
      <w:sz w:val="24"/>
      <w:szCs w:val="24"/>
      <w:lang w:val="en-US" w:eastAsia="zh-CN" w:bidi="ar"/>
    </w:rPr>
  </w:style>
  <w:style w:type="paragraph" w:customStyle="1" w:styleId="a13">
    <w:name w:val="【表中文字】"/>
    <w:basedOn w:val="Normal"/>
    <w:next w:val="16"/>
    <w:pPr>
      <w:adjustRightInd w:val="0"/>
      <w:snapToGrid w:val="0"/>
      <w:spacing w:line="240" w:lineRule="auto"/>
      <w:ind w:firstLine="0" w:firstLineChars="0"/>
      <w:jc w:val="center"/>
    </w:pPr>
    <w:rPr>
      <w:rFonts w:ascii="Times New Roman" w:eastAsia="宋体" w:hAnsi="Times New Roman" w:cs="Times New Roman"/>
      <w:sz w:val="21"/>
      <w:szCs w:val="20"/>
    </w:rPr>
  </w:style>
  <w:style w:type="paragraph" w:styleId="BodyTextIndent2">
    <w:name w:val="Body Text Indent 2"/>
    <w:basedOn w:val="Normal"/>
    <w:next w:val="a16"/>
    <w:pPr>
      <w:spacing w:after="120" w:afterLines="0" w:line="480" w:lineRule="auto"/>
      <w:ind w:left="420" w:leftChars="200"/>
    </w:pPr>
    <w:rPr>
      <w:rFonts w:ascii="Times New Roman" w:eastAsia="宋体" w:hAnsi="Times New Roman" w:cs="Times New Roman"/>
    </w:rPr>
  </w:style>
  <w:style w:type="paragraph" w:customStyle="1" w:styleId="a14">
    <w:name w:val="正文(首行缩进)"/>
    <w:basedOn w:val="Normal"/>
    <w:pPr>
      <w:spacing w:line="360" w:lineRule="auto"/>
      <w:ind w:firstLine="540" w:firstLineChars="225"/>
    </w:pPr>
    <w:rPr>
      <w:rFonts w:ascii="Times New Roman" w:eastAsia="宋体" w:hAnsi="Times New Roman" w:cs="Times New Roman"/>
      <w:snapToGrid w:val="0"/>
      <w:color w:val="000000"/>
      <w:kern w:val="0"/>
      <w:sz w:val="24"/>
      <w:szCs w:val="24"/>
    </w:rPr>
  </w:style>
  <w:style w:type="paragraph" w:customStyle="1" w:styleId="a15">
    <w:name w:val="表格编号"/>
    <w:basedOn w:val="Normal"/>
    <w:next w:val="a16"/>
    <w:pPr>
      <w:snapToGrid w:val="0"/>
      <w:spacing w:line="20" w:lineRule="atLeast"/>
    </w:pPr>
    <w:rPr>
      <w:rFonts w:ascii="Times New Roman" w:eastAsia="宋体" w:hAnsi="Times New Roman" w:cs="Times New Roman"/>
      <w:sz w:val="21"/>
    </w:r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eastAsia="宋体" w:hAnsi="Calibri" w:cs="Times New Roman"/>
      <w:kern w:val="2"/>
      <w:sz w:val="21"/>
      <w:szCs w:val="24"/>
      <w:lang w:val="en-US" w:eastAsia="zh-CN" w:bidi="ar-SA"/>
    </w:rPr>
  </w:style>
  <w:style w:type="paragraph" w:customStyle="1" w:styleId="a16">
    <w:name w:val="表格文字"/>
    <w:basedOn w:val="a15"/>
    <w:next w:val="Normal"/>
    <w:pPr>
      <w:spacing w:line="440" w:lineRule="exact"/>
      <w:jc w:val="center"/>
    </w:pPr>
    <w:rPr>
      <w:rFonts w:ascii="宋体" w:eastAsia="宋体" w:hAnsi="宋体" w:cs="Times New Roman"/>
      <w:kern w:val="2"/>
      <w:szCs w:val="21"/>
    </w:rPr>
  </w:style>
  <w:style w:type="paragraph" w:customStyle="1" w:styleId="biaotou">
    <w:name w:val="biaotou"/>
    <w:basedOn w:val="BodyText"/>
    <w:uiPriority w:val="99"/>
    <w:qFormat/>
    <w:pPr>
      <w:spacing w:after="0" w:line="460" w:lineRule="exact"/>
      <w:jc w:val="center"/>
    </w:pPr>
    <w:rPr>
      <w:rFonts w:ascii="黑体" w:eastAsia="黑体" w:hAnsi="黑体" w:cs="黑体"/>
      <w:sz w:val="24"/>
      <w:szCs w:val="24"/>
    </w:rPr>
  </w:style>
  <w:style w:type="paragraph" w:styleId="NormalIndent">
    <w:name w:val="Normal Indent"/>
    <w:basedOn w:val="Normal"/>
    <w:next w:val="Normal"/>
    <w:rPr>
      <w:rFonts w:ascii="Times New Roman" w:eastAsia="宋体" w:hAnsi="Times New Roman" w:cs="Times New Roman"/>
      <w:sz w:val="24"/>
      <w:szCs w:val="24"/>
    </w:rPr>
  </w:style>
  <w:style w:type="paragraph" w:customStyle="1" w:styleId="a17">
    <w:name w:val="表格内容"/>
    <w:basedOn w:val="Normal"/>
    <w:pPr>
      <w:jc w:val="center"/>
    </w:pPr>
    <w:rPr>
      <w:rFonts w:ascii="Times New Roman" w:eastAsia="宋体" w:hAnsi="Times New Roman" w:cs="Times New Roman"/>
      <w:szCs w:val="21"/>
    </w:rPr>
  </w:style>
  <w:style w:type="paragraph" w:styleId="PlainText">
    <w:name w:val="Plain Text"/>
    <w:basedOn w:val="Normal"/>
    <w:rPr>
      <w:rFonts w:ascii="宋体" w:eastAsia="宋体" w:hAnsi="Courier New" w:cs="Times New Roman"/>
      <w:kern w:val="2"/>
      <w:sz w:val="28"/>
      <w:lang w:val="en-US" w:eastAsia="zh-CN" w:bidi="ar-SA"/>
    </w:rPr>
  </w:style>
  <w:style w:type="paragraph" w:customStyle="1" w:styleId="a18">
    <w:name w:val="正文，文本"/>
    <w:basedOn w:val="Normal"/>
    <w:pPr>
      <w:spacing w:line="360" w:lineRule="auto"/>
      <w:ind w:firstLine="480" w:firstLineChars="200"/>
    </w:pPr>
    <w:rPr>
      <w:rFonts w:ascii="Times New Roman" w:eastAsia="宋体" w:hAnsi="Times New Roman" w:cs="宋体"/>
      <w:sz w:val="24"/>
      <w:szCs w:val="20"/>
    </w:rPr>
  </w:style>
  <w:style w:type="paragraph" w:customStyle="1" w:styleId="Hu">
    <w:name w:val="Hu表内"/>
    <w:basedOn w:val="Normal"/>
    <w:qFormat/>
    <w:pPr>
      <w:adjustRightInd w:val="0"/>
      <w:jc w:val="center"/>
      <w:textAlignment w:val="baseline"/>
    </w:pPr>
    <w:rPr>
      <w:rFonts w:ascii="Times New Roman" w:hAnsi="Times New Roman"/>
      <w:kern w:val="0"/>
      <w:szCs w:val="21"/>
    </w:rPr>
  </w:style>
  <w:style w:type="paragraph" w:customStyle="1" w:styleId="a19">
    <w:name w:val="表居中（中文）"/>
    <w:basedOn w:val="Normal"/>
    <w:pPr>
      <w:adjustRightInd w:val="0"/>
      <w:spacing w:line="380" w:lineRule="atLeast"/>
      <w:jc w:val="center"/>
      <w:textAlignment w:val="baseline"/>
    </w:pPr>
    <w:rPr>
      <w:rFonts w:ascii="Times New Roman" w:eastAsia="楷体_GB2312" w:hAnsi="Times New Roman" w:cs="Times New Roman"/>
      <w:kern w:val="0"/>
    </w:rPr>
  </w:style>
  <w:style w:type="paragraph" w:styleId="BodyTextFirstIndent">
    <w:name w:val="Body Text First Indent"/>
    <w:basedOn w:val="BodyText"/>
    <w:link w:val="a7"/>
    <w:pPr>
      <w:tabs>
        <w:tab w:val="left" w:pos="540"/>
        <w:tab w:val="left" w:pos="851"/>
        <w:tab w:val="left" w:pos="994"/>
        <w:tab w:val="left" w:pos="1260"/>
        <w:tab w:val="left" w:pos="3108"/>
        <w:tab w:val="left" w:pos="3150"/>
      </w:tabs>
      <w:adjustRightInd w:val="0"/>
      <w:spacing w:after="120" w:line="360" w:lineRule="auto"/>
      <w:ind w:firstLine="420" w:firstLineChars="100"/>
    </w:pPr>
    <w:rPr>
      <w:rFonts w:ascii="Times New Roman" w:eastAsia="宋体" w:hAnsi="Times New Roman" w:cs="Times New Roman"/>
      <w:snapToGrid w:val="0"/>
      <w:color w:val="000000"/>
      <w:kern w:val="32"/>
      <w:szCs w:val="28"/>
    </w:rPr>
  </w:style>
  <w:style w:type="paragraph" w:styleId="Title">
    <w:name w:val="Title"/>
    <w:basedOn w:val="Normal"/>
    <w:next w:val="Normal"/>
    <w:uiPriority w:val="10"/>
    <w:qFormat/>
    <w:pPr>
      <w:spacing w:before="240" w:after="60"/>
      <w:jc w:val="center"/>
      <w:outlineLvl w:val="0"/>
    </w:pPr>
    <w:rPr>
      <w:rFonts w:ascii="Arial" w:hAnsi="Arial" w:cs="Arial"/>
      <w:b/>
      <w:bCs/>
      <w:sz w:val="32"/>
      <w:szCs w:val="32"/>
    </w:rPr>
  </w:style>
  <w:style w:type="paragraph" w:styleId="Date">
    <w:name w:val="Date"/>
    <w:basedOn w:val="Normal"/>
    <w:next w:val="Normal"/>
    <w:link w:val="1"/>
    <w:pPr>
      <w:ind w:left="100" w:leftChars="2500"/>
    </w:pPr>
    <w:rPr>
      <w:rFonts w:ascii="Times New Roman" w:eastAsia="宋体" w:hAnsi="Times New Roman" w:cs="Times New Roman"/>
      <w:kern w:val="0"/>
      <w:sz w:val="24"/>
      <w:szCs w:val="20"/>
    </w:rPr>
  </w:style>
  <w:style w:type="paragraph" w:customStyle="1" w:styleId="a20">
    <w:name w:val="表"/>
    <w:basedOn w:val="Title"/>
    <w:qFormat/>
    <w:pPr>
      <w:adjustRightInd w:val="0"/>
      <w:snapToGrid w:val="0"/>
    </w:pPr>
    <w:rPr>
      <w:b w:val="0"/>
      <w:kern w:val="0"/>
      <w:sz w:val="21"/>
      <w:szCs w:val="21"/>
    </w:rPr>
  </w:style>
  <w:style w:type="paragraph" w:customStyle="1" w:styleId="16">
    <w:name w:val="正文缩进1"/>
    <w:basedOn w:val="Normal"/>
    <w:next w:val="Normal"/>
    <w:pPr>
      <w:spacing w:line="240" w:lineRule="auto"/>
      <w:ind w:firstLine="420"/>
    </w:pPr>
    <w:rPr>
      <w:rFonts w:ascii="宋体" w:eastAsia="宋体" w:hAnsi="Times New Roman" w:cs="Times New Roman"/>
      <w:sz w:val="28"/>
    </w:rPr>
  </w:style>
  <w:style w:type="paragraph" w:customStyle="1" w:styleId="21">
    <w:name w:val="普通(网站)2"/>
    <w:basedOn w:val="Normal"/>
    <w:pPr>
      <w:widowControl/>
      <w:spacing w:before="100" w:beforeAutospacing="1" w:after="100" w:afterAutospacing="1"/>
      <w:jc w:val="left"/>
    </w:pPr>
    <w:rPr>
      <w:rFonts w:ascii="宋体" w:eastAsia="宋体" w:hAnsi="宋体" w:cs="Times New Roman"/>
      <w:sz w:val="24"/>
      <w:szCs w:val="20"/>
    </w:rPr>
  </w:style>
  <w:style w:type="paragraph" w:customStyle="1" w:styleId="100">
    <w:name w:val="正文_10"/>
    <w:pPr>
      <w:widowControl w:val="0"/>
      <w:jc w:val="both"/>
    </w:pPr>
    <w:rPr>
      <w:rFonts w:ascii="Times New Roman" w:eastAsia="宋体" w:hAnsi="Times New Roman" w:cs="Times New Roman"/>
      <w:kern w:val="2"/>
      <w:sz w:val="21"/>
      <w:szCs w:val="22"/>
      <w:lang w:val="en-US" w:eastAsia="zh-CN" w:bidi="ar-SA"/>
    </w:rPr>
  </w:style>
  <w:style w:type="paragraph" w:customStyle="1" w:styleId="TableParagraph">
    <w:name w:val="Table Paragraph"/>
    <w:basedOn w:val="Normal"/>
    <w:pPr>
      <w:jc w:val="center"/>
    </w:pPr>
    <w:rPr>
      <w:rFonts w:ascii="宋体" w:eastAsia="宋体" w:hAnsi="宋体" w:cs="宋体"/>
      <w:lang w:val="zh-CN" w:bidi="zh-CN"/>
    </w:rPr>
  </w:style>
  <w:style w:type="paragraph" w:styleId="Footer">
    <w:name w:val="footer"/>
    <w:basedOn w:val="Normal"/>
    <w:link w:val="11"/>
    <w:pPr>
      <w:tabs>
        <w:tab w:val="center" w:pos="4153"/>
        <w:tab w:val="right" w:pos="8306"/>
      </w:tabs>
      <w:snapToGrid w:val="0"/>
      <w:jc w:val="left"/>
    </w:pPr>
    <w:rPr>
      <w:rFonts w:ascii="Times New Roman" w:eastAsia="宋体" w:hAnsi="Times New Roman" w:cs="Times New Roman"/>
      <w:kern w:val="0"/>
      <w:sz w:val="18"/>
      <w:szCs w:val="20"/>
    </w:rPr>
  </w:style>
  <w:style w:type="paragraph" w:customStyle="1" w:styleId="Char2">
    <w:name w:val="我的正文 Char"/>
    <w:basedOn w:val="Normal"/>
    <w:pPr>
      <w:ind w:firstLine="560" w:firstLineChars="200"/>
    </w:pPr>
    <w:rPr>
      <w:rFonts w:ascii="Times New Roman" w:eastAsia="宋体" w:hAnsi="Times New Roman" w:cs="Times New Roman"/>
      <w:sz w:val="28"/>
    </w:rPr>
  </w:style>
  <w:style w:type="paragraph" w:customStyle="1" w:styleId="xl27">
    <w:name w:val="xl27"/>
    <w:basedOn w:val="Normal"/>
    <w:qFormat/>
    <w:pPr>
      <w:widowControl/>
      <w:pBdr>
        <w:bottom w:val="single" w:sz="4" w:space="0" w:color="auto"/>
        <w:right w:val="single" w:sz="4" w:space="0" w:color="auto"/>
      </w:pBdr>
      <w:spacing w:before="100" w:beforeAutospacing="1" w:after="100" w:afterAutospacing="1"/>
      <w:jc w:val="center"/>
    </w:pPr>
    <w:rPr>
      <w:kern w:val="0"/>
      <w:szCs w:val="21"/>
    </w:rPr>
  </w:style>
  <w:style w:type="paragraph" w:styleId="CommentSubject">
    <w:name w:val="annotation subject"/>
    <w:basedOn w:val="CommentText"/>
    <w:next w:val="CommentText"/>
    <w:link w:val="a0"/>
    <w:rPr>
      <w:rFonts w:ascii="Times New Roman" w:eastAsia="宋体" w:hAnsi="Times New Roman" w:cs="Times New Roman"/>
      <w:b/>
      <w:sz w:val="24"/>
      <w:szCs w:val="20"/>
    </w:rPr>
  </w:style>
  <w:style w:type="paragraph" w:styleId="NormalWeb">
    <w:name w:val="Normal (Web)"/>
    <w:basedOn w:val="Normal"/>
    <w:link w:val="a6"/>
    <w:pPr>
      <w:widowControl/>
      <w:spacing w:before="100" w:beforeAutospacing="1" w:after="100" w:afterAutospacing="1"/>
      <w:jc w:val="left"/>
    </w:pPr>
    <w:rPr>
      <w:rFonts w:ascii="宋体" w:eastAsia="宋体" w:hAnsi="宋体" w:cs="Times New Roman"/>
      <w:kern w:val="0"/>
      <w:sz w:val="24"/>
      <w:szCs w:val="20"/>
    </w:rPr>
  </w:style>
  <w:style w:type="paragraph" w:styleId="List">
    <w:name w:val="List"/>
    <w:basedOn w:val="Normal"/>
    <w:pPr>
      <w:ind w:left="200" w:hanging="200" w:hangingChars="200"/>
    </w:pPr>
    <w:rPr>
      <w:rFonts w:ascii="Times New Roman" w:eastAsia="宋体" w:hAnsi="Times New Roman" w:cs="Times New Roman"/>
      <w:szCs w:val="20"/>
    </w:rPr>
  </w:style>
  <w:style w:type="table" w:styleId="TableGrid">
    <w:name w:val="Table Grid"/>
    <w:basedOn w:val="TableNormal"/>
    <w:rPr>
      <w:rFonts w:ascii="Times New Roman" w:eastAsia="宋体" w:hAnsi="Times New Roman" w:cs="Times New Roman"/>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hyperlink" Target="https://d.book118.com/508051040122006047" TargetMode="Externa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157267680</TotalTime>
  <Pages>6</Pages>
  <Words>15850</Words>
  <Characters>18462</Characters>
  <Application>Microsoft Office Word</Application>
  <DocSecurity>0</DocSecurity>
  <Lines>154</Lines>
  <Paragraphs>43</Paragraphs>
  <ScaleCrop>false</ScaleCrop>
  <Company>微软中国</Company>
  <LinksUpToDate>false</LinksUpToDate>
  <CharactersWithSpaces>18669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WPS_1506300260</dc:creator>
  <cp:lastModifiedBy>WPS_1559717548</cp:lastModifiedBy>
  <cp:revision>6</cp:revision>
  <cp:lastPrinted>2022-02-16T01:29:14Z</cp:lastPrinted>
  <dcterms:created xsi:type="dcterms:W3CDTF">2020-12-24T01:29:00Z</dcterms:created>
  <dcterms:modified xsi:type="dcterms:W3CDTF">2024-03-20T08:14:53Z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EC1FDD0706F446C29AA2CED9ECEE6DED</vt:lpwstr>
  </property>
  <property fmtid="{D5CDD505-2E9C-101B-9397-08002B2CF9AE}" pid="3" name="KSOProductBuildVer">
    <vt:lpwstr>2052-11.1.0.10009</vt:lpwstr>
  </property>
</Properties>
</file>