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4" w:history="1">
        <w:r>
          <w:rPr>
            <w:rFonts w:ascii="仿宋" w:eastAsia="仿宋" w:hAnsi="仿宋" w:cs="仿宋" w:hint="eastAsia"/>
            <w:lang w:eastAsia="zh-CN"/>
          </w:rPr>
          <w:t>前言</w:t>
        </w:r>
        <w:r>
          <w:tab/>
        </w:r>
        <w:r>
          <w:fldChar w:fldCharType="begin"/>
        </w:r>
        <w:r>
          <w:instrText xml:space="preserve"> PAGEREF _Toc21854 \h </w:instrText>
        </w:r>
        <w:r>
          <w:fldChar w:fldCharType="separate"/>
        </w:r>
        <w:r>
          <w:t>3</w:t>
        </w:r>
        <w:r>
          <w:fldChar w:fldCharType="end"/>
        </w:r>
      </w:hyperlink>
    </w:p>
    <w:p>
      <w:pPr>
        <w:pStyle w:val="TOC1"/>
        <w:tabs>
          <w:tab w:val="right" w:leader="dot" w:pos="8306"/>
        </w:tabs>
      </w:pPr>
      <w:hyperlink w:anchor="_Toc18549" w:history="1">
        <w:r>
          <w:rPr>
            <w:rFonts w:ascii="仿宋" w:eastAsia="仿宋" w:hAnsi="仿宋" w:cs="仿宋" w:hint="eastAsia"/>
            <w:lang w:eastAsia="zh-CN"/>
          </w:rPr>
          <w:t>一、工艺说明</w:t>
        </w:r>
        <w:r>
          <w:tab/>
        </w:r>
        <w:r>
          <w:fldChar w:fldCharType="begin"/>
        </w:r>
        <w:r>
          <w:instrText xml:space="preserve"> PAGEREF _Toc18549 \h </w:instrText>
        </w:r>
        <w:r>
          <w:fldChar w:fldCharType="separate"/>
        </w:r>
        <w:r>
          <w:t>3</w:t>
        </w:r>
        <w:r>
          <w:fldChar w:fldCharType="end"/>
        </w:r>
      </w:hyperlink>
    </w:p>
    <w:p>
      <w:pPr>
        <w:pStyle w:val="TOC2"/>
        <w:tabs>
          <w:tab w:val="right" w:leader="dot" w:pos="8306"/>
        </w:tabs>
      </w:pPr>
      <w:hyperlink w:anchor="_Toc23837" w:history="1">
        <w:r>
          <w:rPr>
            <w:rFonts w:ascii="仿宋" w:eastAsia="仿宋" w:hAnsi="仿宋" w:cs="仿宋" w:hint="eastAsia"/>
            <w:lang w:eastAsia="zh-CN"/>
          </w:rPr>
          <w:t>(一)、技术管理特点</w:t>
        </w:r>
        <w:r>
          <w:tab/>
        </w:r>
        <w:r>
          <w:fldChar w:fldCharType="begin"/>
        </w:r>
        <w:r>
          <w:instrText xml:space="preserve"> PAGEREF _Toc23837 \h </w:instrText>
        </w:r>
        <w:r>
          <w:fldChar w:fldCharType="separate"/>
        </w:r>
        <w:r>
          <w:t>3</w:t>
        </w:r>
        <w:r>
          <w:fldChar w:fldCharType="end"/>
        </w:r>
      </w:hyperlink>
    </w:p>
    <w:p>
      <w:pPr>
        <w:pStyle w:val="TOC2"/>
        <w:tabs>
          <w:tab w:val="right" w:leader="dot" w:pos="8306"/>
        </w:tabs>
      </w:pPr>
      <w:hyperlink w:anchor="_Toc31501" w:history="1">
        <w:r>
          <w:rPr>
            <w:rFonts w:ascii="仿宋" w:eastAsia="仿宋" w:hAnsi="仿宋" w:cs="仿宋" w:hint="eastAsia"/>
            <w:lang w:eastAsia="zh-CN"/>
          </w:rPr>
          <w:t>(二)、离子交换设备项目工艺技术设计方案</w:t>
        </w:r>
        <w:r>
          <w:tab/>
        </w:r>
        <w:r>
          <w:fldChar w:fldCharType="begin"/>
        </w:r>
        <w:r>
          <w:instrText xml:space="preserve"> PAGEREF _Toc31501 \h </w:instrText>
        </w:r>
        <w:r>
          <w:fldChar w:fldCharType="separate"/>
        </w:r>
        <w:r>
          <w:t>4</w:t>
        </w:r>
        <w:r>
          <w:fldChar w:fldCharType="end"/>
        </w:r>
      </w:hyperlink>
    </w:p>
    <w:p>
      <w:pPr>
        <w:pStyle w:val="TOC2"/>
        <w:tabs>
          <w:tab w:val="right" w:leader="dot" w:pos="8306"/>
        </w:tabs>
      </w:pPr>
      <w:hyperlink w:anchor="_Toc23670" w:history="1">
        <w:r>
          <w:rPr>
            <w:rFonts w:ascii="仿宋" w:eastAsia="仿宋" w:hAnsi="仿宋" w:cs="仿宋" w:hint="eastAsia"/>
            <w:lang w:eastAsia="zh-CN"/>
          </w:rPr>
          <w:t>(三)、设备选型方案</w:t>
        </w:r>
        <w:r>
          <w:tab/>
        </w:r>
        <w:r>
          <w:fldChar w:fldCharType="begin"/>
        </w:r>
        <w:r>
          <w:instrText xml:space="preserve"> PAGEREF _Toc23670 \h </w:instrText>
        </w:r>
        <w:r>
          <w:fldChar w:fldCharType="separate"/>
        </w:r>
        <w:r>
          <w:t>5</w:t>
        </w:r>
        <w:r>
          <w:fldChar w:fldCharType="end"/>
        </w:r>
      </w:hyperlink>
    </w:p>
    <w:p>
      <w:pPr>
        <w:pStyle w:val="TOC1"/>
        <w:tabs>
          <w:tab w:val="right" w:leader="dot" w:pos="8306"/>
        </w:tabs>
      </w:pPr>
      <w:hyperlink w:anchor="_Toc22970" w:history="1">
        <w:r>
          <w:rPr>
            <w:rFonts w:ascii="仿宋" w:eastAsia="仿宋" w:hAnsi="仿宋" w:cs="仿宋" w:hint="eastAsia"/>
            <w:lang w:eastAsia="zh-CN"/>
          </w:rPr>
          <w:t>二、产品规划分析</w:t>
        </w:r>
        <w:r>
          <w:tab/>
        </w:r>
        <w:r>
          <w:fldChar w:fldCharType="begin"/>
        </w:r>
        <w:r>
          <w:instrText xml:space="preserve"> PAGEREF _Toc22970 \h </w:instrText>
        </w:r>
        <w:r>
          <w:fldChar w:fldCharType="separate"/>
        </w:r>
        <w:r>
          <w:t>7</w:t>
        </w:r>
        <w:r>
          <w:fldChar w:fldCharType="end"/>
        </w:r>
      </w:hyperlink>
    </w:p>
    <w:p>
      <w:pPr>
        <w:pStyle w:val="TOC2"/>
        <w:tabs>
          <w:tab w:val="right" w:leader="dot" w:pos="8306"/>
        </w:tabs>
      </w:pPr>
      <w:hyperlink w:anchor="_Toc17380" w:history="1">
        <w:r>
          <w:rPr>
            <w:rFonts w:ascii="仿宋" w:eastAsia="仿宋" w:hAnsi="仿宋" w:cs="仿宋" w:hint="eastAsia"/>
            <w:lang w:eastAsia="zh-CN"/>
          </w:rPr>
          <w:t>(一)、产品规划</w:t>
        </w:r>
        <w:r>
          <w:tab/>
        </w:r>
        <w:r>
          <w:fldChar w:fldCharType="begin"/>
        </w:r>
        <w:r>
          <w:instrText xml:space="preserve"> PAGEREF _Toc17380 \h </w:instrText>
        </w:r>
        <w:r>
          <w:fldChar w:fldCharType="separate"/>
        </w:r>
        <w:r>
          <w:t>7</w:t>
        </w:r>
        <w:r>
          <w:fldChar w:fldCharType="end"/>
        </w:r>
      </w:hyperlink>
    </w:p>
    <w:p>
      <w:pPr>
        <w:pStyle w:val="TOC2"/>
        <w:tabs>
          <w:tab w:val="right" w:leader="dot" w:pos="8306"/>
        </w:tabs>
      </w:pPr>
      <w:hyperlink w:anchor="_Toc19516" w:history="1">
        <w:r>
          <w:rPr>
            <w:rFonts w:ascii="仿宋" w:eastAsia="仿宋" w:hAnsi="仿宋" w:cs="仿宋" w:hint="eastAsia"/>
            <w:lang w:eastAsia="zh-CN"/>
          </w:rPr>
          <w:t>(二)、建设规模</w:t>
        </w:r>
        <w:r>
          <w:tab/>
        </w:r>
        <w:r>
          <w:fldChar w:fldCharType="begin"/>
        </w:r>
        <w:r>
          <w:instrText xml:space="preserve"> PAGEREF _Toc19516 \h </w:instrText>
        </w:r>
        <w:r>
          <w:fldChar w:fldCharType="separate"/>
        </w:r>
        <w:r>
          <w:t>8</w:t>
        </w:r>
        <w:r>
          <w:fldChar w:fldCharType="end"/>
        </w:r>
      </w:hyperlink>
    </w:p>
    <w:p>
      <w:pPr>
        <w:pStyle w:val="TOC1"/>
        <w:tabs>
          <w:tab w:val="right" w:leader="dot" w:pos="8306"/>
        </w:tabs>
      </w:pPr>
      <w:hyperlink w:anchor="_Toc22690" w:history="1">
        <w:r>
          <w:rPr>
            <w:rFonts w:ascii="仿宋" w:eastAsia="仿宋" w:hAnsi="仿宋" w:cs="仿宋" w:hint="eastAsia"/>
            <w:lang w:eastAsia="zh-CN"/>
          </w:rPr>
          <w:t>三、离子交换设备项目土建工程</w:t>
        </w:r>
        <w:r>
          <w:tab/>
        </w:r>
        <w:r>
          <w:fldChar w:fldCharType="begin"/>
        </w:r>
        <w:r>
          <w:instrText xml:space="preserve"> PAGEREF _Toc22690 \h </w:instrText>
        </w:r>
        <w:r>
          <w:fldChar w:fldCharType="separate"/>
        </w:r>
        <w:r>
          <w:t>9</w:t>
        </w:r>
        <w:r>
          <w:fldChar w:fldCharType="end"/>
        </w:r>
      </w:hyperlink>
    </w:p>
    <w:p>
      <w:pPr>
        <w:pStyle w:val="TOC2"/>
        <w:tabs>
          <w:tab w:val="right" w:leader="dot" w:pos="8306"/>
        </w:tabs>
      </w:pPr>
      <w:hyperlink w:anchor="_Toc5458" w:history="1">
        <w:r>
          <w:rPr>
            <w:rFonts w:ascii="仿宋" w:eastAsia="仿宋" w:hAnsi="仿宋" w:cs="仿宋" w:hint="eastAsia"/>
            <w:lang w:eastAsia="zh-CN"/>
          </w:rPr>
          <w:t>(一)、建筑工程设计原则</w:t>
        </w:r>
        <w:r>
          <w:tab/>
        </w:r>
        <w:r>
          <w:fldChar w:fldCharType="begin"/>
        </w:r>
        <w:r>
          <w:instrText xml:space="preserve"> PAGEREF _Toc5458 \h </w:instrText>
        </w:r>
        <w:r>
          <w:fldChar w:fldCharType="separate"/>
        </w:r>
        <w:r>
          <w:t>9</w:t>
        </w:r>
        <w:r>
          <w:fldChar w:fldCharType="end"/>
        </w:r>
      </w:hyperlink>
    </w:p>
    <w:p>
      <w:pPr>
        <w:pStyle w:val="TOC2"/>
        <w:tabs>
          <w:tab w:val="right" w:leader="dot" w:pos="8306"/>
        </w:tabs>
      </w:pPr>
      <w:hyperlink w:anchor="_Toc775" w:history="1">
        <w:r>
          <w:rPr>
            <w:rFonts w:ascii="仿宋" w:eastAsia="仿宋" w:hAnsi="仿宋" w:cs="仿宋" w:hint="eastAsia"/>
            <w:lang w:eastAsia="zh-CN"/>
          </w:rPr>
          <w:t>(二)、土建工程设计年限及安全等级</w:t>
        </w:r>
        <w:r>
          <w:tab/>
        </w:r>
        <w:r>
          <w:fldChar w:fldCharType="begin"/>
        </w:r>
        <w:r>
          <w:instrText xml:space="preserve"> PAGEREF _Toc775 \h </w:instrText>
        </w:r>
        <w:r>
          <w:fldChar w:fldCharType="separate"/>
        </w:r>
        <w:r>
          <w:t>10</w:t>
        </w:r>
        <w:r>
          <w:fldChar w:fldCharType="end"/>
        </w:r>
      </w:hyperlink>
    </w:p>
    <w:p>
      <w:pPr>
        <w:pStyle w:val="TOC2"/>
        <w:tabs>
          <w:tab w:val="right" w:leader="dot" w:pos="8306"/>
        </w:tabs>
      </w:pPr>
      <w:hyperlink w:anchor="_Toc12872" w:history="1">
        <w:r>
          <w:rPr>
            <w:rFonts w:ascii="仿宋" w:eastAsia="仿宋" w:hAnsi="仿宋" w:cs="仿宋" w:hint="eastAsia"/>
            <w:lang w:eastAsia="zh-CN"/>
          </w:rPr>
          <w:t>(三)、建筑工程设计总体要求</w:t>
        </w:r>
        <w:r>
          <w:tab/>
        </w:r>
        <w:r>
          <w:fldChar w:fldCharType="begin"/>
        </w:r>
        <w:r>
          <w:instrText xml:space="preserve"> PAGEREF _Toc12872 \h </w:instrText>
        </w:r>
        <w:r>
          <w:fldChar w:fldCharType="separate"/>
        </w:r>
        <w:r>
          <w:t>11</w:t>
        </w:r>
        <w:r>
          <w:fldChar w:fldCharType="end"/>
        </w:r>
      </w:hyperlink>
    </w:p>
    <w:p>
      <w:pPr>
        <w:pStyle w:val="TOC2"/>
        <w:tabs>
          <w:tab w:val="right" w:leader="dot" w:pos="8306"/>
        </w:tabs>
      </w:pPr>
      <w:hyperlink w:anchor="_Toc20565" w:history="1">
        <w:r>
          <w:rPr>
            <w:rFonts w:ascii="仿宋" w:eastAsia="仿宋" w:hAnsi="仿宋" w:cs="仿宋" w:hint="eastAsia"/>
            <w:lang w:eastAsia="zh-CN"/>
          </w:rPr>
          <w:t>(四)、土建工程建设指标</w:t>
        </w:r>
        <w:r>
          <w:tab/>
        </w:r>
        <w:r>
          <w:fldChar w:fldCharType="begin"/>
        </w:r>
        <w:r>
          <w:instrText xml:space="preserve"> PAGEREF _Toc20565 \h </w:instrText>
        </w:r>
        <w:r>
          <w:fldChar w:fldCharType="separate"/>
        </w:r>
        <w:r>
          <w:t>12</w:t>
        </w:r>
        <w:r>
          <w:fldChar w:fldCharType="end"/>
        </w:r>
      </w:hyperlink>
    </w:p>
    <w:p>
      <w:pPr>
        <w:pStyle w:val="TOC1"/>
        <w:tabs>
          <w:tab w:val="right" w:leader="dot" w:pos="8306"/>
        </w:tabs>
      </w:pPr>
      <w:hyperlink w:anchor="_Toc29683" w:history="1">
        <w:r>
          <w:rPr>
            <w:rFonts w:ascii="仿宋" w:eastAsia="仿宋" w:hAnsi="仿宋" w:cs="仿宋" w:hint="eastAsia"/>
            <w:lang w:eastAsia="zh-CN"/>
          </w:rPr>
          <w:t>四、离子交换设备项目可持续发展</w:t>
        </w:r>
        <w:r>
          <w:tab/>
        </w:r>
        <w:r>
          <w:fldChar w:fldCharType="begin"/>
        </w:r>
        <w:r>
          <w:instrText xml:space="preserve"> PAGEREF _Toc29683 \h </w:instrText>
        </w:r>
        <w:r>
          <w:fldChar w:fldCharType="separate"/>
        </w:r>
        <w:r>
          <w:t>12</w:t>
        </w:r>
        <w:r>
          <w:fldChar w:fldCharType="end"/>
        </w:r>
      </w:hyperlink>
    </w:p>
    <w:p>
      <w:pPr>
        <w:pStyle w:val="TOC2"/>
        <w:tabs>
          <w:tab w:val="right" w:leader="dot" w:pos="8306"/>
        </w:tabs>
      </w:pPr>
      <w:hyperlink w:anchor="_Toc19514" w:history="1">
        <w:r>
          <w:rPr>
            <w:rFonts w:ascii="仿宋" w:eastAsia="仿宋" w:hAnsi="仿宋" w:cs="仿宋" w:hint="eastAsia"/>
            <w:lang w:eastAsia="zh-CN"/>
          </w:rPr>
          <w:t>(一)、可持续战略与实践</w:t>
        </w:r>
        <w:r>
          <w:tab/>
        </w:r>
        <w:r>
          <w:fldChar w:fldCharType="begin"/>
        </w:r>
        <w:r>
          <w:instrText xml:space="preserve"> PAGEREF _Toc19514 \h </w:instrText>
        </w:r>
        <w:r>
          <w:fldChar w:fldCharType="separate"/>
        </w:r>
        <w:r>
          <w:t>12</w:t>
        </w:r>
        <w:r>
          <w:fldChar w:fldCharType="end"/>
        </w:r>
      </w:hyperlink>
    </w:p>
    <w:p>
      <w:pPr>
        <w:pStyle w:val="TOC2"/>
        <w:tabs>
          <w:tab w:val="right" w:leader="dot" w:pos="8306"/>
        </w:tabs>
      </w:pPr>
      <w:hyperlink w:anchor="_Toc1197" w:history="1">
        <w:r>
          <w:rPr>
            <w:rFonts w:ascii="仿宋" w:eastAsia="仿宋" w:hAnsi="仿宋" w:cs="仿宋" w:hint="eastAsia"/>
            <w:lang w:eastAsia="zh-CN"/>
          </w:rPr>
          <w:t>(二)、环保与社会责任</w:t>
        </w:r>
        <w:r>
          <w:tab/>
        </w:r>
        <w:r>
          <w:fldChar w:fldCharType="begin"/>
        </w:r>
        <w:r>
          <w:instrText xml:space="preserve"> PAGEREF _Toc1197 \h </w:instrText>
        </w:r>
        <w:r>
          <w:fldChar w:fldCharType="separate"/>
        </w:r>
        <w:r>
          <w:t>13</w:t>
        </w:r>
        <w:r>
          <w:fldChar w:fldCharType="end"/>
        </w:r>
      </w:hyperlink>
    </w:p>
    <w:p>
      <w:pPr>
        <w:pStyle w:val="TOC1"/>
        <w:tabs>
          <w:tab w:val="right" w:leader="dot" w:pos="8306"/>
        </w:tabs>
      </w:pPr>
      <w:hyperlink w:anchor="_Toc14191" w:history="1">
        <w:r>
          <w:rPr>
            <w:rFonts w:ascii="仿宋" w:eastAsia="仿宋" w:hAnsi="仿宋" w:cs="仿宋" w:hint="eastAsia"/>
            <w:lang w:eastAsia="zh-CN"/>
          </w:rPr>
          <w:t>五、市场分析、调研</w:t>
        </w:r>
        <w:r>
          <w:tab/>
        </w:r>
        <w:r>
          <w:fldChar w:fldCharType="begin"/>
        </w:r>
        <w:r>
          <w:instrText xml:space="preserve"> PAGEREF _Toc14191 \h </w:instrText>
        </w:r>
        <w:r>
          <w:fldChar w:fldCharType="separate"/>
        </w:r>
        <w:r>
          <w:t>14</w:t>
        </w:r>
        <w:r>
          <w:fldChar w:fldCharType="end"/>
        </w:r>
      </w:hyperlink>
    </w:p>
    <w:p>
      <w:pPr>
        <w:pStyle w:val="TOC2"/>
        <w:tabs>
          <w:tab w:val="right" w:leader="dot" w:pos="8306"/>
        </w:tabs>
      </w:pPr>
      <w:hyperlink w:anchor="_Toc27402" w:history="1">
        <w:r>
          <w:rPr>
            <w:rFonts w:ascii="仿宋" w:eastAsia="仿宋" w:hAnsi="仿宋" w:cs="仿宋" w:hint="eastAsia"/>
            <w:lang w:eastAsia="zh-CN"/>
          </w:rPr>
          <w:t>(一)、离子交换设备行业分析</w:t>
        </w:r>
        <w:r>
          <w:tab/>
        </w:r>
        <w:r>
          <w:fldChar w:fldCharType="begin"/>
        </w:r>
        <w:r>
          <w:instrText xml:space="preserve"> PAGEREF _Toc27402 \h </w:instrText>
        </w:r>
        <w:r>
          <w:fldChar w:fldCharType="separate"/>
        </w:r>
        <w:r>
          <w:t>14</w:t>
        </w:r>
        <w:r>
          <w:fldChar w:fldCharType="end"/>
        </w:r>
      </w:hyperlink>
    </w:p>
    <w:p>
      <w:pPr>
        <w:pStyle w:val="TOC2"/>
        <w:tabs>
          <w:tab w:val="right" w:leader="dot" w:pos="8306"/>
        </w:tabs>
      </w:pPr>
      <w:hyperlink w:anchor="_Toc3077" w:history="1">
        <w:r>
          <w:rPr>
            <w:rFonts w:ascii="仿宋" w:eastAsia="仿宋" w:hAnsi="仿宋" w:cs="仿宋" w:hint="eastAsia"/>
            <w:lang w:eastAsia="zh-CN"/>
          </w:rPr>
          <w:t>(二)、离子交换设备市场分析预测</w:t>
        </w:r>
        <w:r>
          <w:tab/>
        </w:r>
        <w:r>
          <w:fldChar w:fldCharType="begin"/>
        </w:r>
        <w:r>
          <w:instrText xml:space="preserve"> PAGEREF _Toc3077 \h </w:instrText>
        </w:r>
        <w:r>
          <w:fldChar w:fldCharType="separate"/>
        </w:r>
        <w:r>
          <w:t>14</w:t>
        </w:r>
        <w:r>
          <w:fldChar w:fldCharType="end"/>
        </w:r>
      </w:hyperlink>
    </w:p>
    <w:p>
      <w:pPr>
        <w:pStyle w:val="TOC1"/>
        <w:tabs>
          <w:tab w:val="right" w:leader="dot" w:pos="8306"/>
        </w:tabs>
      </w:pPr>
      <w:hyperlink w:anchor="_Toc22367" w:history="1">
        <w:r>
          <w:rPr>
            <w:rFonts w:ascii="仿宋" w:eastAsia="仿宋" w:hAnsi="仿宋" w:cs="仿宋" w:hint="eastAsia"/>
            <w:lang w:eastAsia="zh-CN"/>
          </w:rPr>
          <w:t>六、离子交换设备项目文档管理</w:t>
        </w:r>
        <w:r>
          <w:tab/>
        </w:r>
        <w:r>
          <w:fldChar w:fldCharType="begin"/>
        </w:r>
        <w:r>
          <w:instrText xml:space="preserve"> PAGEREF _Toc22367 \h </w:instrText>
        </w:r>
        <w:r>
          <w:fldChar w:fldCharType="separate"/>
        </w:r>
        <w:r>
          <w:t>15</w:t>
        </w:r>
        <w:r>
          <w:fldChar w:fldCharType="end"/>
        </w:r>
      </w:hyperlink>
    </w:p>
    <w:p>
      <w:pPr>
        <w:pStyle w:val="TOC2"/>
        <w:tabs>
          <w:tab w:val="right" w:leader="dot" w:pos="8306"/>
        </w:tabs>
      </w:pPr>
      <w:hyperlink w:anchor="_Toc1379" w:history="1">
        <w:r>
          <w:rPr>
            <w:rFonts w:ascii="仿宋" w:eastAsia="仿宋" w:hAnsi="仿宋" w:cs="仿宋" w:hint="eastAsia"/>
            <w:lang w:eastAsia="zh-CN"/>
          </w:rPr>
          <w:t>(一)、文档编制与审查</w:t>
        </w:r>
        <w:r>
          <w:tab/>
        </w:r>
        <w:r>
          <w:fldChar w:fldCharType="begin"/>
        </w:r>
        <w:r>
          <w:instrText xml:space="preserve"> PAGEREF _Toc1379 \h </w:instrText>
        </w:r>
        <w:r>
          <w:fldChar w:fldCharType="separate"/>
        </w:r>
        <w:r>
          <w:t>15</w:t>
        </w:r>
        <w:r>
          <w:fldChar w:fldCharType="end"/>
        </w:r>
      </w:hyperlink>
    </w:p>
    <w:p>
      <w:pPr>
        <w:pStyle w:val="TOC2"/>
        <w:tabs>
          <w:tab w:val="right" w:leader="dot" w:pos="8306"/>
        </w:tabs>
      </w:pPr>
      <w:hyperlink w:anchor="_Toc14928" w:history="1">
        <w:r>
          <w:rPr>
            <w:rFonts w:ascii="仿宋" w:eastAsia="仿宋" w:hAnsi="仿宋" w:cs="仿宋" w:hint="eastAsia"/>
            <w:lang w:eastAsia="zh-CN"/>
          </w:rPr>
          <w:t>(二)、文档发布与分发</w:t>
        </w:r>
        <w:r>
          <w:tab/>
        </w:r>
        <w:r>
          <w:fldChar w:fldCharType="begin"/>
        </w:r>
        <w:r>
          <w:instrText xml:space="preserve"> PAGEREF _Toc14928 \h </w:instrText>
        </w:r>
        <w:r>
          <w:fldChar w:fldCharType="separate"/>
        </w:r>
        <w:r>
          <w:t>17</w:t>
        </w:r>
        <w:r>
          <w:fldChar w:fldCharType="end"/>
        </w:r>
      </w:hyperlink>
    </w:p>
    <w:p>
      <w:pPr>
        <w:pStyle w:val="TOC2"/>
        <w:tabs>
          <w:tab w:val="right" w:leader="dot" w:pos="8306"/>
        </w:tabs>
      </w:pPr>
      <w:hyperlink w:anchor="_Toc20748" w:history="1">
        <w:r>
          <w:rPr>
            <w:rFonts w:ascii="仿宋" w:eastAsia="仿宋" w:hAnsi="仿宋" w:cs="仿宋" w:hint="eastAsia"/>
            <w:lang w:eastAsia="zh-CN"/>
          </w:rPr>
          <w:t>(三)、文档存档与归档</w:t>
        </w:r>
        <w:r>
          <w:tab/>
        </w:r>
        <w:r>
          <w:fldChar w:fldCharType="begin"/>
        </w:r>
        <w:r>
          <w:instrText xml:space="preserve"> PAGEREF _Toc20748 \h </w:instrText>
        </w:r>
        <w:r>
          <w:fldChar w:fldCharType="separate"/>
        </w:r>
        <w:r>
          <w:t>18</w:t>
        </w:r>
        <w:r>
          <w:fldChar w:fldCharType="end"/>
        </w:r>
      </w:hyperlink>
    </w:p>
    <w:p>
      <w:pPr>
        <w:pStyle w:val="TOC1"/>
        <w:tabs>
          <w:tab w:val="right" w:leader="dot" w:pos="8306"/>
        </w:tabs>
      </w:pPr>
      <w:hyperlink w:anchor="_Toc21760" w:history="1">
        <w:r>
          <w:rPr>
            <w:rFonts w:ascii="仿宋" w:eastAsia="仿宋" w:hAnsi="仿宋" w:cs="仿宋" w:hint="eastAsia"/>
            <w:lang w:eastAsia="zh-CN"/>
          </w:rPr>
          <w:t>七、离子交换设备项目风险管理</w:t>
        </w:r>
        <w:r>
          <w:tab/>
        </w:r>
        <w:r>
          <w:fldChar w:fldCharType="begin"/>
        </w:r>
        <w:r>
          <w:instrText xml:space="preserve"> PAGEREF _Toc21760 \h </w:instrText>
        </w:r>
        <w:r>
          <w:fldChar w:fldCharType="separate"/>
        </w:r>
        <w:r>
          <w:t>19</w:t>
        </w:r>
        <w:r>
          <w:fldChar w:fldCharType="end"/>
        </w:r>
      </w:hyperlink>
    </w:p>
    <w:p>
      <w:pPr>
        <w:pStyle w:val="TOC2"/>
        <w:tabs>
          <w:tab w:val="right" w:leader="dot" w:pos="8306"/>
        </w:tabs>
      </w:pPr>
      <w:hyperlink w:anchor="_Toc30361" w:history="1">
        <w:r>
          <w:rPr>
            <w:rFonts w:ascii="仿宋" w:eastAsia="仿宋" w:hAnsi="仿宋" w:cs="仿宋" w:hint="eastAsia"/>
            <w:lang w:eastAsia="zh-CN"/>
          </w:rPr>
          <w:t>(一)、风险识别与评估</w:t>
        </w:r>
        <w:r>
          <w:tab/>
        </w:r>
        <w:r>
          <w:fldChar w:fldCharType="begin"/>
        </w:r>
        <w:r>
          <w:instrText xml:space="preserve"> PAGEREF _Toc30361 \h </w:instrText>
        </w:r>
        <w:r>
          <w:fldChar w:fldCharType="separate"/>
        </w:r>
        <w:r>
          <w:t>19</w:t>
        </w:r>
        <w:r>
          <w:fldChar w:fldCharType="end"/>
        </w:r>
      </w:hyperlink>
    </w:p>
    <w:p>
      <w:pPr>
        <w:pStyle w:val="TOC2"/>
        <w:tabs>
          <w:tab w:val="right" w:leader="dot" w:pos="8306"/>
        </w:tabs>
      </w:pPr>
      <w:hyperlink w:anchor="_Toc14238" w:history="1">
        <w:r>
          <w:rPr>
            <w:rFonts w:ascii="仿宋" w:eastAsia="仿宋" w:hAnsi="仿宋" w:cs="仿宋" w:hint="eastAsia"/>
            <w:lang w:eastAsia="zh-CN"/>
          </w:rPr>
          <w:t>(二)、风险应对策略</w:t>
        </w:r>
        <w:r>
          <w:tab/>
        </w:r>
        <w:r>
          <w:fldChar w:fldCharType="begin"/>
        </w:r>
        <w:r>
          <w:instrText xml:space="preserve"> PAGEREF _Toc14238 \h </w:instrText>
        </w:r>
        <w:r>
          <w:fldChar w:fldCharType="separate"/>
        </w:r>
        <w:r>
          <w:t>20</w:t>
        </w:r>
        <w:r>
          <w:fldChar w:fldCharType="end"/>
        </w:r>
      </w:hyperlink>
    </w:p>
    <w:p>
      <w:pPr>
        <w:pStyle w:val="TOC2"/>
        <w:tabs>
          <w:tab w:val="right" w:leader="dot" w:pos="8306"/>
        </w:tabs>
      </w:pPr>
      <w:hyperlink w:anchor="_Toc14483" w:history="1">
        <w:r>
          <w:rPr>
            <w:rFonts w:ascii="仿宋" w:eastAsia="仿宋" w:hAnsi="仿宋" w:cs="仿宋" w:hint="eastAsia"/>
            <w:lang w:eastAsia="zh-CN"/>
          </w:rPr>
          <w:t>(三)、风险监控与控制</w:t>
        </w:r>
        <w:r>
          <w:tab/>
        </w:r>
        <w:r>
          <w:fldChar w:fldCharType="begin"/>
        </w:r>
        <w:r>
          <w:instrText xml:space="preserve"> PAGEREF _Toc14483 \h </w:instrText>
        </w:r>
        <w:r>
          <w:fldChar w:fldCharType="separate"/>
        </w:r>
        <w:r>
          <w:t>22</w:t>
        </w:r>
        <w:r>
          <w:fldChar w:fldCharType="end"/>
        </w:r>
      </w:hyperlink>
    </w:p>
    <w:p>
      <w:pPr>
        <w:pStyle w:val="TOC1"/>
        <w:tabs>
          <w:tab w:val="right" w:leader="dot" w:pos="8306"/>
        </w:tabs>
      </w:pPr>
      <w:hyperlink w:anchor="_Toc2391" w:history="1">
        <w:r>
          <w:rPr>
            <w:rFonts w:ascii="仿宋" w:eastAsia="仿宋" w:hAnsi="仿宋" w:cs="仿宋" w:hint="eastAsia"/>
            <w:lang w:eastAsia="zh-CN"/>
          </w:rPr>
          <w:t>八、离子交换设备项目人力资源管理</w:t>
        </w:r>
        <w:r>
          <w:tab/>
        </w:r>
        <w:r>
          <w:fldChar w:fldCharType="begin"/>
        </w:r>
        <w:r>
          <w:instrText xml:space="preserve"> PAGEREF _Toc2391 \h </w:instrText>
        </w:r>
        <w:r>
          <w:fldChar w:fldCharType="separate"/>
        </w:r>
        <w:r>
          <w:t>23</w:t>
        </w:r>
        <w:r>
          <w:fldChar w:fldCharType="end"/>
        </w:r>
      </w:hyperlink>
    </w:p>
    <w:p>
      <w:pPr>
        <w:pStyle w:val="TOC2"/>
        <w:tabs>
          <w:tab w:val="right" w:leader="dot" w:pos="8306"/>
        </w:tabs>
      </w:pPr>
      <w:hyperlink w:anchor="_Toc32017" w:history="1">
        <w:r>
          <w:rPr>
            <w:rFonts w:ascii="仿宋" w:eastAsia="仿宋" w:hAnsi="仿宋" w:cs="仿宋" w:hint="eastAsia"/>
            <w:lang w:eastAsia="zh-CN"/>
          </w:rPr>
          <w:t>(一)、建立健全的预算管理制度</w:t>
        </w:r>
        <w:r>
          <w:tab/>
        </w:r>
        <w:r>
          <w:fldChar w:fldCharType="begin"/>
        </w:r>
        <w:r>
          <w:instrText xml:space="preserve"> PAGEREF _Toc32017 \h </w:instrText>
        </w:r>
        <w:r>
          <w:fldChar w:fldCharType="separate"/>
        </w:r>
        <w:r>
          <w:t>23</w:t>
        </w:r>
        <w:r>
          <w:fldChar w:fldCharType="end"/>
        </w:r>
      </w:hyperlink>
    </w:p>
    <w:p>
      <w:pPr>
        <w:pStyle w:val="TOC2"/>
        <w:tabs>
          <w:tab w:val="right" w:leader="dot" w:pos="8306"/>
        </w:tabs>
      </w:pPr>
      <w:hyperlink w:anchor="_Toc3330" w:history="1">
        <w:r>
          <w:rPr>
            <w:rFonts w:ascii="仿宋" w:eastAsia="仿宋" w:hAnsi="仿宋" w:cs="仿宋" w:hint="eastAsia"/>
            <w:lang w:eastAsia="zh-CN"/>
          </w:rPr>
          <w:t>(二)、加强资金流动监控</w:t>
        </w:r>
        <w:r>
          <w:tab/>
        </w:r>
        <w:r>
          <w:fldChar w:fldCharType="begin"/>
        </w:r>
        <w:r>
          <w:instrText xml:space="preserve"> PAGEREF _Toc3330 \h </w:instrText>
        </w:r>
        <w:r>
          <w:fldChar w:fldCharType="separate"/>
        </w:r>
        <w:r>
          <w:t>24</w:t>
        </w:r>
        <w:r>
          <w:fldChar w:fldCharType="end"/>
        </w:r>
      </w:hyperlink>
    </w:p>
    <w:p>
      <w:pPr>
        <w:pStyle w:val="TOC2"/>
        <w:tabs>
          <w:tab w:val="right" w:leader="dot" w:pos="8306"/>
        </w:tabs>
      </w:pPr>
      <w:hyperlink w:anchor="_Toc1089" w:history="1">
        <w:r>
          <w:rPr>
            <w:rFonts w:ascii="仿宋" w:eastAsia="仿宋" w:hAnsi="仿宋" w:cs="仿宋" w:hint="eastAsia"/>
            <w:lang w:eastAsia="zh-CN"/>
          </w:rPr>
          <w:t>(三)、制定完善的风险控制机制</w:t>
        </w:r>
        <w:r>
          <w:tab/>
        </w:r>
        <w:r>
          <w:fldChar w:fldCharType="begin"/>
        </w:r>
        <w:r>
          <w:instrText xml:space="preserve"> PAGEREF _Toc1089 \h </w:instrText>
        </w:r>
        <w:r>
          <w:fldChar w:fldCharType="separate"/>
        </w:r>
        <w:r>
          <w:t>25</w:t>
        </w:r>
        <w:r>
          <w:fldChar w:fldCharType="end"/>
        </w:r>
      </w:hyperlink>
    </w:p>
    <w:p>
      <w:pPr>
        <w:pStyle w:val="TOC2"/>
        <w:tabs>
          <w:tab w:val="right" w:leader="dot" w:pos="8306"/>
        </w:tabs>
      </w:pPr>
      <w:hyperlink w:anchor="_Toc12286" w:history="1">
        <w:r>
          <w:rPr>
            <w:rFonts w:ascii="仿宋" w:eastAsia="仿宋" w:hAnsi="仿宋" w:cs="仿宋" w:hint="eastAsia"/>
            <w:lang w:eastAsia="zh-CN"/>
          </w:rPr>
          <w:t>(四)、优化成本管理</w:t>
        </w:r>
        <w:r>
          <w:tab/>
        </w:r>
        <w:r>
          <w:fldChar w:fldCharType="begin"/>
        </w:r>
        <w:r>
          <w:instrText xml:space="preserve"> PAGEREF _Toc12286 \h </w:instrText>
        </w:r>
        <w:r>
          <w:fldChar w:fldCharType="separate"/>
        </w:r>
        <w:r>
          <w:t>27</w:t>
        </w:r>
        <w:r>
          <w:fldChar w:fldCharType="end"/>
        </w:r>
      </w:hyperlink>
    </w:p>
    <w:p>
      <w:pPr>
        <w:pStyle w:val="TOC1"/>
        <w:tabs>
          <w:tab w:val="right" w:leader="dot" w:pos="8306"/>
        </w:tabs>
      </w:pPr>
      <w:hyperlink w:anchor="_Toc9290" w:history="1">
        <w:r>
          <w:rPr>
            <w:rFonts w:ascii="仿宋" w:eastAsia="仿宋" w:hAnsi="仿宋" w:cs="仿宋" w:hint="eastAsia"/>
            <w:lang w:eastAsia="zh-CN"/>
          </w:rPr>
          <w:t>九、离子交换设备项目财务管理</w:t>
        </w:r>
        <w:r>
          <w:tab/>
        </w:r>
        <w:r>
          <w:fldChar w:fldCharType="begin"/>
        </w:r>
        <w:r>
          <w:instrText xml:space="preserve"> PAGEREF _Toc9290 \h </w:instrText>
        </w:r>
        <w:r>
          <w:fldChar w:fldCharType="separate"/>
        </w:r>
        <w:r>
          <w:t>28</w:t>
        </w:r>
        <w:r>
          <w:fldChar w:fldCharType="end"/>
        </w:r>
      </w:hyperlink>
    </w:p>
    <w:p>
      <w:pPr>
        <w:pStyle w:val="TOC2"/>
        <w:tabs>
          <w:tab w:val="right" w:leader="dot" w:pos="8306"/>
        </w:tabs>
      </w:pPr>
      <w:hyperlink w:anchor="_Toc7442" w:history="1">
        <w:r>
          <w:rPr>
            <w:rFonts w:ascii="仿宋" w:eastAsia="仿宋" w:hAnsi="仿宋" w:cs="仿宋" w:hint="eastAsia"/>
            <w:lang w:eastAsia="zh-CN"/>
          </w:rPr>
          <w:t>(一)、资金需求大</w:t>
        </w:r>
        <w:r>
          <w:tab/>
        </w:r>
        <w:r>
          <w:fldChar w:fldCharType="begin"/>
        </w:r>
        <w:r>
          <w:instrText xml:space="preserve"> PAGEREF _Toc7442 \h </w:instrText>
        </w:r>
        <w:r>
          <w:fldChar w:fldCharType="separate"/>
        </w:r>
        <w:r>
          <w:t>28</w:t>
        </w:r>
        <w:r>
          <w:fldChar w:fldCharType="end"/>
        </w:r>
      </w:hyperlink>
    </w:p>
    <w:p>
      <w:pPr>
        <w:pStyle w:val="TOC2"/>
        <w:tabs>
          <w:tab w:val="right" w:leader="dot" w:pos="8306"/>
        </w:tabs>
      </w:pPr>
      <w:hyperlink w:anchor="_Toc15652" w:history="1">
        <w:r>
          <w:rPr>
            <w:rFonts w:ascii="仿宋" w:eastAsia="仿宋" w:hAnsi="仿宋" w:cs="仿宋" w:hint="eastAsia"/>
            <w:lang w:eastAsia="zh-CN"/>
          </w:rPr>
          <w:t>(二)、研发周期长</w:t>
        </w:r>
        <w:r>
          <w:tab/>
        </w:r>
        <w:r>
          <w:fldChar w:fldCharType="begin"/>
        </w:r>
        <w:r>
          <w:instrText xml:space="preserve"> PAGEREF _Toc15652 \h </w:instrText>
        </w:r>
        <w:r>
          <w:fldChar w:fldCharType="separate"/>
        </w:r>
        <w:r>
          <w:t>29</w:t>
        </w:r>
        <w:r>
          <w:fldChar w:fldCharType="end"/>
        </w:r>
      </w:hyperlink>
    </w:p>
    <w:p>
      <w:pPr>
        <w:pStyle w:val="TOC2"/>
        <w:tabs>
          <w:tab w:val="right" w:leader="dot" w:pos="8306"/>
        </w:tabs>
      </w:pPr>
      <w:hyperlink w:anchor="_Toc23386" w:history="1">
        <w:r>
          <w:rPr>
            <w:rFonts w:ascii="仿宋" w:eastAsia="仿宋" w:hAnsi="仿宋" w:cs="仿宋" w:hint="eastAsia"/>
            <w:lang w:eastAsia="zh-CN"/>
          </w:rPr>
          <w:t>(三)、市场风险大</w:t>
        </w:r>
        <w:r>
          <w:tab/>
        </w:r>
        <w:r>
          <w:fldChar w:fldCharType="begin"/>
        </w:r>
        <w:r>
          <w:instrText xml:space="preserve"> PAGEREF _Toc23386 \h </w:instrText>
        </w:r>
        <w:r>
          <w:fldChar w:fldCharType="separate"/>
        </w:r>
        <w:r>
          <w:t>31</w:t>
        </w:r>
        <w:r>
          <w:fldChar w:fldCharType="end"/>
        </w:r>
      </w:hyperlink>
    </w:p>
    <w:p>
      <w:pPr>
        <w:pStyle w:val="TOC2"/>
        <w:tabs>
          <w:tab w:val="right" w:leader="dot" w:pos="8306"/>
        </w:tabs>
      </w:pPr>
      <w:hyperlink w:anchor="_Toc27746" w:history="1">
        <w:r>
          <w:rPr>
            <w:rFonts w:ascii="仿宋" w:eastAsia="仿宋" w:hAnsi="仿宋" w:cs="仿宋" w:hint="eastAsia"/>
            <w:lang w:eastAsia="zh-CN"/>
          </w:rPr>
          <w:t>(四)、利润率高</w:t>
        </w:r>
        <w:r>
          <w:tab/>
        </w:r>
        <w:r>
          <w:fldChar w:fldCharType="begin"/>
        </w:r>
        <w:r>
          <w:instrText xml:space="preserve"> PAGEREF _Toc27746 \h </w:instrText>
        </w:r>
        <w:r>
          <w:fldChar w:fldCharType="separate"/>
        </w:r>
        <w:r>
          <w:t>33</w:t>
        </w:r>
        <w:r>
          <w:fldChar w:fldCharType="end"/>
        </w:r>
      </w:hyperlink>
    </w:p>
    <w:p>
      <w:pPr>
        <w:pStyle w:val="TOC1"/>
        <w:tabs>
          <w:tab w:val="right" w:leader="dot" w:pos="8306"/>
        </w:tabs>
      </w:pPr>
      <w:hyperlink w:anchor="_Toc384" w:history="1">
        <w:r>
          <w:rPr>
            <w:rFonts w:ascii="仿宋" w:eastAsia="仿宋" w:hAnsi="仿宋" w:cs="仿宋" w:hint="eastAsia"/>
            <w:lang w:eastAsia="zh-CN"/>
          </w:rPr>
          <w:t>十、离子交换设备项目计划安排</w:t>
        </w:r>
        <w:r>
          <w:tab/>
        </w:r>
        <w:r>
          <w:fldChar w:fldCharType="begin"/>
        </w:r>
        <w:r>
          <w:instrText xml:space="preserve"> PAGEREF _Toc384 \h </w:instrText>
        </w:r>
        <w:r>
          <w:fldChar w:fldCharType="separate"/>
        </w:r>
        <w:r>
          <w:t>35</w:t>
        </w:r>
        <w:r>
          <w:fldChar w:fldCharType="end"/>
        </w:r>
      </w:hyperlink>
    </w:p>
    <w:p>
      <w:pPr>
        <w:pStyle w:val="TOC2"/>
        <w:tabs>
          <w:tab w:val="right" w:leader="dot" w:pos="8306"/>
        </w:tabs>
      </w:pPr>
      <w:hyperlink w:anchor="_Toc2038" w:history="1">
        <w:r>
          <w:rPr>
            <w:rFonts w:ascii="仿宋" w:eastAsia="仿宋" w:hAnsi="仿宋" w:cs="仿宋" w:hint="eastAsia"/>
            <w:lang w:eastAsia="zh-CN"/>
          </w:rPr>
          <w:t>(一)、建设周期</w:t>
        </w:r>
        <w:r>
          <w:tab/>
        </w:r>
        <w:r>
          <w:fldChar w:fldCharType="begin"/>
        </w:r>
        <w:r>
          <w:instrText xml:space="preserve"> PAGEREF _Toc2038 \h </w:instrText>
        </w:r>
        <w:r>
          <w:fldChar w:fldCharType="separate"/>
        </w:r>
        <w:r>
          <w:t>35</w:t>
        </w:r>
        <w:r>
          <w:fldChar w:fldCharType="end"/>
        </w:r>
      </w:hyperlink>
    </w:p>
    <w:p>
      <w:pPr>
        <w:pStyle w:val="TOC2"/>
        <w:tabs>
          <w:tab w:val="right" w:leader="dot" w:pos="8306"/>
        </w:tabs>
      </w:pPr>
      <w:hyperlink w:anchor="_Toc2000" w:history="1">
        <w:r>
          <w:rPr>
            <w:rFonts w:ascii="仿宋" w:eastAsia="仿宋" w:hAnsi="仿宋" w:cs="仿宋" w:hint="eastAsia"/>
            <w:lang w:eastAsia="zh-CN"/>
          </w:rPr>
          <w:t>(二)、建设进度</w:t>
        </w:r>
        <w:r>
          <w:tab/>
        </w:r>
        <w:r>
          <w:fldChar w:fldCharType="begin"/>
        </w:r>
        <w:r>
          <w:instrText xml:space="preserve"> PAGEREF _Toc2000 \h </w:instrText>
        </w:r>
        <w:r>
          <w:fldChar w:fldCharType="separate"/>
        </w:r>
        <w:r>
          <w:t>36</w:t>
        </w:r>
        <w:r>
          <w:fldChar w:fldCharType="end"/>
        </w:r>
      </w:hyperlink>
    </w:p>
    <w:p>
      <w:pPr>
        <w:pStyle w:val="TOC2"/>
        <w:tabs>
          <w:tab w:val="right" w:leader="dot" w:pos="8306"/>
        </w:tabs>
      </w:pPr>
      <w:hyperlink w:anchor="_Toc24702" w:history="1">
        <w:r>
          <w:rPr>
            <w:rFonts w:ascii="仿宋" w:eastAsia="仿宋" w:hAnsi="仿宋" w:cs="仿宋" w:hint="eastAsia"/>
            <w:lang w:eastAsia="zh-CN"/>
          </w:rPr>
          <w:t>(三)、进度安排注意事项</w:t>
        </w:r>
        <w:r>
          <w:tab/>
        </w:r>
        <w:r>
          <w:fldChar w:fldCharType="begin"/>
        </w:r>
        <w:r>
          <w:instrText xml:space="preserve"> PAGEREF _Toc24702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1" w:history="1">
        <w:r>
          <w:rPr>
            <w:rFonts w:ascii="仿宋" w:eastAsia="仿宋" w:hAnsi="仿宋" w:cs="仿宋" w:hint="eastAsia"/>
            <w:lang w:eastAsia="zh-CN"/>
          </w:rPr>
          <w:t>(四)、人力资源配置</w:t>
        </w:r>
        <w:r>
          <w:tab/>
        </w:r>
        <w:r>
          <w:fldChar w:fldCharType="begin"/>
        </w:r>
        <w:r>
          <w:instrText xml:space="preserve"> PAGEREF _Toc22511 \h </w:instrText>
        </w:r>
        <w:r>
          <w:fldChar w:fldCharType="separate"/>
        </w:r>
        <w:r>
          <w:t>39</w:t>
        </w:r>
        <w:r>
          <w:fldChar w:fldCharType="end"/>
        </w:r>
      </w:hyperlink>
    </w:p>
    <w:p>
      <w:pPr>
        <w:pStyle w:val="TOC1"/>
        <w:tabs>
          <w:tab w:val="right" w:leader="dot" w:pos="8306"/>
        </w:tabs>
      </w:pPr>
      <w:hyperlink w:anchor="_Toc3743" w:history="1">
        <w:r>
          <w:rPr>
            <w:rFonts w:ascii="仿宋" w:eastAsia="仿宋" w:hAnsi="仿宋" w:cs="仿宋" w:hint="eastAsia"/>
            <w:lang w:eastAsia="zh-CN"/>
          </w:rPr>
          <w:t>十一、离子交换设备项目经营效益</w:t>
        </w:r>
        <w:r>
          <w:tab/>
        </w:r>
        <w:r>
          <w:fldChar w:fldCharType="begin"/>
        </w:r>
        <w:r>
          <w:instrText xml:space="preserve"> PAGEREF _Toc3743 \h </w:instrText>
        </w:r>
        <w:r>
          <w:fldChar w:fldCharType="separate"/>
        </w:r>
        <w:r>
          <w:t>40</w:t>
        </w:r>
        <w:r>
          <w:fldChar w:fldCharType="end"/>
        </w:r>
      </w:hyperlink>
    </w:p>
    <w:p>
      <w:pPr>
        <w:pStyle w:val="TOC2"/>
        <w:tabs>
          <w:tab w:val="right" w:leader="dot" w:pos="8306"/>
        </w:tabs>
      </w:pPr>
      <w:hyperlink w:anchor="_Toc28470" w:history="1">
        <w:r>
          <w:rPr>
            <w:rFonts w:ascii="仿宋" w:eastAsia="仿宋" w:hAnsi="仿宋" w:cs="仿宋" w:hint="eastAsia"/>
            <w:lang w:eastAsia="zh-CN"/>
          </w:rPr>
          <w:t>(一)、经济评价财务测算</w:t>
        </w:r>
        <w:r>
          <w:tab/>
        </w:r>
        <w:r>
          <w:fldChar w:fldCharType="begin"/>
        </w:r>
        <w:r>
          <w:instrText xml:space="preserve"> PAGEREF _Toc28470 \h </w:instrText>
        </w:r>
        <w:r>
          <w:fldChar w:fldCharType="separate"/>
        </w:r>
        <w:r>
          <w:t>40</w:t>
        </w:r>
        <w:r>
          <w:fldChar w:fldCharType="end"/>
        </w:r>
      </w:hyperlink>
    </w:p>
    <w:p>
      <w:pPr>
        <w:pStyle w:val="TOC2"/>
        <w:tabs>
          <w:tab w:val="right" w:leader="dot" w:pos="8306"/>
        </w:tabs>
      </w:pPr>
      <w:hyperlink w:anchor="_Toc27756" w:history="1">
        <w:r>
          <w:rPr>
            <w:rFonts w:ascii="仿宋" w:eastAsia="仿宋" w:hAnsi="仿宋" w:cs="仿宋" w:hint="eastAsia"/>
            <w:lang w:eastAsia="zh-CN"/>
          </w:rPr>
          <w:t>(二)、离子交换设备项目盈利能力分析</w:t>
        </w:r>
        <w:r>
          <w:tab/>
        </w:r>
        <w:r>
          <w:fldChar w:fldCharType="begin"/>
        </w:r>
        <w:r>
          <w:instrText xml:space="preserve"> PAGEREF _Toc27756 \h </w:instrText>
        </w:r>
        <w:r>
          <w:fldChar w:fldCharType="separate"/>
        </w:r>
        <w:r>
          <w:t>41</w:t>
        </w:r>
        <w:r>
          <w:fldChar w:fldCharType="end"/>
        </w:r>
      </w:hyperlink>
    </w:p>
    <w:p>
      <w:pPr>
        <w:pStyle w:val="TOC1"/>
        <w:tabs>
          <w:tab w:val="right" w:leader="dot" w:pos="8306"/>
        </w:tabs>
      </w:pPr>
      <w:hyperlink w:anchor="_Toc20741" w:history="1">
        <w:r>
          <w:rPr>
            <w:rFonts w:ascii="仿宋" w:eastAsia="仿宋" w:hAnsi="仿宋" w:cs="仿宋" w:hint="eastAsia"/>
            <w:lang w:eastAsia="zh-CN"/>
          </w:rPr>
          <w:t>十二、生产安全保护</w:t>
        </w:r>
        <w:r>
          <w:tab/>
        </w:r>
        <w:r>
          <w:fldChar w:fldCharType="begin"/>
        </w:r>
        <w:r>
          <w:instrText xml:space="preserve"> PAGEREF _Toc20741 \h </w:instrText>
        </w:r>
        <w:r>
          <w:fldChar w:fldCharType="separate"/>
        </w:r>
        <w:r>
          <w:t>42</w:t>
        </w:r>
        <w:r>
          <w:fldChar w:fldCharType="end"/>
        </w:r>
      </w:hyperlink>
    </w:p>
    <w:p>
      <w:pPr>
        <w:pStyle w:val="TOC2"/>
        <w:tabs>
          <w:tab w:val="right" w:leader="dot" w:pos="8306"/>
        </w:tabs>
      </w:pPr>
      <w:hyperlink w:anchor="_Toc8954" w:history="1">
        <w:r>
          <w:rPr>
            <w:rFonts w:ascii="仿宋" w:eastAsia="仿宋" w:hAnsi="仿宋" w:cs="仿宋" w:hint="eastAsia"/>
            <w:lang w:eastAsia="zh-CN"/>
          </w:rPr>
          <w:t>(一)、消防安全</w:t>
        </w:r>
        <w:r>
          <w:tab/>
        </w:r>
        <w:r>
          <w:fldChar w:fldCharType="begin"/>
        </w:r>
        <w:r>
          <w:instrText xml:space="preserve"> PAGEREF _Toc8954 \h </w:instrText>
        </w:r>
        <w:r>
          <w:fldChar w:fldCharType="separate"/>
        </w:r>
        <w:r>
          <w:t>42</w:t>
        </w:r>
        <w:r>
          <w:fldChar w:fldCharType="end"/>
        </w:r>
      </w:hyperlink>
    </w:p>
    <w:p>
      <w:pPr>
        <w:pStyle w:val="TOC2"/>
        <w:tabs>
          <w:tab w:val="right" w:leader="dot" w:pos="8306"/>
        </w:tabs>
      </w:pPr>
      <w:hyperlink w:anchor="_Toc12424" w:history="1">
        <w:r>
          <w:rPr>
            <w:rFonts w:ascii="仿宋" w:eastAsia="仿宋" w:hAnsi="仿宋" w:cs="仿宋" w:hint="eastAsia"/>
            <w:lang w:eastAsia="zh-CN"/>
          </w:rPr>
          <w:t>(二)、防火防爆总图布置措施</w:t>
        </w:r>
        <w:r>
          <w:tab/>
        </w:r>
        <w:r>
          <w:fldChar w:fldCharType="begin"/>
        </w:r>
        <w:r>
          <w:instrText xml:space="preserve"> PAGEREF _Toc12424 \h </w:instrText>
        </w:r>
        <w:r>
          <w:fldChar w:fldCharType="separate"/>
        </w:r>
        <w:r>
          <w:t>43</w:t>
        </w:r>
        <w:r>
          <w:fldChar w:fldCharType="end"/>
        </w:r>
      </w:hyperlink>
    </w:p>
    <w:p>
      <w:pPr>
        <w:pStyle w:val="TOC2"/>
        <w:tabs>
          <w:tab w:val="right" w:leader="dot" w:pos="8306"/>
        </w:tabs>
      </w:pPr>
      <w:hyperlink w:anchor="_Toc13703" w:history="1">
        <w:r>
          <w:rPr>
            <w:rFonts w:ascii="仿宋" w:eastAsia="仿宋" w:hAnsi="仿宋" w:cs="仿宋" w:hint="eastAsia"/>
            <w:lang w:eastAsia="zh-CN"/>
          </w:rPr>
          <w:t>(三)、自然灾害防范措施</w:t>
        </w:r>
        <w:r>
          <w:tab/>
        </w:r>
        <w:r>
          <w:fldChar w:fldCharType="begin"/>
        </w:r>
        <w:r>
          <w:instrText xml:space="preserve"> PAGEREF _Toc13703 \h </w:instrText>
        </w:r>
        <w:r>
          <w:fldChar w:fldCharType="separate"/>
        </w:r>
        <w:r>
          <w:t>44</w:t>
        </w:r>
        <w:r>
          <w:fldChar w:fldCharType="end"/>
        </w:r>
      </w:hyperlink>
    </w:p>
    <w:p>
      <w:pPr>
        <w:pStyle w:val="TOC2"/>
        <w:tabs>
          <w:tab w:val="right" w:leader="dot" w:pos="8306"/>
        </w:tabs>
      </w:pPr>
      <w:hyperlink w:anchor="_Toc13762" w:history="1">
        <w:r>
          <w:rPr>
            <w:rFonts w:ascii="仿宋" w:eastAsia="仿宋" w:hAnsi="仿宋" w:cs="仿宋" w:hint="eastAsia"/>
            <w:lang w:eastAsia="zh-CN"/>
          </w:rPr>
          <w:t>(四)、安全色及安全标志使用要求</w:t>
        </w:r>
        <w:r>
          <w:tab/>
        </w:r>
        <w:r>
          <w:fldChar w:fldCharType="begin"/>
        </w:r>
        <w:r>
          <w:instrText xml:space="preserve"> PAGEREF _Toc13762 \h </w:instrText>
        </w:r>
        <w:r>
          <w:fldChar w:fldCharType="separate"/>
        </w:r>
        <w:r>
          <w:t>45</w:t>
        </w:r>
        <w:r>
          <w:fldChar w:fldCharType="end"/>
        </w:r>
      </w:hyperlink>
    </w:p>
    <w:p>
      <w:pPr>
        <w:pStyle w:val="TOC2"/>
        <w:tabs>
          <w:tab w:val="right" w:leader="dot" w:pos="8306"/>
        </w:tabs>
      </w:pPr>
      <w:hyperlink w:anchor="_Toc32476" w:history="1">
        <w:r>
          <w:rPr>
            <w:rFonts w:ascii="仿宋" w:eastAsia="仿宋" w:hAnsi="仿宋" w:cs="仿宋" w:hint="eastAsia"/>
            <w:lang w:eastAsia="zh-CN"/>
          </w:rPr>
          <w:t>(五)、防尘防毒措施</w:t>
        </w:r>
        <w:r>
          <w:tab/>
        </w:r>
        <w:r>
          <w:fldChar w:fldCharType="begin"/>
        </w:r>
        <w:r>
          <w:instrText xml:space="preserve"> PAGEREF _Toc32476 \h </w:instrText>
        </w:r>
        <w:r>
          <w:fldChar w:fldCharType="separate"/>
        </w:r>
        <w:r>
          <w:t>46</w:t>
        </w:r>
        <w:r>
          <w:fldChar w:fldCharType="end"/>
        </w:r>
      </w:hyperlink>
    </w:p>
    <w:p>
      <w:pPr>
        <w:pStyle w:val="TOC2"/>
        <w:tabs>
          <w:tab w:val="right" w:leader="dot" w:pos="8306"/>
        </w:tabs>
      </w:pPr>
      <w:hyperlink w:anchor="_Toc8157" w:history="1">
        <w:r>
          <w:rPr>
            <w:rFonts w:ascii="仿宋" w:eastAsia="仿宋" w:hAnsi="仿宋" w:cs="仿宋" w:hint="eastAsia"/>
            <w:lang w:eastAsia="zh-CN"/>
          </w:rPr>
          <w:t>(六)、防静电、触电防护及防雷措施</w:t>
        </w:r>
        <w:r>
          <w:tab/>
        </w:r>
        <w:r>
          <w:fldChar w:fldCharType="begin"/>
        </w:r>
        <w:r>
          <w:instrText xml:space="preserve"> PAGEREF _Toc8157 \h </w:instrText>
        </w:r>
        <w:r>
          <w:fldChar w:fldCharType="separate"/>
        </w:r>
        <w:r>
          <w:t>47</w:t>
        </w:r>
        <w:r>
          <w:fldChar w:fldCharType="end"/>
        </w:r>
      </w:hyperlink>
    </w:p>
    <w:p>
      <w:pPr>
        <w:pStyle w:val="TOC2"/>
        <w:tabs>
          <w:tab w:val="right" w:leader="dot" w:pos="8306"/>
        </w:tabs>
      </w:pPr>
      <w:hyperlink w:anchor="_Toc31451" w:history="1">
        <w:r>
          <w:rPr>
            <w:rFonts w:ascii="仿宋" w:eastAsia="仿宋" w:hAnsi="仿宋" w:cs="仿宋" w:hint="eastAsia"/>
            <w:lang w:eastAsia="zh-CN"/>
          </w:rPr>
          <w:t>(七)、机械设备安全保障措施</w:t>
        </w:r>
        <w:r>
          <w:tab/>
        </w:r>
        <w:r>
          <w:fldChar w:fldCharType="begin"/>
        </w:r>
        <w:r>
          <w:instrText xml:space="preserve"> PAGEREF _Toc31451 \h </w:instrText>
        </w:r>
        <w:r>
          <w:fldChar w:fldCharType="separate"/>
        </w:r>
        <w:r>
          <w:t>48</w:t>
        </w:r>
        <w:r>
          <w:fldChar w:fldCharType="end"/>
        </w:r>
      </w:hyperlink>
    </w:p>
    <w:p>
      <w:pPr>
        <w:pStyle w:val="TOC1"/>
        <w:tabs>
          <w:tab w:val="right" w:leader="dot" w:pos="8306"/>
        </w:tabs>
      </w:pPr>
      <w:hyperlink w:anchor="_Toc22288" w:history="1">
        <w:r>
          <w:rPr>
            <w:rFonts w:ascii="仿宋" w:eastAsia="仿宋" w:hAnsi="仿宋" w:cs="仿宋" w:hint="eastAsia"/>
            <w:lang w:eastAsia="zh-CN"/>
          </w:rPr>
          <w:t>十三、风险识别与分类</w:t>
        </w:r>
        <w:r>
          <w:tab/>
        </w:r>
        <w:r>
          <w:fldChar w:fldCharType="begin"/>
        </w:r>
        <w:r>
          <w:instrText xml:space="preserve"> PAGEREF _Toc22288 \h </w:instrText>
        </w:r>
        <w:r>
          <w:fldChar w:fldCharType="separate"/>
        </w:r>
        <w:r>
          <w:t>50</w:t>
        </w:r>
        <w:r>
          <w:fldChar w:fldCharType="end"/>
        </w:r>
      </w:hyperlink>
    </w:p>
    <w:p>
      <w:pPr>
        <w:pStyle w:val="TOC2"/>
        <w:tabs>
          <w:tab w:val="right" w:leader="dot" w:pos="8306"/>
        </w:tabs>
      </w:pPr>
      <w:hyperlink w:anchor="_Toc17747" w:history="1">
        <w:r>
          <w:rPr>
            <w:rFonts w:ascii="仿宋" w:eastAsia="仿宋" w:hAnsi="仿宋" w:cs="仿宋" w:hint="eastAsia"/>
            <w:lang w:eastAsia="zh-CN"/>
          </w:rPr>
          <w:t>(一)、风险识别</w:t>
        </w:r>
        <w:r>
          <w:tab/>
        </w:r>
        <w:r>
          <w:fldChar w:fldCharType="begin"/>
        </w:r>
        <w:r>
          <w:instrText xml:space="preserve"> PAGEREF _Toc17747 \h </w:instrText>
        </w:r>
        <w:r>
          <w:fldChar w:fldCharType="separate"/>
        </w:r>
        <w:r>
          <w:t>50</w:t>
        </w:r>
        <w:r>
          <w:fldChar w:fldCharType="end"/>
        </w:r>
      </w:hyperlink>
    </w:p>
    <w:p>
      <w:pPr>
        <w:pStyle w:val="TOC2"/>
        <w:tabs>
          <w:tab w:val="right" w:leader="dot" w:pos="8306"/>
        </w:tabs>
      </w:pPr>
      <w:hyperlink w:anchor="_Toc21145" w:history="1">
        <w:r>
          <w:rPr>
            <w:rFonts w:ascii="仿宋" w:eastAsia="仿宋" w:hAnsi="仿宋" w:cs="仿宋" w:hint="eastAsia"/>
            <w:lang w:eastAsia="zh-CN"/>
          </w:rPr>
          <w:t>(二)、风险分类</w:t>
        </w:r>
        <w:r>
          <w:tab/>
        </w:r>
        <w:r>
          <w:fldChar w:fldCharType="begin"/>
        </w:r>
        <w:r>
          <w:instrText xml:space="preserve"> PAGEREF _Toc21145 \h </w:instrText>
        </w:r>
        <w:r>
          <w:fldChar w:fldCharType="separate"/>
        </w:r>
        <w:r>
          <w:t>51</w:t>
        </w:r>
        <w:r>
          <w:fldChar w:fldCharType="end"/>
        </w:r>
      </w:hyperlink>
    </w:p>
    <w:p>
      <w:pPr>
        <w:pStyle w:val="TOC1"/>
        <w:tabs>
          <w:tab w:val="right" w:leader="dot" w:pos="8306"/>
        </w:tabs>
      </w:pPr>
      <w:hyperlink w:anchor="_Toc16522" w:history="1">
        <w:r>
          <w:rPr>
            <w:rFonts w:ascii="仿宋" w:eastAsia="仿宋" w:hAnsi="仿宋" w:cs="仿宋" w:hint="eastAsia"/>
            <w:lang w:eastAsia="zh-CN"/>
          </w:rPr>
          <w:t>十四、质量管理体系</w:t>
        </w:r>
        <w:r>
          <w:tab/>
        </w:r>
        <w:r>
          <w:fldChar w:fldCharType="begin"/>
        </w:r>
        <w:r>
          <w:instrText xml:space="preserve"> PAGEREF _Toc16522 \h </w:instrText>
        </w:r>
        <w:r>
          <w:fldChar w:fldCharType="separate"/>
        </w:r>
        <w:r>
          <w:t>53</w:t>
        </w:r>
        <w:r>
          <w:fldChar w:fldCharType="end"/>
        </w:r>
      </w:hyperlink>
    </w:p>
    <w:p>
      <w:pPr>
        <w:pStyle w:val="TOC2"/>
        <w:tabs>
          <w:tab w:val="right" w:leader="dot" w:pos="8306"/>
        </w:tabs>
      </w:pPr>
      <w:hyperlink w:anchor="_Toc7067" w:history="1">
        <w:r>
          <w:rPr>
            <w:rFonts w:ascii="仿宋" w:eastAsia="仿宋" w:hAnsi="仿宋" w:cs="仿宋" w:hint="eastAsia"/>
            <w:lang w:eastAsia="zh-CN"/>
          </w:rPr>
          <w:t>(一)、质量目标与方针</w:t>
        </w:r>
        <w:r>
          <w:tab/>
        </w:r>
        <w:r>
          <w:fldChar w:fldCharType="begin"/>
        </w:r>
        <w:r>
          <w:instrText xml:space="preserve"> PAGEREF _Toc7067 \h </w:instrText>
        </w:r>
        <w:r>
          <w:fldChar w:fldCharType="separate"/>
        </w:r>
        <w:r>
          <w:t>53</w:t>
        </w:r>
        <w:r>
          <w:fldChar w:fldCharType="end"/>
        </w:r>
      </w:hyperlink>
    </w:p>
    <w:p>
      <w:pPr>
        <w:pStyle w:val="TOC2"/>
        <w:tabs>
          <w:tab w:val="right" w:leader="dot" w:pos="8306"/>
        </w:tabs>
      </w:pPr>
      <w:hyperlink w:anchor="_Toc10539" w:history="1">
        <w:r>
          <w:rPr>
            <w:rFonts w:ascii="仿宋" w:eastAsia="仿宋" w:hAnsi="仿宋" w:cs="仿宋" w:hint="eastAsia"/>
            <w:lang w:eastAsia="zh-CN"/>
          </w:rPr>
          <w:t>(二)、质量管理责任</w:t>
        </w:r>
        <w:r>
          <w:tab/>
        </w:r>
        <w:r>
          <w:fldChar w:fldCharType="begin"/>
        </w:r>
        <w:r>
          <w:instrText xml:space="preserve"> PAGEREF _Toc10539 \h </w:instrText>
        </w:r>
        <w:r>
          <w:fldChar w:fldCharType="separate"/>
        </w:r>
        <w:r>
          <w:t>54</w:t>
        </w:r>
        <w:r>
          <w:fldChar w:fldCharType="end"/>
        </w:r>
      </w:hyperlink>
    </w:p>
    <w:p>
      <w:pPr>
        <w:pStyle w:val="TOC2"/>
        <w:tabs>
          <w:tab w:val="right" w:leader="dot" w:pos="8306"/>
        </w:tabs>
      </w:pPr>
      <w:hyperlink w:anchor="_Toc15331" w:history="1">
        <w:r>
          <w:rPr>
            <w:rFonts w:ascii="仿宋" w:eastAsia="仿宋" w:hAnsi="仿宋" w:cs="仿宋" w:hint="eastAsia"/>
            <w:lang w:eastAsia="zh-CN"/>
          </w:rPr>
          <w:t>(三)、质量管理体系文件</w:t>
        </w:r>
        <w:r>
          <w:tab/>
        </w:r>
        <w:r>
          <w:fldChar w:fldCharType="begin"/>
        </w:r>
        <w:r>
          <w:instrText xml:space="preserve"> PAGEREF _Toc15331 \h </w:instrText>
        </w:r>
        <w:r>
          <w:fldChar w:fldCharType="separate"/>
        </w:r>
        <w:r>
          <w:t>55</w:t>
        </w:r>
        <w:r>
          <w:fldChar w:fldCharType="end"/>
        </w:r>
      </w:hyperlink>
    </w:p>
    <w:p>
      <w:pPr>
        <w:pStyle w:val="TOC2"/>
        <w:tabs>
          <w:tab w:val="right" w:leader="dot" w:pos="8306"/>
        </w:tabs>
      </w:pPr>
      <w:hyperlink w:anchor="_Toc19055" w:history="1">
        <w:r>
          <w:rPr>
            <w:rFonts w:ascii="仿宋" w:eastAsia="仿宋" w:hAnsi="仿宋" w:cs="仿宋" w:hint="eastAsia"/>
            <w:lang w:eastAsia="zh-CN"/>
          </w:rPr>
          <w:t>(四)、质量培训与教育</w:t>
        </w:r>
        <w:r>
          <w:tab/>
        </w:r>
        <w:r>
          <w:fldChar w:fldCharType="begin"/>
        </w:r>
        <w:r>
          <w:instrText xml:space="preserve"> PAGEREF _Toc19055 \h </w:instrText>
        </w:r>
        <w:r>
          <w:fldChar w:fldCharType="separate"/>
        </w:r>
        <w:r>
          <w:t>57</w:t>
        </w:r>
        <w:r>
          <w:fldChar w:fldCharType="end"/>
        </w:r>
      </w:hyperlink>
    </w:p>
    <w:p>
      <w:pPr>
        <w:pStyle w:val="TOC2"/>
        <w:tabs>
          <w:tab w:val="right" w:leader="dot" w:pos="8306"/>
        </w:tabs>
      </w:pPr>
      <w:hyperlink w:anchor="_Toc8162" w:history="1">
        <w:r>
          <w:rPr>
            <w:rFonts w:ascii="仿宋" w:eastAsia="仿宋" w:hAnsi="仿宋" w:cs="仿宋" w:hint="eastAsia"/>
            <w:lang w:eastAsia="zh-CN"/>
          </w:rPr>
          <w:t>(五)、质量审核与评价</w:t>
        </w:r>
        <w:r>
          <w:tab/>
        </w:r>
        <w:r>
          <w:fldChar w:fldCharType="begin"/>
        </w:r>
        <w:r>
          <w:instrText xml:space="preserve"> PAGEREF _Toc8162 \h </w:instrText>
        </w:r>
        <w:r>
          <w:fldChar w:fldCharType="separate"/>
        </w:r>
        <w:r>
          <w:t>59</w:t>
        </w:r>
        <w:r>
          <w:fldChar w:fldCharType="end"/>
        </w:r>
      </w:hyperlink>
    </w:p>
    <w:p>
      <w:pPr>
        <w:pStyle w:val="TOC2"/>
        <w:tabs>
          <w:tab w:val="right" w:leader="dot" w:pos="8306"/>
        </w:tabs>
      </w:pPr>
      <w:hyperlink w:anchor="_Toc23735" w:history="1">
        <w:r>
          <w:rPr>
            <w:rFonts w:ascii="仿宋" w:eastAsia="仿宋" w:hAnsi="仿宋" w:cs="仿宋" w:hint="eastAsia"/>
            <w:lang w:eastAsia="zh-CN"/>
          </w:rPr>
          <w:t>(六)、不符合与纠正措施</w:t>
        </w:r>
        <w:r>
          <w:tab/>
        </w:r>
        <w:r>
          <w:fldChar w:fldCharType="begin"/>
        </w:r>
        <w:r>
          <w:instrText xml:space="preserve"> PAGEREF _Toc23735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技术管理特点体现在其创新导向。通过引入最先进的技术趋势和解决方案，离子交换设备项目致力于提升科技含量、提高质量和效率水平。这意味着我们将采用最新的工具和方法，确保离子交换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交换设备项目技术管理的显著特征。通过整合不同领域的技术资源，我们实现了跨学科的协同工作。这有助于优化技术架构，提高整体效能。此外，整合性策略还促进了不同技术团队之间的紧密沟通和高效合作，确保离子交换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交换设备项目所采用的技术。通过不断优化技术方案，离子交换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子交换设备项目团队将在离子交换设备项目初期识别可能的技术风险，并采取相应的预防和应对措施。通过建立健全的风险评估机制，离子交换设备项目能够在实施过程中及时发现并解决潜在的技术问题，保障离子交换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交换设备项目中，技术将成为离子交换设备项目成功的有力支持。这一深度剖析揭示了技术管理在离子交换设备项目实施中的关键作用，为离子交换设备项目的技术基础奠定了坚实的基础。</w:t>
      </w:r>
    </w:p>
    <w:p>
      <w:pPr>
        <w:pStyle w:val="Heading2"/>
        <w:ind w:firstLine="560" w:firstLineChars="200"/>
        <w:rPr>
          <w:rFonts w:ascii="仿宋" w:eastAsia="仿宋" w:hAnsi="仿宋" w:cs="仿宋" w:hint="eastAsia"/>
          <w:sz w:val="28"/>
          <w:lang w:eastAsia="zh-CN"/>
        </w:rPr>
      </w:pPr>
      <w:bookmarkStart w:id="4" w:name="_Toc31501"/>
      <w:r>
        <w:rPr>
          <w:rFonts w:ascii="仿宋" w:eastAsia="仿宋" w:hAnsi="仿宋" w:cs="仿宋" w:hint="eastAsia"/>
          <w:sz w:val="28"/>
          <w:lang w:eastAsia="zh-CN"/>
        </w:rPr>
        <w:t>(二)、离子交换设备项目工艺技术设计方案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交换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交换设备项目将严格按照相关行业规范要求进行组织。通过有效控制产品质量，离子交换设备项目将致力于为顾客提供优质的离子交换设备项目产品和良好的服务。这体现了离子交换设备项目对于生产活动合规性和质量标准的高度重视，为离子交换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子交换设备项目注重生态效益和清洁生产原则。离子交换设备项目建设将紧密结合地方特色经济发展，与社会经济发展规划和区域环境保护规划方案相协调一致。通过与当地区域自然生态系统的结合，离子交换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交换设备项目产品具有多样化的客户需求和个性化的特点。因此，离子交换设备项目产品规格品种多样，且单批生产数量较小。为满足这一特点，离子交换设备项目承办单位将建设先进的柔性制造生产线。通过广泛应用柔性制造技术，离子交换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交换设备项目采用的技术具有较高的技术含量和自动化水平，处于国内先进水平。这一技术选用不仅体现了对生产效率、质量和环境友好性的高标准要求，同时为离子交换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6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为确保离子交换设备项目的高效生产和技术实施，我们制定了一套精心设计的设备选型方案，以满足离子交换设备项目生产、质量和环保的要求。该方案的主要特点如下：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交换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针对离子交换设备项目产品的多样性和小批量生产的特点，我们将建设柔性制造生产线。通过在设备选型中考虑柔性制造技术，可以灵活应对不同产品规格和生产需求，实现生产线的高度灵活性和适应性。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9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3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离子交换设备项目的主要产品是XXXX，预计年产值为XXX万元。这一产品在市场中占据着重要的地位，其广泛的应用范围使得该离子交换设备项目的市场前景非常广阔。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离子交换设备项目的xxx产品作为重要的原材料之一，将在多个领域发挥关键作用。其在建筑、交通、能源等方面的广泛应用将为整个产业链提供强大的支持，形成产业协同效应。离子交换设备项目的年产值XXX万XXX万XXX万万元不仅反映了其在市场上的巨大潜力，更预示着它对国民经济的积极贡献。这种关联度高、涉及面广的产业关系，使得该离子交换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5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总征地面积为XXXX平方米，相当于约XX.XX亩，其中净用地面积为XXXX平方米，红线范围内相当于约XX.XX亩。这一用地规模充分考虑了离子交换设备项目的建设需求，保障了离子交换设备项目在合适的空间内得以充分发展。离子交换设备项目规划的总建筑面积为XXXX平方米，其中主体工程建设占XXXX平方米，计容建筑面积达XXXX平方米。预计建筑工程的投资将达到XXXX万元，为离子交换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计划购置的设备共计XXXX台（套），设备购置费用为XXXX万元。这一设备购置计划充分考虑到离子交换设备项目的生产需求和技术要求，确保了离子交换设备项目在生产运营中具备先进的技术装备和高效的生产能力。设备的合理配置将为离子交换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子交换设备项目计划总投资为XXXX万元，预计年实现营业收入为XXXX万元。这一产能规模的设定旨在确保离子交换设备项目能够在投资与回报之间取得平衡，实现长期可持续的发展。离子交换设备项目的总投资充分考虑到各个方面的需求，包括用地建设、设备购置等多个环节，以确保离子交换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690"/>
      <w:r>
        <w:rPr>
          <w:rFonts w:ascii="仿宋" w:eastAsia="仿宋" w:hAnsi="仿宋" w:cs="仿宋" w:hint="eastAsia"/>
          <w:sz w:val="28"/>
          <w:lang w:eastAsia="zh-CN"/>
        </w:rPr>
        <w:t>三、离子交换设备项目土建工程</w:t>
      </w:r>
      <w:bookmarkEnd w:id="9"/>
    </w:p>
    <w:p>
      <w:pPr>
        <w:pStyle w:val="Heading2"/>
        <w:rPr>
          <w:rFonts w:ascii="仿宋" w:eastAsia="仿宋" w:hAnsi="仿宋" w:cs="仿宋" w:hint="eastAsia"/>
          <w:lang w:eastAsia="zh-CN"/>
        </w:rPr>
      </w:pPr>
      <w:bookmarkStart w:id="10" w:name="_Toc54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在离子交换设备项目的建筑工程设计中，我们将秉承一系列重要的设计原则，以确保离子交换设备项目建筑在功能、美观、可持续性等方面达到最佳效果。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首要原则是确保建筑的功能性得到最大化的发挥。我们将充分理解离子交换设备项目的实际需求，合理布局各个功能区域，保证建筑在满足业务需求的同时，提供高效的工作环境。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在建筑设计中，我们将综合考虑建设和运营成本。通过精细的经济效益分析，确保设计方案在高效利用资源的同时，对离子交换设备项目的长期盈利能力有积极的贡献。</w:t>
      </w:r>
    </w:p>
    <w:p>
      <w:pPr>
        <w:pStyle w:val="Heading2"/>
        <w:ind w:firstLine="560" w:firstLineChars="200"/>
        <w:rPr>
          <w:rFonts w:ascii="仿宋" w:eastAsia="仿宋" w:hAnsi="仿宋" w:cs="仿宋" w:hint="eastAsia"/>
          <w:sz w:val="28"/>
          <w:lang w:eastAsia="zh-CN"/>
        </w:rPr>
      </w:pPr>
      <w:bookmarkStart w:id="11" w:name="_Toc7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的土建工程设计中，我们将精准设定设计年限，结合离子交换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交换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8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离子交换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交换设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交换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56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本期工程离子交换设备项目预计总建筑面积XXX平方米，其中：计容建筑面积XXX平方米，计划建筑工程投资XX万元，占离子交换设备项目总投资的XX%。</w:t>
      </w:r>
    </w:p>
    <w:p>
      <w:pPr>
        <w:pStyle w:val="Heading1"/>
        <w:ind w:firstLine="560" w:firstLineChars="200"/>
        <w:rPr>
          <w:rFonts w:ascii="仿宋" w:eastAsia="仿宋" w:hAnsi="仿宋" w:cs="仿宋" w:hint="eastAsia"/>
          <w:sz w:val="28"/>
          <w:lang w:eastAsia="zh-CN"/>
        </w:rPr>
      </w:pPr>
      <w:bookmarkStart w:id="14" w:name="_Toc29683"/>
      <w:r>
        <w:rPr>
          <w:rFonts w:ascii="仿宋" w:eastAsia="仿宋" w:hAnsi="仿宋" w:cs="仿宋" w:hint="eastAsia"/>
          <w:sz w:val="28"/>
          <w:lang w:eastAsia="zh-CN"/>
        </w:rPr>
        <w:t>四、离子交换设备项目可持续发展</w:t>
      </w:r>
      <w:bookmarkEnd w:id="14"/>
    </w:p>
    <w:p>
      <w:pPr>
        <w:pStyle w:val="Heading2"/>
        <w:rPr>
          <w:rFonts w:ascii="仿宋" w:eastAsia="仿宋" w:hAnsi="仿宋" w:cs="仿宋" w:hint="eastAsia"/>
          <w:lang w:eastAsia="zh-CN"/>
        </w:rPr>
      </w:pPr>
      <w:bookmarkStart w:id="15" w:name="_Toc1951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中，离子交换设备项目团队着眼于未来，明确了可持续发展的战略方向。制定的具体可持续发展目标包括降低资源使用、采用环保技术、最大化社会效益等。这一步骤不仅有助于离子交换设备项目在环保和社会责任方面达到最高标准，也为未来提供了明确的指引，确保离子交换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可持续实践的融入离子交换设备项目管理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交换设备项目管理周期。从离子交换设备项目规划开始，离子交换设备项目团队就考虑了环境和社会的因素。在执行阶段，离子交换设备项目团队积极推动绿色技术的应用，优化资源利用。此外，关注员工的社会责任，通过培训和沟通活动提高员工对可持续发展的认知，使他们能够在日常工作中践行可持续实践。这些举措不仅为离子交换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扎根于离子交换设备项目的可持续发展理念，我们深信环保与社会责任是离子交换设备项目成功的关键支柱。在离子交换设备项目的每一步，我们都致力于通过创新和实践，履行对环境和社会的坚定责任。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团队通过引入先进的环保技术、建立高效的废物处理系统以及推动能源节约措施，积极履行环保责任。定期的环保监测和评估确保离子交换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不仅致力于自身可持续发展，还注重对社会的回馈。通过支持社区离子交换设备项目、参与慈善事业、提供培训机会等方式，离子交换设备项目积极履行社会责任。与当地社区建立积极互动，关注员工的工作与生活平衡，以及员工的身心健康，是离子交换设备项目在社会责任层面的关键举措。这样的实践不仅增强了离子交换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419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7402"/>
      <w:r>
        <w:rPr>
          <w:rFonts w:ascii="仿宋" w:eastAsia="仿宋" w:hAnsi="仿宋" w:cs="仿宋" w:hint="eastAsia"/>
          <w:lang w:eastAsia="zh-CN"/>
        </w:rPr>
        <w:t>(一)、离子交换设备行业分析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行业一直以来都是市场的关注焦点。行业内的发展趋势、竞争态势以及潜在机会都对离子交换设备项目的推进产生深远的影响。通过深入研究行业的整体概貌，我们将更好地理解行业的核心特征，为离子交换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行业，技术一直是推动创新和发展的关键因素。我们将对当前技术趋势进行详尽分析，包括但不限于人工智能、大数据应用、先进制造技术等。这有助于离子交换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交换设备项目成功的基础。我们将对主要竞争对手进行深入研究，包括其市场份额、产品特点、市场定位等。通过全面了解竞争对手的优势和劣势，离子交换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077"/>
      <w:r>
        <w:rPr>
          <w:rFonts w:ascii="仿宋" w:eastAsia="仿宋" w:hAnsi="仿宋" w:cs="仿宋" w:hint="eastAsia"/>
          <w:sz w:val="28"/>
          <w:lang w:eastAsia="zh-CN"/>
        </w:rPr>
        <w:t>(二)、离子交换设备市场分析预测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交换设备市场未来的增长趋势。这包括市场的整体规模、各细分领域的发展趋势等。离子交换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交换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子交换设备项目实施过程中需要充分考虑的因素。我们将对市场风险进行全面评估，包括但不限于政策法规风险、市场竞争风险、技术变革风险等。通过对潜在风险的深入分析，离子交换设备项目可以制定相应的风险缓解策略，降低不确定性对离子交换设备项目的影响。</w:t>
      </w:r>
    </w:p>
    <w:p>
      <w:pPr>
        <w:pStyle w:val="Heading1"/>
        <w:ind w:firstLine="560" w:firstLineChars="200"/>
        <w:rPr>
          <w:rFonts w:ascii="仿宋" w:eastAsia="仿宋" w:hAnsi="仿宋" w:cs="仿宋" w:hint="eastAsia"/>
          <w:sz w:val="28"/>
          <w:lang w:eastAsia="zh-CN"/>
        </w:rPr>
      </w:pPr>
      <w:bookmarkStart w:id="20" w:name="_Toc22367"/>
      <w:r>
        <w:rPr>
          <w:rFonts w:ascii="仿宋" w:eastAsia="仿宋" w:hAnsi="仿宋" w:cs="仿宋" w:hint="eastAsia"/>
          <w:sz w:val="28"/>
          <w:lang w:eastAsia="zh-CN"/>
        </w:rPr>
        <w:t>六、离子交换设备项目文档管理</w:t>
      </w:r>
      <w:bookmarkEnd w:id="20"/>
    </w:p>
    <w:p>
      <w:pPr>
        <w:pStyle w:val="Heading2"/>
        <w:rPr>
          <w:rFonts w:ascii="仿宋" w:eastAsia="仿宋" w:hAnsi="仿宋" w:cs="仿宋" w:hint="eastAsia"/>
          <w:lang w:eastAsia="zh-CN"/>
        </w:rPr>
      </w:pPr>
      <w:bookmarkStart w:id="21" w:name="_Toc137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离子交换设备项目高度重视文档的质量和准确性，以支持离子交换设备项目的各项活动和决策。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文档的编制始于离子交换设备项目计划的初期，我们制定了详细的文档编制计划，明确了每个文档的内容、格式和编写责任人。在离子交换设备项目启动阶段，我们首先编制了离子交换设备项目章程，明确定义了离子交换设备项目的目标、范围、风险等关键要素。随后，离子交换设备项目团队根据计划陆续编制了需求文档、设计文档、测试文档等各类文档，确保离子交换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交换设备项目管理中的重要环节，旨在确保离子交换设备项目文档符合质量标准和离子交换设备项目需求。在离子交换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交换设备项目相关利益方和专业领域的专家对文档进行独立审查。这有助于获取更全面、客观的反馈，确保离子交换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https://d.book118.com/508060041123006036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62592"/>
    <w:rsid w:val="184625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6004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2024-02-11T23:32:00Z</dcterms:created>
  <dcterms:modified xsi:type="dcterms:W3CDTF">2024-02-11T23:32:23Z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6487F77DF42C435281E3D11C4361B50C_11</vt:lpwstr>
  </property>
  <property fmtid="{D5CDD505-2E9C-101B-9397-08002B2CF9AE}" pid="3" name="KSOProductBuildVer">
    <vt:lpwstr>2052-12.1.0.16250</vt:lpwstr>
  </property>
</Properties>
</file>