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点火模块相关行业公司成立报告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二、点火模块项目概况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(二)、点火模块项目提出的理由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eastAsia="zh-CN"/>
          </w:rPr>
          <w:t>(三)、点火模块项目选址</w:t>
        </w:r>
        <w:r>
          <w:tab/>
        </w:r>
        <w:r>
          <w:fldChar w:fldCharType="begin"/>
        </w:r>
        <w:r>
          <w:instrText xml:space="preserve"> PAGEREF _Toc27716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(六)、点火模块项目投资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(七)、点火模块项目进度规划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(九)、点火模块项目综合评价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四、点火模块筹建公司基本信息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_Toc13003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(七)、点火模块项目建设必要性分析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六、点火模块项目经济效益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_Toc31142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(三)、点火模块项目盈利能力分析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(一)、点火模块项目进度安排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(二)、点火模块项目实施保障措施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(五)、点火模块项目总投资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(一)、点火模块项目背景分析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(二)、点火模块项目建设必要性分析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(一)、社会责任点火模块项目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十二、点火模块项目总结分析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0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0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https://d.book118.com/508063045131006036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点火模块相关行业公司成立报告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点火模块相关行业公司成立报告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点火模块相关行业公司成立报告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点火模块相关行业公司成立报告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点火模块相关行业公司成立报告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063045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2024-02-02T22:46:00Z</dcterms:created>
  <dcterms:modified xsi:type="dcterms:W3CDTF">2024-02-02T22:47:13Z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AA6094B7588249AAB33B3295C0144960_11</vt:lpwstr>
  </property>
  <property fmtid="{D5CDD505-2E9C-101B-9397-08002B2CF9AE}" pid="3" name="KSOProductBuildVer">
    <vt:lpwstr>2052-12.1.0.16250</vt:lpwstr>
  </property>
</Properties>
</file>