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生活缴费项目规划设计纲要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29" w:history="1">
        <w:r>
          <w:rPr>
            <w:rFonts w:ascii="仿宋" w:eastAsia="仿宋" w:hAnsi="仿宋" w:cs="仿宋" w:hint="eastAsia"/>
            <w:lang w:eastAsia="zh-CN"/>
          </w:rPr>
          <w:t>前言</w:t>
        </w:r>
        <w:r>
          <w:tab/>
        </w:r>
        <w:r>
          <w:fldChar w:fldCharType="begin"/>
        </w:r>
        <w:r>
          <w:instrText xml:space="preserve"> PAGEREF _Toc20329 \h </w:instrText>
        </w:r>
        <w:r>
          <w:fldChar w:fldCharType="separate"/>
        </w:r>
        <w:r>
          <w:t>3</w:t>
        </w:r>
        <w:r>
          <w:fldChar w:fldCharType="end"/>
        </w:r>
      </w:hyperlink>
    </w:p>
    <w:p>
      <w:pPr>
        <w:pStyle w:val="TOC1"/>
        <w:tabs>
          <w:tab w:val="right" w:leader="dot" w:pos="8306"/>
        </w:tabs>
      </w:pPr>
      <w:hyperlink w:anchor="_Toc10615" w:history="1">
        <w:r>
          <w:rPr>
            <w:rFonts w:ascii="仿宋" w:eastAsia="仿宋" w:hAnsi="仿宋" w:cs="仿宋" w:hint="eastAsia"/>
            <w:lang w:eastAsia="zh-CN"/>
          </w:rPr>
          <w:t>一、生活缴费项目建设背景及必要性分析</w:t>
        </w:r>
        <w:r>
          <w:tab/>
        </w:r>
        <w:r>
          <w:fldChar w:fldCharType="begin"/>
        </w:r>
        <w:r>
          <w:instrText xml:space="preserve"> PAGEREF _Toc10615 \h </w:instrText>
        </w:r>
        <w:r>
          <w:fldChar w:fldCharType="separate"/>
        </w:r>
        <w:r>
          <w:t>3</w:t>
        </w:r>
        <w:r>
          <w:fldChar w:fldCharType="end"/>
        </w:r>
      </w:hyperlink>
    </w:p>
    <w:p>
      <w:pPr>
        <w:pStyle w:val="TOC2"/>
        <w:tabs>
          <w:tab w:val="right" w:leader="dot" w:pos="8306"/>
        </w:tabs>
      </w:pPr>
      <w:hyperlink w:anchor="_Toc21022" w:history="1">
        <w:r>
          <w:rPr>
            <w:rFonts w:ascii="仿宋" w:eastAsia="仿宋" w:hAnsi="仿宋" w:cs="仿宋" w:hint="eastAsia"/>
            <w:lang w:eastAsia="zh-CN"/>
          </w:rPr>
          <w:t>(一)、生活缴费项目背景分析</w:t>
        </w:r>
        <w:r>
          <w:tab/>
        </w:r>
        <w:r>
          <w:fldChar w:fldCharType="begin"/>
        </w:r>
        <w:r>
          <w:instrText xml:space="preserve"> PAGEREF _Toc21022 \h </w:instrText>
        </w:r>
        <w:r>
          <w:fldChar w:fldCharType="separate"/>
        </w:r>
        <w:r>
          <w:t>3</w:t>
        </w:r>
        <w:r>
          <w:fldChar w:fldCharType="end"/>
        </w:r>
      </w:hyperlink>
    </w:p>
    <w:p>
      <w:pPr>
        <w:pStyle w:val="TOC2"/>
        <w:tabs>
          <w:tab w:val="right" w:leader="dot" w:pos="8306"/>
        </w:tabs>
      </w:pPr>
      <w:hyperlink w:anchor="_Toc928" w:history="1">
        <w:r>
          <w:rPr>
            <w:rFonts w:ascii="仿宋" w:eastAsia="仿宋" w:hAnsi="仿宋" w:cs="仿宋" w:hint="eastAsia"/>
            <w:lang w:eastAsia="zh-CN"/>
          </w:rPr>
          <w:t>(二)、生活缴费项目建设必要性分析</w:t>
        </w:r>
        <w:r>
          <w:tab/>
        </w:r>
        <w:r>
          <w:fldChar w:fldCharType="begin"/>
        </w:r>
        <w:r>
          <w:instrText xml:space="preserve"> PAGEREF _Toc928 \h </w:instrText>
        </w:r>
        <w:r>
          <w:fldChar w:fldCharType="separate"/>
        </w:r>
        <w:r>
          <w:t>5</w:t>
        </w:r>
        <w:r>
          <w:fldChar w:fldCharType="end"/>
        </w:r>
      </w:hyperlink>
    </w:p>
    <w:p>
      <w:pPr>
        <w:pStyle w:val="TOC1"/>
        <w:tabs>
          <w:tab w:val="right" w:leader="dot" w:pos="8306"/>
        </w:tabs>
      </w:pPr>
      <w:hyperlink w:anchor="_Toc15592" w:history="1">
        <w:r>
          <w:rPr>
            <w:rFonts w:ascii="仿宋" w:eastAsia="仿宋" w:hAnsi="仿宋" w:cs="仿宋" w:hint="eastAsia"/>
            <w:lang w:eastAsia="zh-CN"/>
          </w:rPr>
          <w:t>二、生活缴费项目可持续发展</w:t>
        </w:r>
        <w:r>
          <w:tab/>
        </w:r>
        <w:r>
          <w:fldChar w:fldCharType="begin"/>
        </w:r>
        <w:r>
          <w:instrText xml:space="preserve"> PAGEREF _Toc15592 \h </w:instrText>
        </w:r>
        <w:r>
          <w:fldChar w:fldCharType="separate"/>
        </w:r>
        <w:r>
          <w:t>6</w:t>
        </w:r>
        <w:r>
          <w:fldChar w:fldCharType="end"/>
        </w:r>
      </w:hyperlink>
    </w:p>
    <w:p>
      <w:pPr>
        <w:pStyle w:val="TOC2"/>
        <w:tabs>
          <w:tab w:val="right" w:leader="dot" w:pos="8306"/>
        </w:tabs>
      </w:pPr>
      <w:hyperlink w:anchor="_Toc30487" w:history="1">
        <w:r>
          <w:rPr>
            <w:rFonts w:ascii="仿宋" w:eastAsia="仿宋" w:hAnsi="仿宋" w:cs="仿宋" w:hint="eastAsia"/>
            <w:lang w:eastAsia="zh-CN"/>
          </w:rPr>
          <w:t>(一)、可持续战略与实践</w:t>
        </w:r>
        <w:r>
          <w:tab/>
        </w:r>
        <w:r>
          <w:fldChar w:fldCharType="begin"/>
        </w:r>
        <w:r>
          <w:instrText xml:space="preserve"> PAGEREF _Toc30487 \h </w:instrText>
        </w:r>
        <w:r>
          <w:fldChar w:fldCharType="separate"/>
        </w:r>
        <w:r>
          <w:t>6</w:t>
        </w:r>
        <w:r>
          <w:fldChar w:fldCharType="end"/>
        </w:r>
      </w:hyperlink>
    </w:p>
    <w:p>
      <w:pPr>
        <w:pStyle w:val="TOC2"/>
        <w:tabs>
          <w:tab w:val="right" w:leader="dot" w:pos="8306"/>
        </w:tabs>
      </w:pPr>
      <w:hyperlink w:anchor="_Toc26657" w:history="1">
        <w:r>
          <w:rPr>
            <w:rFonts w:ascii="仿宋" w:eastAsia="仿宋" w:hAnsi="仿宋" w:cs="仿宋" w:hint="eastAsia"/>
            <w:lang w:eastAsia="zh-CN"/>
          </w:rPr>
          <w:t>(二)、环保与社会责任</w:t>
        </w:r>
        <w:r>
          <w:tab/>
        </w:r>
        <w:r>
          <w:fldChar w:fldCharType="begin"/>
        </w:r>
        <w:r>
          <w:instrText xml:space="preserve"> PAGEREF _Toc26657 \h </w:instrText>
        </w:r>
        <w:r>
          <w:fldChar w:fldCharType="separate"/>
        </w:r>
        <w:r>
          <w:t>7</w:t>
        </w:r>
        <w:r>
          <w:fldChar w:fldCharType="end"/>
        </w:r>
      </w:hyperlink>
    </w:p>
    <w:p>
      <w:pPr>
        <w:pStyle w:val="TOC1"/>
        <w:tabs>
          <w:tab w:val="right" w:leader="dot" w:pos="8306"/>
        </w:tabs>
      </w:pPr>
      <w:hyperlink w:anchor="_Toc305" w:history="1">
        <w:r>
          <w:rPr>
            <w:rFonts w:ascii="仿宋" w:eastAsia="仿宋" w:hAnsi="仿宋" w:cs="仿宋" w:hint="eastAsia"/>
            <w:lang w:eastAsia="zh-CN"/>
          </w:rPr>
          <w:t>三、生活缴费项目建设单位说明</w:t>
        </w:r>
        <w:r>
          <w:tab/>
        </w:r>
        <w:r>
          <w:fldChar w:fldCharType="begin"/>
        </w:r>
        <w:r>
          <w:instrText xml:space="preserve"> PAGEREF _Toc305 \h </w:instrText>
        </w:r>
        <w:r>
          <w:fldChar w:fldCharType="separate"/>
        </w:r>
        <w:r>
          <w:t>7</w:t>
        </w:r>
        <w:r>
          <w:fldChar w:fldCharType="end"/>
        </w:r>
      </w:hyperlink>
    </w:p>
    <w:p>
      <w:pPr>
        <w:pStyle w:val="TOC2"/>
        <w:tabs>
          <w:tab w:val="right" w:leader="dot" w:pos="8306"/>
        </w:tabs>
      </w:pPr>
      <w:hyperlink w:anchor="_Toc20648" w:history="1">
        <w:r>
          <w:rPr>
            <w:rFonts w:ascii="仿宋" w:eastAsia="仿宋" w:hAnsi="仿宋" w:cs="仿宋" w:hint="eastAsia"/>
            <w:lang w:eastAsia="zh-CN"/>
          </w:rPr>
          <w:t>(一)、生活缴费项目承办单位基本情况</w:t>
        </w:r>
        <w:r>
          <w:tab/>
        </w:r>
        <w:r>
          <w:fldChar w:fldCharType="begin"/>
        </w:r>
        <w:r>
          <w:instrText xml:space="preserve"> PAGEREF _Toc20648 \h </w:instrText>
        </w:r>
        <w:r>
          <w:fldChar w:fldCharType="separate"/>
        </w:r>
        <w:r>
          <w:t>7</w:t>
        </w:r>
        <w:r>
          <w:fldChar w:fldCharType="end"/>
        </w:r>
      </w:hyperlink>
    </w:p>
    <w:p>
      <w:pPr>
        <w:pStyle w:val="TOC2"/>
        <w:tabs>
          <w:tab w:val="right" w:leader="dot" w:pos="8306"/>
        </w:tabs>
      </w:pPr>
      <w:hyperlink w:anchor="_Toc13503" w:history="1">
        <w:r>
          <w:rPr>
            <w:rFonts w:ascii="仿宋" w:eastAsia="仿宋" w:hAnsi="仿宋" w:cs="仿宋" w:hint="eastAsia"/>
            <w:lang w:eastAsia="zh-CN"/>
          </w:rPr>
          <w:t>(二)、公司经济效益分析</w:t>
        </w:r>
        <w:r>
          <w:tab/>
        </w:r>
        <w:r>
          <w:fldChar w:fldCharType="begin"/>
        </w:r>
        <w:r>
          <w:instrText xml:space="preserve"> PAGEREF _Toc13503 \h </w:instrText>
        </w:r>
        <w:r>
          <w:fldChar w:fldCharType="separate"/>
        </w:r>
        <w:r>
          <w:t>8</w:t>
        </w:r>
        <w:r>
          <w:fldChar w:fldCharType="end"/>
        </w:r>
      </w:hyperlink>
    </w:p>
    <w:p>
      <w:pPr>
        <w:pStyle w:val="TOC1"/>
        <w:tabs>
          <w:tab w:val="right" w:leader="dot" w:pos="8306"/>
        </w:tabs>
      </w:pPr>
      <w:hyperlink w:anchor="_Toc27055" w:history="1">
        <w:r>
          <w:rPr>
            <w:rFonts w:ascii="仿宋" w:eastAsia="仿宋" w:hAnsi="仿宋" w:cs="仿宋" w:hint="eastAsia"/>
            <w:lang w:eastAsia="zh-CN"/>
          </w:rPr>
          <w:t>四、生活缴费项目绩效评估</w:t>
        </w:r>
        <w:r>
          <w:tab/>
        </w:r>
        <w:r>
          <w:fldChar w:fldCharType="begin"/>
        </w:r>
        <w:r>
          <w:instrText xml:space="preserve"> PAGEREF _Toc27055 \h </w:instrText>
        </w:r>
        <w:r>
          <w:fldChar w:fldCharType="separate"/>
        </w:r>
        <w:r>
          <w:t>9</w:t>
        </w:r>
        <w:r>
          <w:fldChar w:fldCharType="end"/>
        </w:r>
      </w:hyperlink>
    </w:p>
    <w:p>
      <w:pPr>
        <w:pStyle w:val="TOC2"/>
        <w:tabs>
          <w:tab w:val="right" w:leader="dot" w:pos="8306"/>
        </w:tabs>
      </w:pPr>
      <w:hyperlink w:anchor="_Toc23857" w:history="1">
        <w:r>
          <w:rPr>
            <w:rFonts w:ascii="仿宋" w:eastAsia="仿宋" w:hAnsi="仿宋" w:cs="仿宋" w:hint="eastAsia"/>
            <w:lang w:eastAsia="zh-CN"/>
          </w:rPr>
          <w:t>(一)、绩效评估指标</w:t>
        </w:r>
        <w:r>
          <w:tab/>
        </w:r>
        <w:r>
          <w:fldChar w:fldCharType="begin"/>
        </w:r>
        <w:r>
          <w:instrText xml:space="preserve"> PAGEREF _Toc23857 \h </w:instrText>
        </w:r>
        <w:r>
          <w:fldChar w:fldCharType="separate"/>
        </w:r>
        <w:r>
          <w:t>9</w:t>
        </w:r>
        <w:r>
          <w:fldChar w:fldCharType="end"/>
        </w:r>
      </w:hyperlink>
    </w:p>
    <w:p>
      <w:pPr>
        <w:pStyle w:val="TOC2"/>
        <w:tabs>
          <w:tab w:val="right" w:leader="dot" w:pos="8306"/>
        </w:tabs>
      </w:pPr>
      <w:hyperlink w:anchor="_Toc27110" w:history="1">
        <w:r>
          <w:rPr>
            <w:rFonts w:ascii="仿宋" w:eastAsia="仿宋" w:hAnsi="仿宋" w:cs="仿宋" w:hint="eastAsia"/>
            <w:lang w:eastAsia="zh-CN"/>
          </w:rPr>
          <w:t>(二)、绩效评估方法</w:t>
        </w:r>
        <w:r>
          <w:tab/>
        </w:r>
        <w:r>
          <w:fldChar w:fldCharType="begin"/>
        </w:r>
        <w:r>
          <w:instrText xml:space="preserve"> PAGEREF _Toc27110 \h </w:instrText>
        </w:r>
        <w:r>
          <w:fldChar w:fldCharType="separate"/>
        </w:r>
        <w:r>
          <w:t>10</w:t>
        </w:r>
        <w:r>
          <w:fldChar w:fldCharType="end"/>
        </w:r>
      </w:hyperlink>
    </w:p>
    <w:p>
      <w:pPr>
        <w:pStyle w:val="TOC2"/>
        <w:tabs>
          <w:tab w:val="right" w:leader="dot" w:pos="8306"/>
        </w:tabs>
      </w:pPr>
      <w:hyperlink w:anchor="_Toc29576" w:history="1">
        <w:r>
          <w:rPr>
            <w:rFonts w:ascii="仿宋" w:eastAsia="仿宋" w:hAnsi="仿宋" w:cs="仿宋" w:hint="eastAsia"/>
            <w:lang w:eastAsia="zh-CN"/>
          </w:rPr>
          <w:t>(三)、绩效评估周期</w:t>
        </w:r>
        <w:r>
          <w:tab/>
        </w:r>
        <w:r>
          <w:fldChar w:fldCharType="begin"/>
        </w:r>
        <w:r>
          <w:instrText xml:space="preserve"> PAGEREF _Toc29576 \h </w:instrText>
        </w:r>
        <w:r>
          <w:fldChar w:fldCharType="separate"/>
        </w:r>
        <w:r>
          <w:t>11</w:t>
        </w:r>
        <w:r>
          <w:fldChar w:fldCharType="end"/>
        </w:r>
      </w:hyperlink>
    </w:p>
    <w:p>
      <w:pPr>
        <w:pStyle w:val="TOC1"/>
        <w:tabs>
          <w:tab w:val="right" w:leader="dot" w:pos="8306"/>
        </w:tabs>
      </w:pPr>
      <w:hyperlink w:anchor="_Toc22289" w:history="1">
        <w:r>
          <w:rPr>
            <w:rFonts w:ascii="仿宋" w:eastAsia="仿宋" w:hAnsi="仿宋" w:cs="仿宋" w:hint="eastAsia"/>
            <w:lang w:eastAsia="zh-CN"/>
          </w:rPr>
          <w:t>五、产品规划分析</w:t>
        </w:r>
        <w:r>
          <w:tab/>
        </w:r>
        <w:r>
          <w:fldChar w:fldCharType="begin"/>
        </w:r>
        <w:r>
          <w:instrText xml:space="preserve"> PAGEREF _Toc22289 \h </w:instrText>
        </w:r>
        <w:r>
          <w:fldChar w:fldCharType="separate"/>
        </w:r>
        <w:r>
          <w:t>12</w:t>
        </w:r>
        <w:r>
          <w:fldChar w:fldCharType="end"/>
        </w:r>
      </w:hyperlink>
    </w:p>
    <w:p>
      <w:pPr>
        <w:pStyle w:val="TOC2"/>
        <w:tabs>
          <w:tab w:val="right" w:leader="dot" w:pos="8306"/>
        </w:tabs>
      </w:pPr>
      <w:hyperlink w:anchor="_Toc15383" w:history="1">
        <w:r>
          <w:rPr>
            <w:rFonts w:ascii="仿宋" w:eastAsia="仿宋" w:hAnsi="仿宋" w:cs="仿宋" w:hint="eastAsia"/>
            <w:lang w:eastAsia="zh-CN"/>
          </w:rPr>
          <w:t>(一)、产品规划</w:t>
        </w:r>
        <w:r>
          <w:tab/>
        </w:r>
        <w:r>
          <w:fldChar w:fldCharType="begin"/>
        </w:r>
        <w:r>
          <w:instrText xml:space="preserve"> PAGEREF _Toc15383 \h </w:instrText>
        </w:r>
        <w:r>
          <w:fldChar w:fldCharType="separate"/>
        </w:r>
        <w:r>
          <w:t>12</w:t>
        </w:r>
        <w:r>
          <w:fldChar w:fldCharType="end"/>
        </w:r>
      </w:hyperlink>
    </w:p>
    <w:p>
      <w:pPr>
        <w:pStyle w:val="TOC2"/>
        <w:tabs>
          <w:tab w:val="right" w:leader="dot" w:pos="8306"/>
        </w:tabs>
      </w:pPr>
      <w:hyperlink w:anchor="_Toc27475" w:history="1">
        <w:r>
          <w:rPr>
            <w:rFonts w:ascii="仿宋" w:eastAsia="仿宋" w:hAnsi="仿宋" w:cs="仿宋" w:hint="eastAsia"/>
            <w:lang w:eastAsia="zh-CN"/>
          </w:rPr>
          <w:t>(二)、建设规模</w:t>
        </w:r>
        <w:r>
          <w:tab/>
        </w:r>
        <w:r>
          <w:fldChar w:fldCharType="begin"/>
        </w:r>
        <w:r>
          <w:instrText xml:space="preserve"> PAGEREF _Toc27475 \h </w:instrText>
        </w:r>
        <w:r>
          <w:fldChar w:fldCharType="separate"/>
        </w:r>
        <w:r>
          <w:t>13</w:t>
        </w:r>
        <w:r>
          <w:fldChar w:fldCharType="end"/>
        </w:r>
      </w:hyperlink>
    </w:p>
    <w:p>
      <w:pPr>
        <w:pStyle w:val="TOC1"/>
        <w:tabs>
          <w:tab w:val="right" w:leader="dot" w:pos="8306"/>
        </w:tabs>
      </w:pPr>
      <w:hyperlink w:anchor="_Toc23340" w:history="1">
        <w:r>
          <w:rPr>
            <w:rFonts w:ascii="仿宋" w:eastAsia="仿宋" w:hAnsi="仿宋" w:cs="仿宋" w:hint="eastAsia"/>
            <w:lang w:eastAsia="zh-CN"/>
          </w:rPr>
          <w:t>六、市场分析、调研</w:t>
        </w:r>
        <w:r>
          <w:tab/>
        </w:r>
        <w:r>
          <w:fldChar w:fldCharType="begin"/>
        </w:r>
        <w:r>
          <w:instrText xml:space="preserve"> PAGEREF _Toc23340 \h </w:instrText>
        </w:r>
        <w:r>
          <w:fldChar w:fldCharType="separate"/>
        </w:r>
        <w:r>
          <w:t>14</w:t>
        </w:r>
        <w:r>
          <w:fldChar w:fldCharType="end"/>
        </w:r>
      </w:hyperlink>
    </w:p>
    <w:p>
      <w:pPr>
        <w:pStyle w:val="TOC2"/>
        <w:tabs>
          <w:tab w:val="right" w:leader="dot" w:pos="8306"/>
        </w:tabs>
      </w:pPr>
      <w:hyperlink w:anchor="_Toc2471" w:history="1">
        <w:r>
          <w:rPr>
            <w:rFonts w:ascii="仿宋" w:eastAsia="仿宋" w:hAnsi="仿宋" w:cs="仿宋" w:hint="eastAsia"/>
            <w:lang w:eastAsia="zh-CN"/>
          </w:rPr>
          <w:t>(一)、生活缴费行业分析</w:t>
        </w:r>
        <w:r>
          <w:tab/>
        </w:r>
        <w:r>
          <w:fldChar w:fldCharType="begin"/>
        </w:r>
        <w:r>
          <w:instrText xml:space="preserve"> PAGEREF _Toc2471 \h </w:instrText>
        </w:r>
        <w:r>
          <w:fldChar w:fldCharType="separate"/>
        </w:r>
        <w:r>
          <w:t>14</w:t>
        </w:r>
        <w:r>
          <w:fldChar w:fldCharType="end"/>
        </w:r>
      </w:hyperlink>
    </w:p>
    <w:p>
      <w:pPr>
        <w:pStyle w:val="TOC2"/>
        <w:tabs>
          <w:tab w:val="right" w:leader="dot" w:pos="8306"/>
        </w:tabs>
      </w:pPr>
      <w:hyperlink w:anchor="_Toc24594" w:history="1">
        <w:r>
          <w:rPr>
            <w:rFonts w:ascii="仿宋" w:eastAsia="仿宋" w:hAnsi="仿宋" w:cs="仿宋" w:hint="eastAsia"/>
            <w:lang w:eastAsia="zh-CN"/>
          </w:rPr>
          <w:t>(二)、生活缴费市场分析预测</w:t>
        </w:r>
        <w:r>
          <w:tab/>
        </w:r>
        <w:r>
          <w:fldChar w:fldCharType="begin"/>
        </w:r>
        <w:r>
          <w:instrText xml:space="preserve"> PAGEREF _Toc24594 \h </w:instrText>
        </w:r>
        <w:r>
          <w:fldChar w:fldCharType="separate"/>
        </w:r>
        <w:r>
          <w:t>15</w:t>
        </w:r>
        <w:r>
          <w:fldChar w:fldCharType="end"/>
        </w:r>
      </w:hyperlink>
    </w:p>
    <w:p>
      <w:pPr>
        <w:pStyle w:val="TOC1"/>
        <w:tabs>
          <w:tab w:val="right" w:leader="dot" w:pos="8306"/>
        </w:tabs>
      </w:pPr>
      <w:hyperlink w:anchor="_Toc25449" w:history="1">
        <w:r>
          <w:rPr>
            <w:rFonts w:ascii="仿宋" w:eastAsia="仿宋" w:hAnsi="仿宋" w:cs="仿宋" w:hint="eastAsia"/>
            <w:lang w:eastAsia="zh-CN"/>
          </w:rPr>
          <w:t>七、生活缴费项目投资规划</w:t>
        </w:r>
        <w:r>
          <w:tab/>
        </w:r>
        <w:r>
          <w:fldChar w:fldCharType="begin"/>
        </w:r>
        <w:r>
          <w:instrText xml:space="preserve"> PAGEREF _Toc25449 \h </w:instrText>
        </w:r>
        <w:r>
          <w:fldChar w:fldCharType="separate"/>
        </w:r>
        <w:r>
          <w:t>16</w:t>
        </w:r>
        <w:r>
          <w:fldChar w:fldCharType="end"/>
        </w:r>
      </w:hyperlink>
    </w:p>
    <w:p>
      <w:pPr>
        <w:pStyle w:val="TOC2"/>
        <w:tabs>
          <w:tab w:val="right" w:leader="dot" w:pos="8306"/>
        </w:tabs>
      </w:pPr>
      <w:hyperlink w:anchor="_Toc269" w:history="1">
        <w:r>
          <w:rPr>
            <w:rFonts w:ascii="仿宋" w:eastAsia="仿宋" w:hAnsi="仿宋" w:cs="仿宋" w:hint="eastAsia"/>
            <w:lang w:eastAsia="zh-CN"/>
          </w:rPr>
          <w:t>(一)、生活缴费项目总投资估算</w:t>
        </w:r>
        <w:r>
          <w:tab/>
        </w:r>
        <w:r>
          <w:fldChar w:fldCharType="begin"/>
        </w:r>
        <w:r>
          <w:instrText xml:space="preserve"> PAGEREF _Toc269 \h </w:instrText>
        </w:r>
        <w:r>
          <w:fldChar w:fldCharType="separate"/>
        </w:r>
        <w:r>
          <w:t>16</w:t>
        </w:r>
        <w:r>
          <w:fldChar w:fldCharType="end"/>
        </w:r>
      </w:hyperlink>
    </w:p>
    <w:p>
      <w:pPr>
        <w:pStyle w:val="TOC2"/>
        <w:tabs>
          <w:tab w:val="right" w:leader="dot" w:pos="8306"/>
        </w:tabs>
      </w:pPr>
      <w:hyperlink w:anchor="_Toc16090" w:history="1">
        <w:r>
          <w:rPr>
            <w:rFonts w:ascii="仿宋" w:eastAsia="仿宋" w:hAnsi="仿宋" w:cs="仿宋" w:hint="eastAsia"/>
            <w:lang w:eastAsia="zh-CN"/>
          </w:rPr>
          <w:t>(二)、资金筹措</w:t>
        </w:r>
        <w:r>
          <w:tab/>
        </w:r>
        <w:r>
          <w:fldChar w:fldCharType="begin"/>
        </w:r>
        <w:r>
          <w:instrText xml:space="preserve"> PAGEREF _Toc16090 \h </w:instrText>
        </w:r>
        <w:r>
          <w:fldChar w:fldCharType="separate"/>
        </w:r>
        <w:r>
          <w:t>17</w:t>
        </w:r>
        <w:r>
          <w:fldChar w:fldCharType="end"/>
        </w:r>
      </w:hyperlink>
    </w:p>
    <w:p>
      <w:pPr>
        <w:pStyle w:val="TOC1"/>
        <w:tabs>
          <w:tab w:val="right" w:leader="dot" w:pos="8306"/>
        </w:tabs>
      </w:pPr>
      <w:hyperlink w:anchor="_Toc22584" w:history="1">
        <w:r>
          <w:rPr>
            <w:rFonts w:ascii="仿宋" w:eastAsia="仿宋" w:hAnsi="仿宋" w:cs="仿宋" w:hint="eastAsia"/>
            <w:lang w:eastAsia="zh-CN"/>
          </w:rPr>
          <w:t>八、生活缴费项目技术管理</w:t>
        </w:r>
        <w:r>
          <w:tab/>
        </w:r>
        <w:r>
          <w:fldChar w:fldCharType="begin"/>
        </w:r>
        <w:r>
          <w:instrText xml:space="preserve"> PAGEREF _Toc22584 \h </w:instrText>
        </w:r>
        <w:r>
          <w:fldChar w:fldCharType="separate"/>
        </w:r>
        <w:r>
          <w:t>18</w:t>
        </w:r>
        <w:r>
          <w:fldChar w:fldCharType="end"/>
        </w:r>
      </w:hyperlink>
    </w:p>
    <w:p>
      <w:pPr>
        <w:pStyle w:val="TOC2"/>
        <w:tabs>
          <w:tab w:val="right" w:leader="dot" w:pos="8306"/>
        </w:tabs>
      </w:pPr>
      <w:hyperlink w:anchor="_Toc3838" w:history="1">
        <w:r>
          <w:rPr>
            <w:rFonts w:ascii="仿宋" w:eastAsia="仿宋" w:hAnsi="仿宋" w:cs="仿宋" w:hint="eastAsia"/>
            <w:lang w:eastAsia="zh-CN"/>
          </w:rPr>
          <w:t>(一)、技术方案选用方向</w:t>
        </w:r>
        <w:r>
          <w:tab/>
        </w:r>
        <w:r>
          <w:fldChar w:fldCharType="begin"/>
        </w:r>
        <w:r>
          <w:instrText xml:space="preserve"> PAGEREF _Toc3838 \h </w:instrText>
        </w:r>
        <w:r>
          <w:fldChar w:fldCharType="separate"/>
        </w:r>
        <w:r>
          <w:t>18</w:t>
        </w:r>
        <w:r>
          <w:fldChar w:fldCharType="end"/>
        </w:r>
      </w:hyperlink>
    </w:p>
    <w:p>
      <w:pPr>
        <w:pStyle w:val="TOC2"/>
        <w:tabs>
          <w:tab w:val="right" w:leader="dot" w:pos="8306"/>
        </w:tabs>
      </w:pPr>
      <w:hyperlink w:anchor="_Toc12409" w:history="1">
        <w:r>
          <w:rPr>
            <w:rFonts w:ascii="仿宋" w:eastAsia="仿宋" w:hAnsi="仿宋" w:cs="仿宋" w:hint="eastAsia"/>
            <w:lang w:eastAsia="zh-CN"/>
          </w:rPr>
          <w:t>(二)、工艺技术方案选用原则</w:t>
        </w:r>
        <w:r>
          <w:tab/>
        </w:r>
        <w:r>
          <w:fldChar w:fldCharType="begin"/>
        </w:r>
        <w:r>
          <w:instrText xml:space="preserve"> PAGEREF _Toc12409 \h </w:instrText>
        </w:r>
        <w:r>
          <w:fldChar w:fldCharType="separate"/>
        </w:r>
        <w:r>
          <w:t>19</w:t>
        </w:r>
        <w:r>
          <w:fldChar w:fldCharType="end"/>
        </w:r>
      </w:hyperlink>
    </w:p>
    <w:p>
      <w:pPr>
        <w:pStyle w:val="TOC2"/>
        <w:tabs>
          <w:tab w:val="right" w:leader="dot" w:pos="8306"/>
        </w:tabs>
      </w:pPr>
      <w:hyperlink w:anchor="_Toc20305" w:history="1">
        <w:r>
          <w:rPr>
            <w:rFonts w:ascii="仿宋" w:eastAsia="仿宋" w:hAnsi="仿宋" w:cs="仿宋" w:hint="eastAsia"/>
            <w:lang w:eastAsia="zh-CN"/>
          </w:rPr>
          <w:t>(三)、工艺技术方案要求</w:t>
        </w:r>
        <w:r>
          <w:tab/>
        </w:r>
        <w:r>
          <w:fldChar w:fldCharType="begin"/>
        </w:r>
        <w:r>
          <w:instrText xml:space="preserve"> PAGEREF _Toc20305 \h </w:instrText>
        </w:r>
        <w:r>
          <w:fldChar w:fldCharType="separate"/>
        </w:r>
        <w:r>
          <w:t>21</w:t>
        </w:r>
        <w:r>
          <w:fldChar w:fldCharType="end"/>
        </w:r>
      </w:hyperlink>
    </w:p>
    <w:p>
      <w:pPr>
        <w:pStyle w:val="TOC1"/>
        <w:tabs>
          <w:tab w:val="right" w:leader="dot" w:pos="8306"/>
        </w:tabs>
      </w:pPr>
      <w:hyperlink w:anchor="_Toc10976" w:history="1">
        <w:r>
          <w:rPr>
            <w:rFonts w:ascii="仿宋" w:eastAsia="仿宋" w:hAnsi="仿宋" w:cs="仿宋" w:hint="eastAsia"/>
            <w:lang w:eastAsia="zh-CN"/>
          </w:rPr>
          <w:t>九、生活缴费项目人力资源培养与发展</w:t>
        </w:r>
        <w:r>
          <w:tab/>
        </w:r>
        <w:r>
          <w:fldChar w:fldCharType="begin"/>
        </w:r>
        <w:r>
          <w:instrText xml:space="preserve"> PAGEREF _Toc10976 \h </w:instrText>
        </w:r>
        <w:r>
          <w:fldChar w:fldCharType="separate"/>
        </w:r>
        <w:r>
          <w:t>24</w:t>
        </w:r>
        <w:r>
          <w:fldChar w:fldCharType="end"/>
        </w:r>
      </w:hyperlink>
    </w:p>
    <w:p>
      <w:pPr>
        <w:pStyle w:val="TOC2"/>
        <w:tabs>
          <w:tab w:val="right" w:leader="dot" w:pos="8306"/>
        </w:tabs>
      </w:pPr>
      <w:hyperlink w:anchor="_Toc27162" w:history="1">
        <w:r>
          <w:rPr>
            <w:rFonts w:ascii="仿宋" w:eastAsia="仿宋" w:hAnsi="仿宋" w:cs="仿宋" w:hint="eastAsia"/>
            <w:lang w:eastAsia="zh-CN"/>
          </w:rPr>
          <w:t>(一)、人才需求与规划</w:t>
        </w:r>
        <w:r>
          <w:tab/>
        </w:r>
        <w:r>
          <w:fldChar w:fldCharType="begin"/>
        </w:r>
        <w:r>
          <w:instrText xml:space="preserve"> PAGEREF _Toc27162 \h </w:instrText>
        </w:r>
        <w:r>
          <w:fldChar w:fldCharType="separate"/>
        </w:r>
        <w:r>
          <w:t>24</w:t>
        </w:r>
        <w:r>
          <w:fldChar w:fldCharType="end"/>
        </w:r>
      </w:hyperlink>
    </w:p>
    <w:p>
      <w:pPr>
        <w:pStyle w:val="TOC2"/>
        <w:tabs>
          <w:tab w:val="right" w:leader="dot" w:pos="8306"/>
        </w:tabs>
      </w:pPr>
      <w:hyperlink w:anchor="_Toc2092" w:history="1">
        <w:r>
          <w:rPr>
            <w:rFonts w:ascii="仿宋" w:eastAsia="仿宋" w:hAnsi="仿宋" w:cs="仿宋" w:hint="eastAsia"/>
            <w:lang w:eastAsia="zh-CN"/>
          </w:rPr>
          <w:t>(二)、培训与发展计划</w:t>
        </w:r>
        <w:r>
          <w:tab/>
        </w:r>
        <w:r>
          <w:fldChar w:fldCharType="begin"/>
        </w:r>
        <w:r>
          <w:instrText xml:space="preserve"> PAGEREF _Toc2092 \h </w:instrText>
        </w:r>
        <w:r>
          <w:fldChar w:fldCharType="separate"/>
        </w:r>
        <w:r>
          <w:t>24</w:t>
        </w:r>
        <w:r>
          <w:fldChar w:fldCharType="end"/>
        </w:r>
      </w:hyperlink>
    </w:p>
    <w:p>
      <w:pPr>
        <w:pStyle w:val="TOC1"/>
        <w:tabs>
          <w:tab w:val="right" w:leader="dot" w:pos="8306"/>
        </w:tabs>
      </w:pPr>
      <w:hyperlink w:anchor="_Toc26216" w:history="1">
        <w:r>
          <w:rPr>
            <w:rFonts w:ascii="仿宋" w:eastAsia="仿宋" w:hAnsi="仿宋" w:cs="仿宋" w:hint="eastAsia"/>
            <w:lang w:eastAsia="zh-CN"/>
          </w:rPr>
          <w:t>十、生活缴费项目创新与研发</w:t>
        </w:r>
        <w:r>
          <w:tab/>
        </w:r>
        <w:r>
          <w:fldChar w:fldCharType="begin"/>
        </w:r>
        <w:r>
          <w:instrText xml:space="preserve"> PAGEREF _Toc26216 \h </w:instrText>
        </w:r>
        <w:r>
          <w:fldChar w:fldCharType="separate"/>
        </w:r>
        <w:r>
          <w:t>25</w:t>
        </w:r>
        <w:r>
          <w:fldChar w:fldCharType="end"/>
        </w:r>
      </w:hyperlink>
    </w:p>
    <w:p>
      <w:pPr>
        <w:pStyle w:val="TOC2"/>
        <w:tabs>
          <w:tab w:val="right" w:leader="dot" w:pos="8306"/>
        </w:tabs>
      </w:pPr>
      <w:hyperlink w:anchor="_Toc32588" w:history="1">
        <w:r>
          <w:rPr>
            <w:rFonts w:ascii="仿宋" w:eastAsia="仿宋" w:hAnsi="仿宋" w:cs="仿宋" w:hint="eastAsia"/>
            <w:lang w:eastAsia="zh-CN"/>
          </w:rPr>
          <w:t>(一)、创新策略与方向</w:t>
        </w:r>
        <w:r>
          <w:tab/>
        </w:r>
        <w:r>
          <w:fldChar w:fldCharType="begin"/>
        </w:r>
        <w:r>
          <w:instrText xml:space="preserve"> PAGEREF _Toc32588 \h </w:instrText>
        </w:r>
        <w:r>
          <w:fldChar w:fldCharType="separate"/>
        </w:r>
        <w:r>
          <w:t>25</w:t>
        </w:r>
        <w:r>
          <w:fldChar w:fldCharType="end"/>
        </w:r>
      </w:hyperlink>
    </w:p>
    <w:p>
      <w:pPr>
        <w:pStyle w:val="TOC2"/>
        <w:tabs>
          <w:tab w:val="right" w:leader="dot" w:pos="8306"/>
        </w:tabs>
      </w:pPr>
      <w:hyperlink w:anchor="_Toc17158" w:history="1">
        <w:r>
          <w:rPr>
            <w:rFonts w:ascii="仿宋" w:eastAsia="仿宋" w:hAnsi="仿宋" w:cs="仿宋" w:hint="eastAsia"/>
            <w:lang w:eastAsia="zh-CN"/>
          </w:rPr>
          <w:t>(二)、研发规划与投入</w:t>
        </w:r>
        <w:r>
          <w:tab/>
        </w:r>
        <w:r>
          <w:fldChar w:fldCharType="begin"/>
        </w:r>
        <w:r>
          <w:instrText xml:space="preserve"> PAGEREF _Toc17158 \h </w:instrText>
        </w:r>
        <w:r>
          <w:fldChar w:fldCharType="separate"/>
        </w:r>
        <w:r>
          <w:t>26</w:t>
        </w:r>
        <w:r>
          <w:fldChar w:fldCharType="end"/>
        </w:r>
      </w:hyperlink>
    </w:p>
    <w:p>
      <w:pPr>
        <w:pStyle w:val="TOC1"/>
        <w:tabs>
          <w:tab w:val="right" w:leader="dot" w:pos="8306"/>
        </w:tabs>
      </w:pPr>
      <w:hyperlink w:anchor="_Toc4374" w:history="1">
        <w:r>
          <w:rPr>
            <w:rFonts w:ascii="仿宋" w:eastAsia="仿宋" w:hAnsi="仿宋" w:cs="仿宋" w:hint="eastAsia"/>
            <w:lang w:eastAsia="zh-CN"/>
          </w:rPr>
          <w:t>十一、生活缴费项目社会影响</w:t>
        </w:r>
        <w:r>
          <w:tab/>
        </w:r>
        <w:r>
          <w:fldChar w:fldCharType="begin"/>
        </w:r>
        <w:r>
          <w:instrText xml:space="preserve"> PAGEREF _Toc4374 \h </w:instrText>
        </w:r>
        <w:r>
          <w:fldChar w:fldCharType="separate"/>
        </w:r>
        <w:r>
          <w:t>28</w:t>
        </w:r>
        <w:r>
          <w:fldChar w:fldCharType="end"/>
        </w:r>
      </w:hyperlink>
    </w:p>
    <w:p>
      <w:pPr>
        <w:pStyle w:val="TOC2"/>
        <w:tabs>
          <w:tab w:val="right" w:leader="dot" w:pos="8306"/>
        </w:tabs>
      </w:pPr>
      <w:hyperlink w:anchor="_Toc19934" w:history="1">
        <w:r>
          <w:rPr>
            <w:rFonts w:ascii="仿宋" w:eastAsia="仿宋" w:hAnsi="仿宋" w:cs="仿宋" w:hint="eastAsia"/>
            <w:lang w:eastAsia="zh-CN"/>
          </w:rPr>
          <w:t>(一)、社会责任与义务</w:t>
        </w:r>
        <w:r>
          <w:tab/>
        </w:r>
        <w:r>
          <w:fldChar w:fldCharType="begin"/>
        </w:r>
        <w:r>
          <w:instrText xml:space="preserve"> PAGEREF _Toc19934 \h </w:instrText>
        </w:r>
        <w:r>
          <w:fldChar w:fldCharType="separate"/>
        </w:r>
        <w:r>
          <w:t>28</w:t>
        </w:r>
        <w:r>
          <w:fldChar w:fldCharType="end"/>
        </w:r>
      </w:hyperlink>
    </w:p>
    <w:p>
      <w:pPr>
        <w:pStyle w:val="TOC2"/>
        <w:tabs>
          <w:tab w:val="right" w:leader="dot" w:pos="8306"/>
        </w:tabs>
      </w:pPr>
      <w:hyperlink w:anchor="_Toc2700" w:history="1">
        <w:r>
          <w:rPr>
            <w:rFonts w:ascii="仿宋" w:eastAsia="仿宋" w:hAnsi="仿宋" w:cs="仿宋" w:hint="eastAsia"/>
            <w:lang w:eastAsia="zh-CN"/>
          </w:rPr>
          <w:t>(二)、社会参与与沟通</w:t>
        </w:r>
        <w:r>
          <w:tab/>
        </w:r>
        <w:r>
          <w:fldChar w:fldCharType="begin"/>
        </w:r>
        <w:r>
          <w:instrText xml:space="preserve"> PAGEREF _Toc2700 \h </w:instrText>
        </w:r>
        <w:r>
          <w:fldChar w:fldCharType="separate"/>
        </w:r>
        <w:r>
          <w:t>29</w:t>
        </w:r>
        <w:r>
          <w:fldChar w:fldCharType="end"/>
        </w:r>
      </w:hyperlink>
    </w:p>
    <w:p>
      <w:pPr>
        <w:pStyle w:val="TOC1"/>
        <w:tabs>
          <w:tab w:val="right" w:leader="dot" w:pos="8306"/>
        </w:tabs>
      </w:pPr>
      <w:hyperlink w:anchor="_Toc933" w:history="1">
        <w:r>
          <w:rPr>
            <w:rFonts w:ascii="仿宋" w:eastAsia="仿宋" w:hAnsi="仿宋" w:cs="仿宋" w:hint="eastAsia"/>
            <w:lang w:eastAsia="zh-CN"/>
          </w:rPr>
          <w:t>十二、生活缴费项目经营效益</w:t>
        </w:r>
        <w:r>
          <w:tab/>
        </w:r>
        <w:r>
          <w:fldChar w:fldCharType="begin"/>
        </w:r>
        <w:r>
          <w:instrText xml:space="preserve"> PAGEREF _Toc933 \h </w:instrText>
        </w:r>
        <w:r>
          <w:fldChar w:fldCharType="separate"/>
        </w:r>
        <w:r>
          <w:t>30</w:t>
        </w:r>
        <w:r>
          <w:fldChar w:fldCharType="end"/>
        </w:r>
      </w:hyperlink>
    </w:p>
    <w:p>
      <w:pPr>
        <w:pStyle w:val="TOC2"/>
        <w:tabs>
          <w:tab w:val="right" w:leader="dot" w:pos="8306"/>
        </w:tabs>
      </w:pPr>
      <w:hyperlink w:anchor="_Toc12895" w:history="1">
        <w:r>
          <w:rPr>
            <w:rFonts w:ascii="仿宋" w:eastAsia="仿宋" w:hAnsi="仿宋" w:cs="仿宋" w:hint="eastAsia"/>
            <w:lang w:eastAsia="zh-CN"/>
          </w:rPr>
          <w:t>(一)、经济评价财务测算</w:t>
        </w:r>
        <w:r>
          <w:tab/>
        </w:r>
        <w:r>
          <w:fldChar w:fldCharType="begin"/>
        </w:r>
        <w:r>
          <w:instrText xml:space="preserve"> PAGEREF _Toc12895 \h </w:instrText>
        </w:r>
        <w:r>
          <w:fldChar w:fldCharType="separate"/>
        </w:r>
        <w:r>
          <w:t>30</w:t>
        </w:r>
        <w:r>
          <w:fldChar w:fldCharType="end"/>
        </w:r>
      </w:hyperlink>
    </w:p>
    <w:p>
      <w:pPr>
        <w:pStyle w:val="TOC2"/>
        <w:tabs>
          <w:tab w:val="right" w:leader="dot" w:pos="8306"/>
        </w:tabs>
      </w:pPr>
      <w:hyperlink w:anchor="_Toc8653" w:history="1">
        <w:r>
          <w:rPr>
            <w:rFonts w:ascii="仿宋" w:eastAsia="仿宋" w:hAnsi="仿宋" w:cs="仿宋" w:hint="eastAsia"/>
            <w:lang w:eastAsia="zh-CN"/>
          </w:rPr>
          <w:t>(二)、生活缴费项目盈利能力分析</w:t>
        </w:r>
        <w:r>
          <w:tab/>
        </w:r>
        <w:r>
          <w:fldChar w:fldCharType="begin"/>
        </w:r>
        <w:r>
          <w:instrText xml:space="preserve"> PAGEREF _Toc8653 \h </w:instrText>
        </w:r>
        <w:r>
          <w:fldChar w:fldCharType="separate"/>
        </w:r>
        <w:r>
          <w:t>31</w:t>
        </w:r>
        <w:r>
          <w:fldChar w:fldCharType="end"/>
        </w:r>
      </w:hyperlink>
    </w:p>
    <w:p>
      <w:pPr>
        <w:pStyle w:val="TOC1"/>
        <w:tabs>
          <w:tab w:val="right" w:leader="dot" w:pos="8306"/>
        </w:tabs>
      </w:pPr>
      <w:hyperlink w:anchor="_Toc17310" w:history="1">
        <w:r>
          <w:rPr>
            <w:rFonts w:ascii="仿宋" w:eastAsia="仿宋" w:hAnsi="仿宋" w:cs="仿宋" w:hint="eastAsia"/>
            <w:lang w:eastAsia="zh-CN"/>
          </w:rPr>
          <w:t>十三、生活缴费项目实施保障措施</w:t>
        </w:r>
        <w:r>
          <w:tab/>
        </w:r>
        <w:r>
          <w:fldChar w:fldCharType="begin"/>
        </w:r>
        <w:r>
          <w:instrText xml:space="preserve"> PAGEREF _Toc17310 \h </w:instrText>
        </w:r>
        <w:r>
          <w:fldChar w:fldCharType="separate"/>
        </w:r>
        <w:r>
          <w:t>32</w:t>
        </w:r>
        <w:r>
          <w:fldChar w:fldCharType="end"/>
        </w:r>
      </w:hyperlink>
    </w:p>
    <w:p>
      <w:pPr>
        <w:pStyle w:val="TOC2"/>
        <w:tabs>
          <w:tab w:val="right" w:leader="dot" w:pos="8306"/>
        </w:tabs>
      </w:pPr>
      <w:hyperlink w:anchor="_Toc9479" w:history="1">
        <w:r>
          <w:rPr>
            <w:rFonts w:ascii="仿宋" w:eastAsia="仿宋" w:hAnsi="仿宋" w:cs="仿宋" w:hint="eastAsia"/>
            <w:lang w:eastAsia="zh-CN"/>
          </w:rPr>
          <w:t>(一)、生活缴费项目实施保障机制</w:t>
        </w:r>
        <w:r>
          <w:tab/>
        </w:r>
        <w:r>
          <w:fldChar w:fldCharType="begin"/>
        </w:r>
        <w:r>
          <w:instrText xml:space="preserve"> PAGEREF _Toc9479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97" w:history="1">
        <w:r>
          <w:rPr>
            <w:rFonts w:ascii="仿宋" w:eastAsia="仿宋" w:hAnsi="仿宋" w:cs="仿宋" w:hint="eastAsia"/>
            <w:lang w:eastAsia="zh-CN"/>
          </w:rPr>
          <w:t>(二)、生活缴费项目法律合规要求</w:t>
        </w:r>
        <w:r>
          <w:tab/>
        </w:r>
        <w:r>
          <w:fldChar w:fldCharType="begin"/>
        </w:r>
        <w:r>
          <w:instrText xml:space="preserve"> PAGEREF _Toc9897 \h </w:instrText>
        </w:r>
        <w:r>
          <w:fldChar w:fldCharType="separate"/>
        </w:r>
        <w:r>
          <w:t>35</w:t>
        </w:r>
        <w:r>
          <w:fldChar w:fldCharType="end"/>
        </w:r>
      </w:hyperlink>
    </w:p>
    <w:p>
      <w:pPr>
        <w:pStyle w:val="TOC2"/>
        <w:tabs>
          <w:tab w:val="right" w:leader="dot" w:pos="8306"/>
        </w:tabs>
      </w:pPr>
      <w:hyperlink w:anchor="_Toc224" w:history="1">
        <w:r>
          <w:rPr>
            <w:rFonts w:ascii="仿宋" w:eastAsia="仿宋" w:hAnsi="仿宋" w:cs="仿宋" w:hint="eastAsia"/>
            <w:lang w:eastAsia="zh-CN"/>
          </w:rPr>
          <w:t>(三)、生活缴费项目合同管理与法律事务</w:t>
        </w:r>
        <w:r>
          <w:tab/>
        </w:r>
        <w:r>
          <w:fldChar w:fldCharType="begin"/>
        </w:r>
        <w:r>
          <w:instrText xml:space="preserve"> PAGEREF _Toc224 \h </w:instrText>
        </w:r>
        <w:r>
          <w:fldChar w:fldCharType="separate"/>
        </w:r>
        <w:r>
          <w:t>39</w:t>
        </w:r>
        <w:r>
          <w:fldChar w:fldCharType="end"/>
        </w:r>
      </w:hyperlink>
    </w:p>
    <w:p>
      <w:pPr>
        <w:pStyle w:val="TOC2"/>
        <w:tabs>
          <w:tab w:val="right" w:leader="dot" w:pos="8306"/>
        </w:tabs>
      </w:pPr>
      <w:hyperlink w:anchor="_Toc8922" w:history="1">
        <w:r>
          <w:rPr>
            <w:rFonts w:ascii="仿宋" w:eastAsia="仿宋" w:hAnsi="仿宋" w:cs="仿宋" w:hint="eastAsia"/>
            <w:lang w:eastAsia="zh-CN"/>
          </w:rPr>
          <w:t>(四)、生活缴费项目知识产权保护策略</w:t>
        </w:r>
        <w:r>
          <w:tab/>
        </w:r>
        <w:r>
          <w:fldChar w:fldCharType="begin"/>
        </w:r>
        <w:r>
          <w:instrText xml:space="preserve"> PAGEREF _Toc8922 \h </w:instrText>
        </w:r>
        <w:r>
          <w:fldChar w:fldCharType="separate"/>
        </w:r>
        <w:r>
          <w:t>46</w:t>
        </w:r>
        <w:r>
          <w:fldChar w:fldCharType="end"/>
        </w:r>
      </w:hyperlink>
    </w:p>
    <w:p>
      <w:pPr>
        <w:pStyle w:val="TOC1"/>
        <w:tabs>
          <w:tab w:val="right" w:leader="dot" w:pos="8306"/>
        </w:tabs>
      </w:pPr>
      <w:hyperlink w:anchor="_Toc316" w:history="1">
        <w:r>
          <w:rPr>
            <w:rFonts w:ascii="仿宋" w:eastAsia="仿宋" w:hAnsi="仿宋" w:cs="仿宋" w:hint="eastAsia"/>
            <w:lang w:eastAsia="zh-CN"/>
          </w:rPr>
          <w:t>十四、供应链管理</w:t>
        </w:r>
        <w:r>
          <w:tab/>
        </w:r>
        <w:r>
          <w:fldChar w:fldCharType="begin"/>
        </w:r>
        <w:r>
          <w:instrText xml:space="preserve"> PAGEREF _Toc316 \h </w:instrText>
        </w:r>
        <w:r>
          <w:fldChar w:fldCharType="separate"/>
        </w:r>
        <w:r>
          <w:t>48</w:t>
        </w:r>
        <w:r>
          <w:fldChar w:fldCharType="end"/>
        </w:r>
      </w:hyperlink>
    </w:p>
    <w:p>
      <w:pPr>
        <w:pStyle w:val="TOC2"/>
        <w:tabs>
          <w:tab w:val="right" w:leader="dot" w:pos="8306"/>
        </w:tabs>
      </w:pPr>
      <w:hyperlink w:anchor="_Toc22165" w:history="1">
        <w:r>
          <w:rPr>
            <w:rFonts w:ascii="仿宋" w:eastAsia="仿宋" w:hAnsi="仿宋" w:cs="仿宋" w:hint="eastAsia"/>
            <w:lang w:eastAsia="zh-CN"/>
          </w:rPr>
          <w:t>(一)、供应链战略规划</w:t>
        </w:r>
        <w:r>
          <w:tab/>
        </w:r>
        <w:r>
          <w:fldChar w:fldCharType="begin"/>
        </w:r>
        <w:r>
          <w:instrText xml:space="preserve"> PAGEREF _Toc22165 \h </w:instrText>
        </w:r>
        <w:r>
          <w:fldChar w:fldCharType="separate"/>
        </w:r>
        <w:r>
          <w:t>48</w:t>
        </w:r>
        <w:r>
          <w:fldChar w:fldCharType="end"/>
        </w:r>
      </w:hyperlink>
    </w:p>
    <w:p>
      <w:pPr>
        <w:pStyle w:val="TOC2"/>
        <w:tabs>
          <w:tab w:val="right" w:leader="dot" w:pos="8306"/>
        </w:tabs>
      </w:pPr>
      <w:hyperlink w:anchor="_Toc3264" w:history="1">
        <w:r>
          <w:rPr>
            <w:rFonts w:ascii="仿宋" w:eastAsia="仿宋" w:hAnsi="仿宋" w:cs="仿宋" w:hint="eastAsia"/>
            <w:lang w:eastAsia="zh-CN"/>
          </w:rPr>
          <w:t>(二)、供应商选择与合作</w:t>
        </w:r>
        <w:r>
          <w:tab/>
        </w:r>
        <w:r>
          <w:fldChar w:fldCharType="begin"/>
        </w:r>
        <w:r>
          <w:instrText xml:space="preserve"> PAGEREF _Toc3264 \h </w:instrText>
        </w:r>
        <w:r>
          <w:fldChar w:fldCharType="separate"/>
        </w:r>
        <w:r>
          <w:t>50</w:t>
        </w:r>
        <w:r>
          <w:fldChar w:fldCharType="end"/>
        </w:r>
      </w:hyperlink>
    </w:p>
    <w:p>
      <w:pPr>
        <w:pStyle w:val="TOC2"/>
        <w:tabs>
          <w:tab w:val="right" w:leader="dot" w:pos="8306"/>
        </w:tabs>
      </w:pPr>
      <w:hyperlink w:anchor="_Toc28814" w:history="1">
        <w:r>
          <w:rPr>
            <w:rFonts w:ascii="仿宋" w:eastAsia="仿宋" w:hAnsi="仿宋" w:cs="仿宋" w:hint="eastAsia"/>
            <w:lang w:eastAsia="zh-CN"/>
          </w:rPr>
          <w:t>(三)、物流与库存管理</w:t>
        </w:r>
        <w:r>
          <w:tab/>
        </w:r>
        <w:r>
          <w:fldChar w:fldCharType="begin"/>
        </w:r>
        <w:r>
          <w:instrText xml:space="preserve"> PAGEREF _Toc28814 \h </w:instrText>
        </w:r>
        <w:r>
          <w:fldChar w:fldCharType="separate"/>
        </w:r>
        <w:r>
          <w:t>51</w:t>
        </w:r>
        <w:r>
          <w:fldChar w:fldCharType="end"/>
        </w:r>
      </w:hyperlink>
    </w:p>
    <w:p>
      <w:pPr>
        <w:pStyle w:val="TOC1"/>
        <w:tabs>
          <w:tab w:val="right" w:leader="dot" w:pos="8306"/>
        </w:tabs>
      </w:pPr>
      <w:hyperlink w:anchor="_Toc30566" w:history="1">
        <w:r>
          <w:rPr>
            <w:rFonts w:ascii="仿宋" w:eastAsia="仿宋" w:hAnsi="仿宋" w:cs="仿宋" w:hint="eastAsia"/>
            <w:lang w:eastAsia="zh-CN"/>
          </w:rPr>
          <w:t>十五、营销与推广策略</w:t>
        </w:r>
        <w:r>
          <w:tab/>
        </w:r>
        <w:r>
          <w:fldChar w:fldCharType="begin"/>
        </w:r>
        <w:r>
          <w:instrText xml:space="preserve"> PAGEREF _Toc30566 \h </w:instrText>
        </w:r>
        <w:r>
          <w:fldChar w:fldCharType="separate"/>
        </w:r>
        <w:r>
          <w:t>52</w:t>
        </w:r>
        <w:r>
          <w:fldChar w:fldCharType="end"/>
        </w:r>
      </w:hyperlink>
    </w:p>
    <w:p>
      <w:pPr>
        <w:pStyle w:val="TOC2"/>
        <w:tabs>
          <w:tab w:val="right" w:leader="dot" w:pos="8306"/>
        </w:tabs>
      </w:pPr>
      <w:hyperlink w:anchor="_Toc15496" w:history="1">
        <w:r>
          <w:rPr>
            <w:rFonts w:ascii="仿宋" w:eastAsia="仿宋" w:hAnsi="仿宋" w:cs="仿宋" w:hint="eastAsia"/>
            <w:lang w:eastAsia="zh-CN"/>
          </w:rPr>
          <w:t>(一)、产品/服务定位与特点</w:t>
        </w:r>
        <w:r>
          <w:tab/>
        </w:r>
        <w:r>
          <w:fldChar w:fldCharType="begin"/>
        </w:r>
        <w:r>
          <w:instrText xml:space="preserve"> PAGEREF _Toc15496 \h </w:instrText>
        </w:r>
        <w:r>
          <w:fldChar w:fldCharType="separate"/>
        </w:r>
        <w:r>
          <w:t>52</w:t>
        </w:r>
        <w:r>
          <w:fldChar w:fldCharType="end"/>
        </w:r>
      </w:hyperlink>
    </w:p>
    <w:p>
      <w:pPr>
        <w:pStyle w:val="TOC2"/>
        <w:tabs>
          <w:tab w:val="right" w:leader="dot" w:pos="8306"/>
        </w:tabs>
      </w:pPr>
      <w:hyperlink w:anchor="_Toc20175" w:history="1">
        <w:r>
          <w:rPr>
            <w:rFonts w:ascii="仿宋" w:eastAsia="仿宋" w:hAnsi="仿宋" w:cs="仿宋" w:hint="eastAsia"/>
            <w:lang w:eastAsia="zh-CN"/>
          </w:rPr>
          <w:t>(二)、市场定位与竞争分析</w:t>
        </w:r>
        <w:r>
          <w:tab/>
        </w:r>
        <w:r>
          <w:fldChar w:fldCharType="begin"/>
        </w:r>
        <w:r>
          <w:instrText xml:space="preserve"> PAGEREF _Toc20175 \h </w:instrText>
        </w:r>
        <w:r>
          <w:fldChar w:fldCharType="separate"/>
        </w:r>
        <w:r>
          <w:t>53</w:t>
        </w:r>
        <w:r>
          <w:fldChar w:fldCharType="end"/>
        </w:r>
      </w:hyperlink>
    </w:p>
    <w:p>
      <w:pPr>
        <w:pStyle w:val="TOC2"/>
        <w:tabs>
          <w:tab w:val="right" w:leader="dot" w:pos="8306"/>
        </w:tabs>
      </w:pPr>
      <w:hyperlink w:anchor="_Toc26341" w:history="1">
        <w:r>
          <w:rPr>
            <w:rFonts w:ascii="仿宋" w:eastAsia="仿宋" w:hAnsi="仿宋" w:cs="仿宋" w:hint="eastAsia"/>
            <w:lang w:eastAsia="zh-CN"/>
          </w:rPr>
          <w:t>(三)、营销渠道与策略</w:t>
        </w:r>
        <w:r>
          <w:tab/>
        </w:r>
        <w:r>
          <w:fldChar w:fldCharType="begin"/>
        </w:r>
        <w:r>
          <w:instrText xml:space="preserve"> PAGEREF _Toc26341 \h </w:instrText>
        </w:r>
        <w:r>
          <w:fldChar w:fldCharType="separate"/>
        </w:r>
        <w:r>
          <w:t>55</w:t>
        </w:r>
        <w:r>
          <w:fldChar w:fldCharType="end"/>
        </w:r>
      </w:hyperlink>
    </w:p>
    <w:p>
      <w:pPr>
        <w:pStyle w:val="TOC2"/>
        <w:tabs>
          <w:tab w:val="right" w:leader="dot" w:pos="8306"/>
        </w:tabs>
      </w:pPr>
      <w:hyperlink w:anchor="_Toc5650" w:history="1">
        <w:r>
          <w:rPr>
            <w:rFonts w:ascii="仿宋" w:eastAsia="仿宋" w:hAnsi="仿宋" w:cs="仿宋" w:hint="eastAsia"/>
            <w:lang w:eastAsia="zh-CN"/>
          </w:rPr>
          <w:t>(四)、推广与宣传活动</w:t>
        </w:r>
        <w:r>
          <w:tab/>
        </w:r>
        <w:r>
          <w:fldChar w:fldCharType="begin"/>
        </w:r>
        <w:r>
          <w:instrText xml:space="preserve"> PAGEREF _Toc5650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615"/>
      <w:r>
        <w:rPr>
          <w:rFonts w:ascii="仿宋" w:eastAsia="仿宋" w:hAnsi="仿宋" w:cs="仿宋" w:hint="eastAsia"/>
          <w:sz w:val="28"/>
          <w:lang w:eastAsia="zh-CN"/>
        </w:rPr>
        <w:t>一、生活缴费项目建设背景及必要性分析</w:t>
      </w:r>
      <w:bookmarkEnd w:id="2"/>
    </w:p>
    <w:p>
      <w:pPr>
        <w:pStyle w:val="Heading2"/>
        <w:rPr>
          <w:rFonts w:ascii="仿宋" w:eastAsia="仿宋" w:hAnsi="仿宋" w:cs="仿宋" w:hint="eastAsia"/>
          <w:lang w:eastAsia="zh-CN"/>
        </w:rPr>
      </w:pPr>
      <w:bookmarkStart w:id="3" w:name="_Toc21022"/>
      <w:r>
        <w:rPr>
          <w:rFonts w:ascii="仿宋" w:eastAsia="仿宋" w:hAnsi="仿宋" w:cs="仿宋" w:hint="eastAsia"/>
          <w:lang w:eastAsia="zh-CN"/>
        </w:rPr>
        <w:t>(一)、生活缴费项目背景分析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活缴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活缴费项目在这个潮流中的定位。同时，我们将关注行业内涌现的新兴机遇，以便生活缴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生活缴费项目提供了强大的发展动力。我们将聚焦于行业内最新的技术发展趋势，包括但不限于人工智能、大数据分析、物联网等领域。通过深度的技术研究，我们将确保生活缴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活缴费项目发展的源泉。我们将投入更多的精力对市场需求进行深入剖析，超越表面的需求，深入挖掘潜在的市场痛点和机遇。通过对市场需求的细致了解，生活缴费项目将更有针对性地设计解决方案，满足市场的多样化需求，从而更好地促进生活缴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活缴费项目战略至关重要。我们将对竞争态势进行更为深入的分析，包括但不限于市场份额、产品特点、客户满意度等多个维度。通过深度的竞争分析，生活缴费项目将能够更准确地把握市场脉搏，制定具有竞争力的生活缴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生活缴费项目的发展具有直接的影响。我们将进行更为全面的法规和政策分析，了解行业发展中的潜在法律风险和合规挑战。通过充分了解和遵守相关法规，生活缴费项目将确保在法律框架内合法合规运营，为生活缴费项目的稳健发展提供有力支持。</w:t>
      </w:r>
    </w:p>
    <w:p>
      <w:pPr>
        <w:pStyle w:val="Heading2"/>
        <w:ind w:firstLine="560" w:firstLineChars="200"/>
        <w:rPr>
          <w:rFonts w:ascii="仿宋" w:eastAsia="仿宋" w:hAnsi="仿宋" w:cs="仿宋" w:hint="eastAsia"/>
          <w:sz w:val="28"/>
          <w:lang w:eastAsia="zh-CN"/>
        </w:rPr>
      </w:pPr>
      <w:bookmarkStart w:id="4" w:name="_Toc928"/>
      <w:r>
        <w:rPr>
          <w:rFonts w:ascii="仿宋" w:eastAsia="仿宋" w:hAnsi="仿宋" w:cs="仿宋" w:hint="eastAsia"/>
          <w:sz w:val="28"/>
          <w:lang w:eastAsia="zh-CN"/>
        </w:rPr>
        <w:t>(二)、生活缴费项目建设必要性分析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建设的迫切性源于对行业发展趋势的深刻洞察。我们正处于一个行业变革的时代，科技创新、数字化转型成为企业发展的关键动力。生活缴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建设不仅仅是为了跟上潮流，更是为了通过技术创新推动企业的持续发展。通过引入先进的技术和解决方案，生活缴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活缴费项目的建设成为必然选择，通过提高产品质量、拓展服务领域，从而在竞争中获得更多的机会。生活缴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生活缴费项目建设的必要性体现在对客户需求更精准的满足。通过生活缴费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建设的背后是对企业持续创新的追求。只有通过不断创新，企业才能在竞争中立于不败之地。生活缴费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592"/>
      <w:r>
        <w:rPr>
          <w:rFonts w:ascii="仿宋" w:eastAsia="仿宋" w:hAnsi="仿宋" w:cs="仿宋" w:hint="eastAsia"/>
          <w:sz w:val="28"/>
          <w:lang w:eastAsia="zh-CN"/>
        </w:rPr>
        <w:t>二、生活缴费项目可持续发展</w:t>
      </w:r>
      <w:bookmarkEnd w:id="5"/>
    </w:p>
    <w:p>
      <w:pPr>
        <w:pStyle w:val="Heading2"/>
        <w:rPr>
          <w:rFonts w:ascii="仿宋" w:eastAsia="仿宋" w:hAnsi="仿宋" w:cs="仿宋" w:hint="eastAsia"/>
          <w:lang w:eastAsia="zh-CN"/>
        </w:rPr>
      </w:pPr>
      <w:bookmarkStart w:id="6" w:name="_Toc3048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缴费项目中，生活缴费项目团队着眼于未来，明确了可持续发展的战略方向。制定的具体可持续发展目标包括降低资源使用、采用环保技术、最大化社会效益等。这一步骤不仅有助于生活缴费项目在环保和社会责任方面达到最高标准，也为未来提供了明确的指引，确保生活缴费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可持续实践的融入生活缴费项目管理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可持续实践已经贯穿于整个生活缴费项目管理周期。从生活缴费项目规划开始，生活缴费项目团队就考虑了环境和社会的因素。在执行阶段，生活缴费项目团队积极推动绿色技术的应用，优化资源利用。此外，关注员工的社会责任，通过培训和沟通活动提高员工对可持续发展的认知，使他们能够在日常工作中践行可持续实践。这些举措不仅为生活缴费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665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扎根于生活缴费项目的可持续发展理念，我们深信环保与社会责任是生活缴费项目成功的关键支柱。在生活缴费项目的每一步，我们都致力于通过创新和实践，履行对环境和社会的坚定责任。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团队通过引入先进的环保技术、建立高效的废物处理系统以及推动能源节约措施，积极履行环保责任。定期的环保监测和评估确保生活缴费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不仅致力于自身可持续发展，还注重对社会的回馈。通过支持社区生活缴费项目、参与慈善事业、提供培训机会等方式，生活缴费项目积极履行社会责任。与当地社区建立积极互动，关注员工的工作与生活平衡，以及员工的身心健康，是生活缴费项目在社会责任层面的关键举措。这样的实践不仅增强了生活缴费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05"/>
      <w:r>
        <w:rPr>
          <w:rFonts w:ascii="仿宋" w:eastAsia="仿宋" w:hAnsi="仿宋" w:cs="仿宋" w:hint="eastAsia"/>
          <w:sz w:val="28"/>
          <w:lang w:eastAsia="zh-CN"/>
        </w:rPr>
        <w:t>三、生活缴费项目建设单位说明</w:t>
      </w:r>
      <w:bookmarkEnd w:id="8"/>
    </w:p>
    <w:p>
      <w:pPr>
        <w:pStyle w:val="Heading2"/>
        <w:rPr>
          <w:rFonts w:ascii="仿宋" w:eastAsia="仿宋" w:hAnsi="仿宋" w:cs="仿宋" w:hint="eastAsia"/>
          <w:lang w:eastAsia="zh-CN"/>
        </w:rPr>
      </w:pPr>
      <w:bookmarkStart w:id="9" w:name="_Toc20648"/>
      <w:r>
        <w:rPr>
          <w:rFonts w:ascii="仿宋" w:eastAsia="仿宋" w:hAnsi="仿宋" w:cs="仿宋" w:hint="eastAsia"/>
          <w:lang w:eastAsia="zh-CN"/>
        </w:rPr>
        <w:t>(一)、生活缴费项目承办单位基本情况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3503"/>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生活缴费项目承办单位的XXXX，我们着眼于实现可持续的经济效益。通过技术创新和解决方案的提供，公司预计在生活缴费项目执行期间将获得可观的收入增长。这一收入来源主要包括生活缴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同时，我们注重成本控制和效率提升，以确保生活缴费项目的可持续盈利。透过精细的管理和资源优化，公司期望实现生活缴费项目利润最大化。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生活缴费项目实施进行全面的投资评估，包括生活缴费项目启动阶段的资金投入和后续运营成本。通过对生活缴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生活缴费项目实施过程中具备足够的资金流动性，公司将进行详尽的现金流分析。这包括资金需求的合理预测、生活缴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7055"/>
      <w:r>
        <w:rPr>
          <w:rFonts w:ascii="仿宋" w:eastAsia="仿宋" w:hAnsi="仿宋" w:cs="仿宋" w:hint="eastAsia"/>
          <w:sz w:val="28"/>
          <w:lang w:eastAsia="zh-CN"/>
        </w:rPr>
        <w:t>四、生活缴费项目绩效评估</w:t>
      </w:r>
      <w:bookmarkEnd w:id="11"/>
    </w:p>
    <w:p>
      <w:pPr>
        <w:pStyle w:val="Heading2"/>
        <w:rPr>
          <w:rFonts w:ascii="仿宋" w:eastAsia="仿宋" w:hAnsi="仿宋" w:cs="仿宋" w:hint="eastAsia"/>
          <w:lang w:eastAsia="zh-CN"/>
        </w:rPr>
      </w:pPr>
      <w:bookmarkStart w:id="12" w:name="_Toc23857"/>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生活缴费项目中，我们设计了一套全面的绩效评估指标，以确保生活缴费项目的可控和成功交付。这些指标跨足生活缴费项目目标、成本、进度和质量等多个维度，为我们提供了全面洞察生活缴费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目标达成率是我们关注的首要指标。我们设定了明确的目标，并通过定期监测和评估，迅速发现并应对潜在的目标偏差。这为生活缴费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成本绩效是另一个核心关注点。通过实际成本与预算成本的对比分析，我们深入了解成本差异的原因，及时调整资源分配，保持生活缴费项目在经济效益方面的合理水平。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进度作为关键的绩效指标之一，得到了精心的关注。我们制定了详细的生活缴费项目进度计划，并设立了进度符合度指标，确保实际进度与计划进度保持一致。这使我们能够快速发现和解决潜在的进度问题，保持生活缴费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生活缴费项目绩效的不可或缺的一环。我们引入了一系列的质量标准和客户满意度指标，以确保生活缴费项目交付的成果在质量上达到或超越预期水平。通过持续监测这些指标，我们努力提升生活缴费项目整体质量水平，为生活缴费项目的成功交付提供有力保障。通过这些科学且全面的绩效评估，我们能够更好地引导生活缴费项目的持续改进，确保生活缴费项目目标的顺利达成。</w:t>
      </w:r>
    </w:p>
    <w:p>
      <w:pPr>
        <w:pStyle w:val="Heading2"/>
        <w:ind w:firstLine="560" w:firstLineChars="200"/>
        <w:rPr>
          <w:rFonts w:ascii="仿宋" w:eastAsia="仿宋" w:hAnsi="仿宋" w:cs="仿宋" w:hint="eastAsia"/>
          <w:sz w:val="28"/>
          <w:lang w:eastAsia="zh-CN"/>
        </w:rPr>
      </w:pPr>
      <w:bookmarkStart w:id="13" w:name="_Toc27110"/>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绩效评估是生活缴费项目中的关键环节，为确保生活缴费项目达到预期目标，我们采用了多层次、多维度的绩效评估方法。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生活缴费项目的战略目标对齐，确保每个决策和行动都与生活缴费项目整体目标保持一致。团队会定期召开战略对齐会议，审视当前工作与生活缴费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生活缴费项目进度、质量、成本和风险等方面。这些指标通过数据收集和分析，为生活缴费项目管理团队提供了客观的评估依据。例如，我们通过生活缴费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绩效评估不仅仅停留在生活缴费项目内部，还考虑了生活缴费项目对外部环境的影响。我们定期进行干系人满意度调查，以了解各利益相关方对生活缴费项目的期望和满意度，并及时做出调整。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这种多层次、多角度的绩效评估方法，使得我们能够全面了解生活缴费项目的运行状态，及时做出调整，确保生活缴费项目在不断变化的环境中保持稳健前行。</w:t>
      </w:r>
    </w:p>
    <w:p>
      <w:pPr>
        <w:pStyle w:val="Heading2"/>
        <w:ind w:firstLine="560" w:firstLineChars="200"/>
        <w:rPr>
          <w:rFonts w:ascii="仿宋" w:eastAsia="仿宋" w:hAnsi="仿宋" w:cs="仿宋" w:hint="eastAsia"/>
          <w:sz w:val="28"/>
          <w:lang w:eastAsia="zh-CN"/>
        </w:rPr>
      </w:pPr>
      <w:bookmarkStart w:id="14" w:name="_Toc29576"/>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为了确保生活缴费项目的有效管理和不断优化，我们采用了精心设计的绩效评估周期。这个周期旨在实现灵活、实时和全面的评估，以适应生活缴费项目执行中的各种挑战。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的设计考虑到生活缴费项目的不同需求，分为短期、中期和长期。短期评估关注每个迭代或工作周期，以及时发现和解决当前任务中的问题。中期评估涵盖几个迭代，深入了解整体生活缴费项目的趋势和性能。长期评估则着眼于整个生活缴费项目阶段，确保生活缴费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生活缴费项目管理工具和协作平台，团队成员能够随时更新和分享生活缴费项目数据。这种实时性的反馈机制使我们能够及时察觉潜在问题，快速调整，保持生活缴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生活缴费项目的决策制定密不可分。每个周期的生活缴费项目回顾会议成为集体总结经验、识别问题深层次原因并找到创新解决方案的平台。这种定期的反思与调整机制使生活缴费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2289"/>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1538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生活缴费项目的主要产品是XXXX，预计年产值为XXX万元。这一产品在市场中占据着重要的地位，其广泛的应用范围使得该生活缴费项目的市场前景非常广阔。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生活缴费项目的xxx产品作为重要的原材料之一，将在多个领域发挥关键作用。其在建筑、交通、能源等方面的广泛应用将为整个产业链提供强大的支持，形成产业协同效应。生活缴费项目的年产值XXX万XXX万XXX万万元不仅反映了其在市场上的巨大潜力，更预示着它对国民经济的积极贡献。这种关联度高、涉及面广的产业关系，使得该生活缴费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7475"/>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总征地面积为XXXX平方米，相当于约XX.XX亩，其中净用地面积为XXXX平方米，红线范围内相当于约XX.XX亩。这一用地规模充分考虑了生活缴费项目的建设需求，保障了生活缴费项目在合适的空间内得以充分发展。生活缴费项目规划的总建筑面积为XXXX平方米，其中主体工程建设占XXXX平方米，计容建筑面积达XXXX平方米。预计建筑工程的投资将达到XXXX万元，为生活缴费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计划购置的设备共计XXXX台（套），设备购置费用为XXXX万元。这一设备购置计划充分考虑到生活缴费项目的生产需求和技术要求，确保了生活缴费项目在生产运营中具备先进的技术装备和高效的生产能力。设备的合理配置将为生活缴费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计划总投资为XXXX万元，预计年实现营业收入为XXXX万元。这一产能规模的设定旨在确保生活缴费项目能够在投资与回报之间取得平衡，实现长期可持续的发展。生活缴费项目的总投资充分考虑到各个方面的需求，包括用地建设、设备购置等多个环节，以确保生活缴费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3340"/>
      <w:r>
        <w:rPr>
          <w:rFonts w:ascii="仿宋" w:eastAsia="仿宋" w:hAnsi="仿宋" w:cs="仿宋" w:hint="eastAsia"/>
          <w:sz w:val="28"/>
          <w:lang w:eastAsia="zh-CN"/>
        </w:rPr>
        <w:t>六、市场分析、调研</w:t>
      </w:r>
      <w:bookmarkEnd w:id="18"/>
    </w:p>
    <w:p>
      <w:pPr>
        <w:pStyle w:val="Heading2"/>
        <w:rPr>
          <w:rFonts w:ascii="仿宋" w:eastAsia="仿宋" w:hAnsi="仿宋" w:cs="仿宋" w:hint="eastAsia"/>
          <w:lang w:eastAsia="zh-CN"/>
        </w:rPr>
      </w:pPr>
      <w:bookmarkStart w:id="19" w:name="_Toc2471"/>
      <w:r>
        <w:rPr>
          <w:rFonts w:ascii="仿宋" w:eastAsia="仿宋" w:hAnsi="仿宋" w:cs="仿宋" w:hint="eastAsia"/>
          <w:lang w:eastAsia="zh-CN"/>
        </w:rPr>
        <w:t>(一)、生活缴费行业分析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行业一直以来都是市场的关注焦点。行业内的发展趋势、竞争态势以及潜在机会都对生活缴费项目的推进产生深远的影响。通过深入研究行业的整体概貌，我们将更好地理解行业的核心特征，为生活缴费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缴费行业，技术一直是推动创新和发展的关键因素。我们将对当前技术趋势进行详尽分析，包括但不限于人工智能、大数据应用、先进制造技术等。这有助于生活缴费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生活缴费项目成功的基础。我们将对主要竞争对手进行深入研究，包括其市场份额、产品特点、市场定位等。通过全面了解竞争对手的优势和劣势，生活缴费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24594"/>
      <w:r>
        <w:rPr>
          <w:rFonts w:ascii="仿宋" w:eastAsia="仿宋" w:hAnsi="仿宋" w:cs="仿宋" w:hint="eastAsia"/>
          <w:sz w:val="28"/>
          <w:lang w:eastAsia="zh-CN"/>
        </w:rPr>
        <w:t>(二)、生活缴费市场分析预测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通过对市场规模的深入调研，我们将预测生活缴费市场未来的增长趋势。这包括市场的整体规模、各细分领域的发展趋势等。生活缴费项目可以根据市场的扩张速度和潜在机会，制定更符合市场需求的发展策略。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生活缴费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风险是生活缴费项目实施过程中需要充分考虑的因素。我们将对市场风险进行全面评估，包括但不限于政策法规风险、市场竞争风险、技术变革风险等。通过对潜在风险的深入分析，生活缴费项目可以制定相应的风险缓解策略，降低不确定性对生活缴费项目的影响。</w:t>
      </w:r>
    </w:p>
    <w:p>
      <w:pPr>
        <w:pStyle w:val="Heading1"/>
        <w:ind w:firstLine="560" w:firstLineChars="200"/>
        <w:rPr>
          <w:rFonts w:ascii="仿宋" w:eastAsia="仿宋" w:hAnsi="仿宋" w:cs="仿宋" w:hint="eastAsia"/>
          <w:sz w:val="28"/>
          <w:lang w:eastAsia="zh-CN"/>
        </w:rPr>
      </w:pPr>
      <w:bookmarkStart w:id="21" w:name="_Toc25449"/>
      <w:r>
        <w:rPr>
          <w:rFonts w:ascii="仿宋" w:eastAsia="仿宋" w:hAnsi="仿宋" w:cs="仿宋" w:hint="eastAsia"/>
          <w:sz w:val="28"/>
          <w:lang w:eastAsia="zh-CN"/>
        </w:rPr>
        <w:t>七、生活缴费项目投资规划</w:t>
      </w:r>
      <w:bookmarkEnd w:id="21"/>
    </w:p>
    <w:p>
      <w:pPr>
        <w:pStyle w:val="Heading2"/>
        <w:rPr>
          <w:rFonts w:ascii="仿宋" w:eastAsia="仿宋" w:hAnsi="仿宋" w:cs="仿宋" w:hint="eastAsia"/>
          <w:lang w:eastAsia="zh-CN"/>
        </w:rPr>
      </w:pPr>
      <w:bookmarkStart w:id="22" w:name="_Toc269"/>
      <w:r>
        <w:rPr>
          <w:rFonts w:ascii="仿宋" w:eastAsia="仿宋" w:hAnsi="仿宋" w:cs="仿宋" w:hint="eastAsia"/>
          <w:lang w:eastAsia="zh-CN"/>
        </w:rPr>
        <w:t>(一)、生活缴费项目总投资估算</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固定资产投资估算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的固定资产投资估算为XX万元。这一部分主要包括建筑工程投资、设备购置费以及其他相关固定资产支出。具体而言，建筑工程投资占据了总固定资产投资的XX%，达到XX万元；设备购置费为XX万元，占据XX%；其他投资为XX万元，占据XX%。这些投资将有助于生活缴费项目的基础设施建设和固定资产的获取，为生活缴费项目的长期稳定运行奠定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流动资金投资估算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预计达产年需用流动资金XX万元。这部分资金将主要用于生活缴费项目日常运营，包括原材料采购、员工工资支出、市场推广以及其他运营性支出。充足的流动资金将确保生活缴费项目在生产运营中不会因资金周转问题而受阻，从而提高生活缴费项目的整体运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总投资及其构成分析：生活缴费项目总投资为XX万元，其中固定资产投资占据了XX%的比例，流动资金则占据了XX%。这反映了生活缴费项目在建设和运营阶段的资金分布情况，为整体资金筹备提供了清晰的指导。</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https://d.book118.com/508077061111006044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713475"/>
    <w:rsid w:val="577134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07706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2024-03-02T22:49:00Z</dcterms:created>
  <dcterms:modified xsi:type="dcterms:W3CDTF">2024-03-02T22:49:56Z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3EA7E4780AFA4BB299820A74135F6529_11</vt:lpwstr>
  </property>
  <property fmtid="{D5CDD505-2E9C-101B-9397-08002B2CF9AE}" pid="3" name="KSOProductBuildVer">
    <vt:lpwstr>2052-12.1.0.16388</vt:lpwstr>
  </property>
</Properties>
</file>