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2024年医疗器械安全及使用等知识</w:t>
      </w:r>
      <w:r>
        <w:rPr>
          <w:rFonts w:ascii="宋体" w:eastAsia="宋体" w:hAnsi="宋体" w:hint="eastAsia"/>
          <w:sz w:val="24"/>
          <w:szCs w:val="24"/>
        </w:rPr>
        <w:t>试题与答案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一、</w:t>
      </w:r>
      <w:r>
        <w:rPr>
          <w:rFonts w:ascii="宋体" w:eastAsia="宋体" w:hAnsi="宋体"/>
          <w:sz w:val="24"/>
          <w:szCs w:val="24"/>
        </w:rPr>
        <w:t>选择题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1、在对医疗器械经营许可进行审查时,食品药品监督管</w:t>
      </w:r>
      <w:r>
        <w:rPr>
          <w:rFonts w:ascii="宋体" w:eastAsia="宋体" w:hAnsi="宋体" w:hint="eastAsia"/>
          <w:sz w:val="24"/>
          <w:szCs w:val="24"/>
        </w:rPr>
        <w:t>理部门认为涉及</w:t>
      </w:r>
      <w:r>
        <w:rPr>
          <w:rFonts w:ascii="宋体" w:eastAsia="宋体" w:hAnsi="宋体"/>
          <w:sz w:val="24"/>
          <w:szCs w:val="24"/>
        </w:rPr>
        <w:t>()的,应当向社会公告,并举行听证。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A、商业利益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B、公共利益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C、经济利益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D、企业利益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2、第()类医疗器械实行备案管理。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B、二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D、以上全部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3、企业委托其他医疗器械生产经营企业提供贮存、配</w:t>
      </w:r>
      <w:r>
        <w:rPr>
          <w:rFonts w:ascii="宋体" w:eastAsia="宋体" w:hAnsi="宋体" w:hint="eastAsia"/>
          <w:sz w:val="24"/>
          <w:szCs w:val="24"/>
        </w:rPr>
        <w:t>送服务的医疗器械经营企业进行收货和验收时</w:t>
      </w:r>
      <w:r>
        <w:rPr>
          <w:rFonts w:ascii="宋体" w:eastAsia="宋体" w:hAnsi="宋体"/>
          <w:sz w:val="24"/>
          <w:szCs w:val="24"/>
        </w:rPr>
        <w:t>,()承担质量</w:t>
      </w:r>
      <w:r>
        <w:rPr>
          <w:rFonts w:ascii="宋体" w:eastAsia="宋体" w:hAnsi="宋体" w:hint="eastAsia"/>
          <w:sz w:val="24"/>
          <w:szCs w:val="24"/>
        </w:rPr>
        <w:t>管理责任。</w:t>
      </w:r>
      <w:r>
        <w:rPr>
          <w:rFonts w:ascii="宋体" w:eastAsia="宋体" w:hAnsi="宋体"/>
          <w:sz w:val="24"/>
          <w:szCs w:val="24"/>
        </w:rPr>
        <w:t>()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A、委托方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B、委托和受委托方共同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C、受委托方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D、监管机构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4、医疗器械注册证遗失的,注册人应当立即在原发证机</w:t>
      </w:r>
      <w:r>
        <w:rPr>
          <w:rFonts w:ascii="宋体" w:eastAsia="宋体" w:hAnsi="宋体" w:hint="eastAsia"/>
          <w:sz w:val="24"/>
          <w:szCs w:val="24"/>
        </w:rPr>
        <w:t>关指定的媒体上登载遗失声明。</w:t>
      </w:r>
      <w:r>
        <w:rPr>
          <w:rFonts w:ascii="宋体" w:eastAsia="宋体" w:hAnsi="宋体"/>
          <w:sz w:val="24"/>
          <w:szCs w:val="24"/>
        </w:rPr>
        <w:t>自登载遗失声明之日起满()</w:t>
      </w:r>
      <w:r>
        <w:rPr>
          <w:rFonts w:ascii="宋体" w:eastAsia="宋体" w:hAnsi="宋体" w:hint="eastAsia"/>
          <w:sz w:val="24"/>
          <w:szCs w:val="24"/>
        </w:rPr>
        <w:t>个月</w:t>
      </w:r>
      <w:r>
        <w:rPr>
          <w:rFonts w:ascii="宋体" w:eastAsia="宋体" w:hAnsi="宋体"/>
          <w:sz w:val="24"/>
          <w:szCs w:val="24"/>
        </w:rPr>
        <w:t>后,向原发证机关申请补发。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A、4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B、1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C、3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D、2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5、医疗器械的生产条件发生变化,不再符合医疗器械质</w:t>
      </w:r>
      <w:r>
        <w:rPr>
          <w:rFonts w:ascii="宋体" w:eastAsia="宋体" w:hAnsi="宋体" w:hint="eastAsia"/>
          <w:sz w:val="24"/>
          <w:szCs w:val="24"/>
        </w:rPr>
        <w:t>量管理体系要求的</w:t>
      </w:r>
      <w:r>
        <w:rPr>
          <w:rFonts w:ascii="宋体" w:eastAsia="宋体" w:hAnsi="宋体"/>
          <w:sz w:val="24"/>
          <w:szCs w:val="24"/>
        </w:rPr>
        <w:t>,医疗器械注册人、备案人、受托生产企</w:t>
      </w:r>
      <w:r>
        <w:rPr>
          <w:rFonts w:ascii="宋体" w:eastAsia="宋体" w:hAnsi="宋体" w:hint="eastAsia"/>
          <w:sz w:val="24"/>
          <w:szCs w:val="24"/>
        </w:rPr>
        <w:t>业应当</w:t>
      </w:r>
      <w:r>
        <w:rPr>
          <w:rFonts w:ascii="宋体" w:eastAsia="宋体" w:hAnsi="宋体"/>
          <w:sz w:val="24"/>
          <w:szCs w:val="24"/>
        </w:rPr>
        <w:t>()。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A、立即停止生产活动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B、立即采取整改措施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C、向所在地县级人民政府药品监管部门报告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D、不影响医疗器械安全、有效的,无需采取措施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6、对国内尚无同品种产品上市的体外诊断试剂,符合条</w:t>
      </w:r>
      <w:r>
        <w:rPr>
          <w:rFonts w:ascii="宋体" w:eastAsia="宋体" w:hAnsi="宋体" w:hint="eastAsia"/>
          <w:sz w:val="24"/>
          <w:szCs w:val="24"/>
        </w:rPr>
        <w:t>件的医疗机构根据本单位的临床需要</w:t>
      </w:r>
      <w:r>
        <w:rPr>
          <w:rFonts w:ascii="宋体" w:eastAsia="宋体" w:hAnsi="宋体"/>
          <w:sz w:val="24"/>
          <w:szCs w:val="24"/>
        </w:rPr>
        <w:t>,可以自行(),在执业</w:t>
      </w:r>
      <w:r>
        <w:rPr>
          <w:rFonts w:ascii="宋体" w:eastAsia="宋体" w:hAnsi="宋体" w:hint="eastAsia"/>
          <w:sz w:val="24"/>
          <w:szCs w:val="24"/>
        </w:rPr>
        <w:t>医师指导下在本单位内使用。</w:t>
      </w:r>
      <w:r>
        <w:rPr>
          <w:rFonts w:ascii="宋体" w:eastAsia="宋体" w:hAnsi="宋体"/>
          <w:sz w:val="24"/>
          <w:szCs w:val="24"/>
        </w:rPr>
        <w:t>具体管理办法由国务院药品监</w:t>
      </w:r>
      <w:r>
        <w:rPr>
          <w:rFonts w:ascii="宋体" w:eastAsia="宋体" w:hAnsi="宋体" w:hint="eastAsia"/>
          <w:sz w:val="24"/>
          <w:szCs w:val="24"/>
        </w:rPr>
        <w:t>督管理部门会同国务院卫生主管部门制定。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A、转让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B、销毁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C、研制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D、进口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7、按照《医疗器械分类规则》第三条的规定:借助手术</w:t>
      </w:r>
      <w:r>
        <w:rPr>
          <w:rFonts w:ascii="宋体" w:eastAsia="宋体" w:hAnsi="宋体" w:hint="eastAsia"/>
          <w:sz w:val="24"/>
          <w:szCs w:val="24"/>
        </w:rPr>
        <w:t>全部或者部分通过体表侵入人体</w:t>
      </w:r>
      <w:r>
        <w:rPr>
          <w:rFonts w:ascii="宋体" w:eastAsia="宋体" w:hAnsi="宋体"/>
          <w:sz w:val="24"/>
          <w:szCs w:val="24"/>
        </w:rPr>
        <w:t>,接触体内组织、血液循环</w:t>
      </w:r>
      <w:r>
        <w:rPr>
          <w:rFonts w:ascii="宋体" w:eastAsia="宋体" w:hAnsi="宋体" w:hint="eastAsia"/>
          <w:sz w:val="24"/>
          <w:szCs w:val="24"/>
        </w:rPr>
        <w:t>系统、</w:t>
      </w:r>
      <w:r>
        <w:rPr>
          <w:rFonts w:ascii="宋体" w:eastAsia="宋体" w:hAnsi="宋体"/>
          <w:sz w:val="24"/>
          <w:szCs w:val="24"/>
        </w:rPr>
        <w:t>中枢神经系统等部位的医疗器械,包括介入手术中使</w:t>
      </w:r>
      <w:r>
        <w:rPr>
          <w:rFonts w:ascii="宋体" w:eastAsia="宋体" w:hAnsi="宋体" w:hint="eastAsia"/>
          <w:sz w:val="24"/>
          <w:szCs w:val="24"/>
        </w:rPr>
        <w:t>用的器材、</w:t>
      </w:r>
      <w:r>
        <w:rPr>
          <w:rFonts w:ascii="宋体" w:eastAsia="宋体" w:hAnsi="宋体"/>
          <w:sz w:val="24"/>
          <w:szCs w:val="24"/>
        </w:rPr>
        <w:t>一次性使用无菌手术器械和暂时或短期留在人体</w:t>
      </w:r>
      <w:r>
        <w:rPr>
          <w:rFonts w:ascii="宋体" w:eastAsia="宋体" w:hAnsi="宋体" w:hint="eastAsia"/>
          <w:sz w:val="24"/>
          <w:szCs w:val="24"/>
        </w:rPr>
        <w:t>内的器械等</w:t>
      </w:r>
      <w:r>
        <w:rPr>
          <w:rFonts w:ascii="宋体" w:eastAsia="宋体" w:hAnsi="宋体"/>
          <w:sz w:val="24"/>
          <w:szCs w:val="24"/>
        </w:rPr>
        <w:t>,被称为()。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A、非接触人体器械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B、侵入器械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C、接触人体器械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D、植入器械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8、从事医疗器械网络销售的企业,应当在其主页面显著</w:t>
      </w:r>
      <w:r>
        <w:rPr>
          <w:rFonts w:ascii="宋体" w:eastAsia="宋体" w:hAnsi="宋体" w:hint="eastAsia"/>
          <w:sz w:val="24"/>
          <w:szCs w:val="24"/>
        </w:rPr>
        <w:t>位置展示其医疗器械生产经营许可证件或者备案凭证</w:t>
      </w:r>
      <w:r>
        <w:rPr>
          <w:rFonts w:ascii="宋体" w:eastAsia="宋体" w:hAnsi="宋体"/>
          <w:sz w:val="24"/>
          <w:szCs w:val="24"/>
        </w:rPr>
        <w:t>,产品</w:t>
      </w:r>
      <w:r>
        <w:rPr>
          <w:rFonts w:ascii="宋体" w:eastAsia="宋体" w:hAnsi="宋体" w:hint="eastAsia"/>
          <w:sz w:val="24"/>
          <w:szCs w:val="24"/>
        </w:rPr>
        <w:t>页面应当展示该产品的医疗器械注册证或者备案凭证。</w:t>
      </w:r>
      <w:r>
        <w:rPr>
          <w:rFonts w:ascii="宋体" w:eastAsia="宋体" w:hAnsi="宋体"/>
          <w:sz w:val="24"/>
          <w:szCs w:val="24"/>
        </w:rPr>
        <w:t>相关</w:t>
      </w:r>
      <w:r>
        <w:rPr>
          <w:rFonts w:ascii="宋体" w:eastAsia="宋体" w:hAnsi="宋体" w:hint="eastAsia"/>
          <w:sz w:val="24"/>
          <w:szCs w:val="24"/>
        </w:rPr>
        <w:t>展示信息应当画面清晰</w:t>
      </w:r>
      <w:r>
        <w:rPr>
          <w:rFonts w:ascii="宋体" w:eastAsia="宋体" w:hAnsi="宋体"/>
          <w:sz w:val="24"/>
          <w:szCs w:val="24"/>
        </w:rPr>
        <w:t>,容易辨识。其中,医疗器械生产经营</w:t>
      </w:r>
      <w:r>
        <w:rPr>
          <w:rFonts w:ascii="宋体" w:eastAsia="宋体" w:hAnsi="宋体" w:hint="eastAsia"/>
          <w:sz w:val="24"/>
          <w:szCs w:val="24"/>
        </w:rPr>
        <w:t>许可证件或者备案凭证、</w:t>
      </w:r>
      <w:r>
        <w:rPr>
          <w:rFonts w:ascii="宋体" w:eastAsia="宋体" w:hAnsi="宋体"/>
          <w:sz w:val="24"/>
          <w:szCs w:val="24"/>
        </w:rPr>
        <w:t>医疗器械注册证或者备案凭证的编</w:t>
      </w:r>
      <w:r>
        <w:rPr>
          <w:rFonts w:ascii="宋体" w:eastAsia="宋体" w:hAnsi="宋体" w:hint="eastAsia"/>
          <w:sz w:val="24"/>
          <w:szCs w:val="24"/>
        </w:rPr>
        <w:t>号还应当以</w:t>
      </w:r>
      <w:r>
        <w:rPr>
          <w:rFonts w:ascii="宋体" w:eastAsia="宋体" w:hAnsi="宋体"/>
          <w:sz w:val="24"/>
          <w:szCs w:val="24"/>
        </w:rPr>
        <w:t>()形式展示。相关信息发生变更的,应当及时更</w:t>
      </w:r>
      <w:r>
        <w:rPr>
          <w:rFonts w:ascii="宋体" w:eastAsia="宋体" w:hAnsi="宋体" w:hint="eastAsia"/>
          <w:sz w:val="24"/>
          <w:szCs w:val="24"/>
        </w:rPr>
        <w:t>新展示内容。</w:t>
      </w:r>
      <w:r>
        <w:rPr>
          <w:rFonts w:ascii="宋体" w:eastAsia="宋体" w:hAnsi="宋体"/>
          <w:sz w:val="24"/>
          <w:szCs w:val="24"/>
        </w:rPr>
        <w:t>()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A、数据连接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B、复印件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C、照片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D、文本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9、按照《医疗器械分类规则》第三条规定:医疗器械预</w:t>
      </w:r>
      <w:r>
        <w:rPr>
          <w:rFonts w:ascii="宋体" w:eastAsia="宋体" w:hAnsi="宋体" w:hint="eastAsia"/>
          <w:sz w:val="24"/>
          <w:szCs w:val="24"/>
        </w:rPr>
        <w:t>期的连续使用时间在</w:t>
      </w:r>
      <w:r>
        <w:rPr>
          <w:rFonts w:ascii="宋体" w:eastAsia="宋体" w:hAnsi="宋体"/>
          <w:sz w:val="24"/>
          <w:szCs w:val="24"/>
        </w:rPr>
        <w:t>30日(含)以上的属于()医疗器械。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A、长期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B、短期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C、连续使用时间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D、暂时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10、植入类医疗器械进货查验记录和销售记录应当()。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A、不得少于5年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B、长期保存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C、永久保存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D、有效期后2年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11、按照《医疗器械注册管理办法》第三十六条规定,</w:t>
      </w:r>
      <w:r>
        <w:rPr>
          <w:rFonts w:ascii="宋体" w:eastAsia="宋体" w:hAnsi="宋体" w:hint="eastAsia"/>
          <w:sz w:val="24"/>
          <w:szCs w:val="24"/>
        </w:rPr>
        <w:t>受理注册申请的食品药品监督管理部门应当在技术审评结束后</w:t>
      </w:r>
      <w:r>
        <w:rPr>
          <w:rFonts w:ascii="宋体" w:eastAsia="宋体" w:hAnsi="宋体"/>
          <w:sz w:val="24"/>
          <w:szCs w:val="24"/>
        </w:rPr>
        <w:t>()个工作日内作出决定。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A、20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B、40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C、10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D、30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12、存在缺陷的医疗器械产品包括:()。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A、正常使用情况下存在可能危及人体健康和生命安全</w:t>
      </w:r>
      <w:r>
        <w:rPr>
          <w:rFonts w:ascii="宋体" w:eastAsia="宋体" w:hAnsi="宋体" w:hint="eastAsia"/>
          <w:sz w:val="24"/>
          <w:szCs w:val="24"/>
        </w:rPr>
        <w:t>的不合理风险的产品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B、不符合强制性标准、经注册或者备案的产品技术要</w:t>
      </w:r>
      <w:r>
        <w:rPr>
          <w:rFonts w:ascii="宋体" w:eastAsia="宋体" w:hAnsi="宋体" w:hint="eastAsia"/>
          <w:sz w:val="24"/>
          <w:szCs w:val="24"/>
        </w:rPr>
        <w:t>求的产品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C、不符合医疗器械生产、经营质量管理有关规定导致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可能存在不合理风险的产品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D、以上都是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13、医疗器械生产企业应当加强采购管理,建立()审核</w:t>
      </w:r>
      <w:r>
        <w:rPr>
          <w:rFonts w:ascii="宋体" w:eastAsia="宋体" w:hAnsi="宋体" w:hint="eastAsia"/>
          <w:sz w:val="24"/>
          <w:szCs w:val="24"/>
        </w:rPr>
        <w:t>制度</w:t>
      </w:r>
      <w:r>
        <w:rPr>
          <w:rFonts w:ascii="宋体" w:eastAsia="宋体" w:hAnsi="宋体"/>
          <w:sz w:val="24"/>
          <w:szCs w:val="24"/>
        </w:rPr>
        <w:t>,对供应商进行评价,确保采购产品符合法定要求。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A、客户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B、物料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C、供应商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D、销售商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14、受理注册申请的食品药品监督管理部门应当自受理</w:t>
      </w:r>
      <w:r>
        <w:rPr>
          <w:rFonts w:ascii="宋体" w:eastAsia="宋体" w:hAnsi="宋体" w:hint="eastAsia"/>
          <w:sz w:val="24"/>
          <w:szCs w:val="24"/>
        </w:rPr>
        <w:t>之日起</w:t>
      </w:r>
      <w:r>
        <w:rPr>
          <w:rFonts w:ascii="宋体" w:eastAsia="宋体" w:hAnsi="宋体"/>
          <w:sz w:val="24"/>
          <w:szCs w:val="24"/>
        </w:rPr>
        <w:t>()工作日内将申报资料转交技术审评机构。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A、5个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B、9个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C、7个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D、3个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15、按照JJF1001-1998《通用计量术语及定义》，测量</w:t>
      </w:r>
      <w:r>
        <w:rPr>
          <w:rFonts w:ascii="宋体" w:eastAsia="宋体" w:hAnsi="宋体" w:hint="eastAsia"/>
          <w:sz w:val="24"/>
          <w:szCs w:val="24"/>
        </w:rPr>
        <w:t>被定义为（）。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A：以确定量值为目的的一组操作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B：定量地表示比较的结果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C：获得有适当不确定度的测量结果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D：确定被测的量的量值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16、医疗器械上市许可持有人(以下简称持有人),应当</w:t>
      </w:r>
      <w:r>
        <w:rPr>
          <w:rFonts w:ascii="宋体" w:eastAsia="宋体" w:hAnsi="宋体" w:hint="eastAsia"/>
          <w:sz w:val="24"/>
          <w:szCs w:val="24"/>
        </w:rPr>
        <w:t>具有保证医疗器械安全有效的</w:t>
      </w:r>
      <w:r>
        <w:rPr>
          <w:rFonts w:ascii="宋体" w:eastAsia="宋体" w:hAnsi="宋体"/>
          <w:sz w:val="24"/>
          <w:szCs w:val="24"/>
        </w:rPr>
        <w:t>()能力和相应责任能力,建立</w:t>
      </w:r>
      <w:r>
        <w:rPr>
          <w:rFonts w:ascii="宋体" w:eastAsia="宋体" w:hAnsi="宋体" w:hint="eastAsia"/>
          <w:sz w:val="24"/>
          <w:szCs w:val="24"/>
        </w:rPr>
        <w:t>医疗器械不良事件监测体系</w:t>
      </w:r>
      <w:r>
        <w:rPr>
          <w:rFonts w:ascii="宋体" w:eastAsia="宋体" w:hAnsi="宋体"/>
          <w:sz w:val="24"/>
          <w:szCs w:val="24"/>
        </w:rPr>
        <w:t>,向医疗器械不良事件监测技术</w:t>
      </w:r>
      <w:r>
        <w:rPr>
          <w:rFonts w:ascii="宋体" w:eastAsia="宋体" w:hAnsi="宋体" w:hint="eastAsia"/>
          <w:sz w:val="24"/>
          <w:szCs w:val="24"/>
        </w:rPr>
        <w:t>机构</w:t>
      </w:r>
      <w:r>
        <w:rPr>
          <w:rFonts w:ascii="宋体" w:eastAsia="宋体" w:hAnsi="宋体"/>
          <w:sz w:val="24"/>
          <w:szCs w:val="24"/>
        </w:rPr>
        <w:t>(以下简称监测机构)直接报告医疗器械不良事件。()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A、风险防控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B、质量管理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C、监测管理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D、完善提高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17、在对医疗器械经营许可进行审查时,食品药品监督</w:t>
      </w:r>
      <w:r>
        <w:rPr>
          <w:rFonts w:ascii="宋体" w:eastAsia="宋体" w:hAnsi="宋体" w:hint="eastAsia"/>
          <w:sz w:val="24"/>
          <w:szCs w:val="24"/>
        </w:rPr>
        <w:t>管理部门认为涉及</w:t>
      </w:r>
      <w:r>
        <w:rPr>
          <w:rFonts w:ascii="宋体" w:eastAsia="宋体" w:hAnsi="宋体"/>
          <w:sz w:val="24"/>
          <w:szCs w:val="24"/>
        </w:rPr>
        <w:t>()的,应当向社会公告,并举行听证。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A、经济利益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B、公共利益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C、企业利益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D、商业利益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18、因企业分立、合并而解散的,应当申请注销()。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A、法人代表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B、医疗器械经营许可证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C、营业执照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D、经营场所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19、设区的市级食品药品监督管理部门依法作出准予经</w:t>
      </w:r>
      <w:r>
        <w:rPr>
          <w:rFonts w:ascii="宋体" w:eastAsia="宋体" w:hAnsi="宋体" w:hint="eastAsia"/>
          <w:sz w:val="24"/>
          <w:szCs w:val="24"/>
        </w:rPr>
        <w:t>营许可的书面决定</w:t>
      </w:r>
      <w:r>
        <w:rPr>
          <w:rFonts w:ascii="宋体" w:eastAsia="宋体" w:hAnsi="宋体"/>
          <w:sz w:val="24"/>
          <w:szCs w:val="24"/>
        </w:rPr>
        <w:t>,并于()个工作日内向申请人颁发《医疗</w:t>
      </w:r>
      <w:r>
        <w:rPr>
          <w:rFonts w:ascii="宋体" w:eastAsia="宋体" w:hAnsi="宋体" w:hint="eastAsia"/>
          <w:sz w:val="24"/>
          <w:szCs w:val="24"/>
        </w:rPr>
        <w:t>器械经营企业许可证》。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B、7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C、10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D、15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20、医疗器械生产企业作出医疗器械召回决定的,一级</w:t>
      </w:r>
      <w:r>
        <w:rPr>
          <w:rFonts w:ascii="宋体" w:eastAsia="宋体" w:hAnsi="宋体" w:hint="eastAsia"/>
          <w:sz w:val="24"/>
          <w:szCs w:val="24"/>
        </w:rPr>
        <w:t>召回应当在</w:t>
      </w:r>
      <w:r>
        <w:rPr>
          <w:rFonts w:ascii="宋体" w:eastAsia="宋体" w:hAnsi="宋体"/>
          <w:sz w:val="24"/>
          <w:szCs w:val="24"/>
        </w:rPr>
        <w:t>()日内,二级召回应当在()日内,三级召回应当</w:t>
      </w:r>
      <w:r>
        <w:rPr>
          <w:rFonts w:ascii="宋体" w:eastAsia="宋体" w:hAnsi="宋体" w:hint="eastAsia"/>
          <w:sz w:val="24"/>
          <w:szCs w:val="24"/>
        </w:rPr>
        <w:t>在</w:t>
      </w:r>
      <w:r>
        <w:rPr>
          <w:rFonts w:ascii="宋体" w:eastAsia="宋体" w:hAnsi="宋体"/>
          <w:sz w:val="24"/>
          <w:szCs w:val="24"/>
        </w:rPr>
        <w:t>()日内,通知到有关医疗器械经营企业、使用单位或者告</w:t>
      </w:r>
      <w:r>
        <w:rPr>
          <w:rFonts w:ascii="宋体" w:eastAsia="宋体" w:hAnsi="宋体" w:hint="eastAsia"/>
          <w:sz w:val="24"/>
          <w:szCs w:val="24"/>
        </w:rPr>
        <w:t>知使用者。</w:t>
      </w:r>
      <w:r>
        <w:rPr>
          <w:rFonts w:ascii="宋体" w:eastAsia="宋体" w:hAnsi="宋体"/>
          <w:sz w:val="24"/>
          <w:szCs w:val="24"/>
        </w:rPr>
        <w:t>()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A、137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B、1510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C、3710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D、357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21、食品药品监督管理部门组织监督检查,应当制定检</w:t>
      </w:r>
      <w:r>
        <w:rPr>
          <w:rFonts w:ascii="宋体" w:eastAsia="宋体" w:hAnsi="宋体" w:hint="eastAsia"/>
          <w:sz w:val="24"/>
          <w:szCs w:val="24"/>
        </w:rPr>
        <w:t>查方案</w:t>
      </w:r>
      <w:r>
        <w:rPr>
          <w:rFonts w:ascii="宋体" w:eastAsia="宋体" w:hAnsi="宋体"/>
          <w:sz w:val="24"/>
          <w:szCs w:val="24"/>
        </w:rPr>
        <w:t>,明确检查标准,如实记录现场检查情况,将检查结果</w:t>
      </w:r>
      <w:r>
        <w:rPr>
          <w:rFonts w:ascii="宋体" w:eastAsia="宋体" w:hAnsi="宋体" w:hint="eastAsia"/>
          <w:sz w:val="24"/>
          <w:szCs w:val="24"/>
        </w:rPr>
        <w:t>书面告知被检查企业。</w:t>
      </w:r>
      <w:r>
        <w:rPr>
          <w:rFonts w:ascii="宋体" w:eastAsia="宋体" w:hAnsi="宋体"/>
          <w:sz w:val="24"/>
          <w:szCs w:val="24"/>
        </w:rPr>
        <w:t>需要整改的,应当(),并实施跟踪检查。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A、明确监督人员名单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B、明确整改内容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C、明确整改内容以及整改期限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D、明确整改期限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22、设区的市级食品药品监督管理部门应当自受理之日</w:t>
      </w:r>
      <w:r>
        <w:rPr>
          <w:rFonts w:ascii="宋体" w:eastAsia="宋体" w:hAnsi="宋体" w:hint="eastAsia"/>
          <w:sz w:val="24"/>
          <w:szCs w:val="24"/>
        </w:rPr>
        <w:t>起</w:t>
      </w:r>
      <w:r>
        <w:rPr>
          <w:rFonts w:ascii="宋体" w:eastAsia="宋体" w:hAnsi="宋体"/>
          <w:sz w:val="24"/>
          <w:szCs w:val="24"/>
        </w:rPr>
        <w:t>()对申请资料进行审核,并按照医疗器械经营质量管理规</w:t>
      </w:r>
      <w:r>
        <w:rPr>
          <w:rFonts w:ascii="宋体" w:eastAsia="宋体" w:hAnsi="宋体" w:hint="eastAsia"/>
          <w:sz w:val="24"/>
          <w:szCs w:val="24"/>
        </w:rPr>
        <w:t>范的要求开展现场核查。</w:t>
      </w:r>
      <w:r>
        <w:rPr>
          <w:rFonts w:ascii="宋体" w:eastAsia="宋体" w:hAnsi="宋体"/>
          <w:sz w:val="24"/>
          <w:szCs w:val="24"/>
        </w:rPr>
        <w:t>需要整改的,整改时间不算入审核</w:t>
      </w:r>
      <w:r>
        <w:rPr>
          <w:rFonts w:ascii="宋体" w:eastAsia="宋体" w:hAnsi="宋体" w:hint="eastAsia"/>
          <w:sz w:val="24"/>
          <w:szCs w:val="24"/>
        </w:rPr>
        <w:t>时限。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A、60个工作日内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B、30个工作日内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C、15个工作日内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D、7个工作日内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23、第三类医疗器械经营企业应当建立质量管理自查制</w:t>
      </w:r>
      <w:r>
        <w:rPr>
          <w:rFonts w:ascii="宋体" w:eastAsia="宋体" w:hAnsi="宋体" w:hint="eastAsia"/>
          <w:sz w:val="24"/>
          <w:szCs w:val="24"/>
        </w:rPr>
        <w:t>度</w:t>
      </w:r>
      <w:r>
        <w:rPr>
          <w:rFonts w:ascii="宋体" w:eastAsia="宋体" w:hAnsi="宋体"/>
          <w:sz w:val="24"/>
          <w:szCs w:val="24"/>
        </w:rPr>
        <w:t>,并按照医疗器械经营质量管理规范要求进行全项目自查,</w:t>
      </w:r>
      <w:r>
        <w:rPr>
          <w:rFonts w:ascii="宋体" w:eastAsia="宋体" w:hAnsi="宋体" w:hint="eastAsia"/>
          <w:sz w:val="24"/>
          <w:szCs w:val="24"/>
        </w:rPr>
        <w:t>于</w:t>
      </w:r>
      <w:r>
        <w:rPr>
          <w:rFonts w:ascii="宋体" w:eastAsia="宋体" w:hAnsi="宋体"/>
          <w:sz w:val="24"/>
          <w:szCs w:val="24"/>
        </w:rPr>
        <w:t>()前向所在地设区的市级食品药品监督管理部门提交年</w:t>
      </w:r>
      <w:r>
        <w:rPr>
          <w:rFonts w:ascii="宋体" w:eastAsia="宋体" w:hAnsi="宋体" w:hint="eastAsia"/>
          <w:sz w:val="24"/>
          <w:szCs w:val="24"/>
        </w:rPr>
        <w:t>度自查报告。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A、年底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B、9月份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C、6月份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D、3月份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24、免于进行临床试验的医疗器械目录由()制定、调整</w:t>
      </w:r>
      <w:r>
        <w:rPr>
          <w:rFonts w:ascii="宋体" w:eastAsia="宋体" w:hAnsi="宋体" w:hint="eastAsia"/>
          <w:sz w:val="24"/>
          <w:szCs w:val="24"/>
        </w:rPr>
        <w:t>并公布。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A、县级以上食品药品监督管理部门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B、设区的市级食品药品监督管理部门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C、省、自治区、直辖市食品药品监督管理部门</w:t>
      </w:r>
      <w:r>
        <w:rPr>
          <w:rFonts w:ascii="宋体" w:eastAsia="宋体" w:hAnsi="宋体"/>
          <w:sz w:val="24"/>
          <w:szCs w:val="24"/>
        </w:rPr>
        <w:br/>
      </w:r>
      <w:r>
        <w:rPr>
          <w:rFonts w:ascii="宋体" w:eastAsia="宋体" w:hAnsi="宋体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https://d.book118.com/508102114061006025</w:t>
        </w:r>
      </w:hyperlink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6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C81"/>
    <w:rsid w:val="000F5D96"/>
    <w:rsid w:val="00421C81"/>
    <w:rsid w:val="004277AF"/>
    <w:rsid w:val="00522523"/>
    <w:rsid w:val="005A6EB6"/>
    <w:rsid w:val="006A354B"/>
    <w:rsid w:val="007857BC"/>
    <w:rsid w:val="276F3D6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等线" w:eastAsia="等线" w:hAnsi="等线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8102114061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157272000</TotalTime>
  <Pages>6</Pages>
  <Words>1876</Words>
  <Characters>10697</Characters>
  <Application>Microsoft Office Word</Application>
  <DocSecurity>0</DocSecurity>
  <Lines>89</Lines>
  <Paragraphs>25</Paragraphs>
  <ScaleCrop>false</ScaleCrop>
  <Company/>
  <LinksUpToDate>false</LinksUpToDate>
  <CharactersWithSpaces>12548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用户7268</cp:lastModifiedBy>
  <cp:revision>8</cp:revision>
  <dcterms:created xsi:type="dcterms:W3CDTF">2024-01-21T06:22:00Z</dcterms:created>
  <dcterms:modified xsi:type="dcterms:W3CDTF">2024-01-26T15:00:09Z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40C41A095EBD4A2982C0D383EF35A7D0_13</vt:lpwstr>
  </property>
  <property fmtid="{D5CDD505-2E9C-101B-9397-08002B2CF9AE}" pid="3" name="KSOProductBuildVer">
    <vt:lpwstr>2052-12.1.0.16250</vt:lpwstr>
  </property>
</Properties>
</file>