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配电控制设备项目规划设计方案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3" w:history="1">
        <w:r>
          <w:rPr>
            <w:rFonts w:ascii="仿宋" w:eastAsia="仿宋" w:hAnsi="仿宋" w:cs="仿宋" w:hint="eastAsia"/>
            <w:lang w:eastAsia="zh-CN"/>
          </w:rPr>
          <w:t>二、配电控制设备项目风险管理方案</w:t>
        </w:r>
        <w:r>
          <w:tab/>
        </w:r>
        <w:r>
          <w:fldChar w:fldCharType="begin"/>
        </w:r>
        <w:r>
          <w:instrText xml:space="preserve"> PAGEREF _Toc28923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(一)、风险管理概述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6" w:history="1">
        <w:r>
          <w:rPr>
            <w:rFonts w:ascii="仿宋" w:eastAsia="仿宋" w:hAnsi="仿宋" w:cs="仿宋" w:hint="eastAsia"/>
            <w:lang w:eastAsia="zh-CN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_Toc20286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(五)、风险识别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三、配电控制设备项目职业保护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2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(八)、法规合规与配电控制设备项目职业健康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四、配电控制设备行业发展分析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(一)、配电控制设备行业发展总体概况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(二)、配电控制设备行业发展背景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(三)、配电控制设备行业发展前景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(一)、配电控制设备项目工程设计总体要求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七、建设规模分析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八、配电控制设备项目投资方案分析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(一)、配电控制设备项目估算说明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(二)、配电控制设备项目总投资估算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九、市场需求分析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十、财务计划与预算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十四、产业环境分析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十五、配电控制设备项目沟通与合作机制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十六、应急管理与安全防护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十七、投资方案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4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_Toc17694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7" w:history="1">
        <w:r>
          <w:rPr>
            <w:rFonts w:ascii="仿宋" w:eastAsia="仿宋" w:hAnsi="仿宋" w:cs="仿宋" w:hint="eastAsia"/>
            <w:lang w:eastAsia="zh-CN"/>
          </w:rPr>
          <w:t>(五)、配电控制设备项目总投资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eastAsia="zh-CN"/>
          </w:rPr>
          <w:t>十八、配电控制设备项目总结分析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十九、配电控制设备项目工程方案分析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二十、配电控制设备项目管理与监督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(一)、配电控制设备项目管理体系建设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(二)、配电控制设备项目进度与绩效管理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(四)、配电控制设备项目监督与评估机制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59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0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发展规划，未来几年内公司的资产规模、业务规模、人员规模、资金运用规模都将有较大幅度的增长。随着业务和规模的快速发展，公司的管理水平将面临较大的考验，尤其在公司迅速扩大经营规模后，公司的组织结构和管理体系将进一步复杂化，在战略规划、组织设计、资源配置、营销策略、资金管理和内部控制等问题上都将面对新的挑战。另外，公司未来的迅速扩张将对高级管理人才、营销人才、服务人才的引进和培养提出更高要求，公司需进一步提高管理应对能力，才能保持持续发展，实现业务发展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资金筹措和多元化融资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https://d.book118.com/508105004101006041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13A65"/>
    <w:rsid w:val="3E913A6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10500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2024-02-19T13:24:00Z</dcterms:created>
  <dcterms:modified xsi:type="dcterms:W3CDTF">2024-02-19T13:24:52Z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7426403906004866A7937B5CF37DFAFB_11</vt:lpwstr>
  </property>
  <property fmtid="{D5CDD505-2E9C-101B-9397-08002B2CF9AE}" pid="3" name="KSOProductBuildVer">
    <vt:lpwstr>2052-12.1.0.16250</vt:lpwstr>
  </property>
</Properties>
</file>