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Default"/>
      </w:pPr>
    </w:p>
    <w:p>
      <w:pPr>
        <w:jc w:val="center"/>
        <w:rPr>
          <w:b/>
          <w:sz w:val="72"/>
        </w:rPr>
      </w:pPr>
    </w:p>
    <w:p>
      <w:pPr>
        <w:jc w:val="center"/>
        <w:rPr>
          <w:b/>
          <w:sz w:val="72"/>
        </w:rPr>
      </w:pPr>
      <w:r>
        <w:rPr>
          <w:rFonts w:hint="eastAsia"/>
          <w:b/>
          <w:sz w:val="72"/>
        </w:rPr>
        <w:t>建设项目环境影响报告表</w:t>
      </w:r>
    </w:p>
    <w:p>
      <w:pPr>
        <w:spacing w:line="660" w:lineRule="exact"/>
        <w:ind w:firstLine="505"/>
        <w:jc w:val="center"/>
        <w:rPr>
          <w:b/>
          <w:sz w:val="36"/>
          <w:szCs w:val="36"/>
        </w:rPr>
      </w:pPr>
      <w:r>
        <w:rPr>
          <w:rFonts w:hint="eastAsia"/>
          <w:b/>
          <w:sz w:val="36"/>
          <w:szCs w:val="36"/>
        </w:rPr>
        <w:t>（</w:t>
      </w:r>
      <w:r>
        <w:rPr>
          <w:rFonts w:hint="eastAsia"/>
          <w:b/>
          <w:sz w:val="36"/>
          <w:szCs w:val="36"/>
          <w:lang w:val="en-US" w:eastAsia="zh-CN"/>
        </w:rPr>
        <w:t>公示</w:t>
      </w:r>
      <w:r>
        <w:rPr>
          <w:rFonts w:hint="eastAsia"/>
          <w:b/>
          <w:sz w:val="36"/>
          <w:szCs w:val="36"/>
        </w:rPr>
        <w:t>稿）</w:t>
      </w:r>
    </w:p>
    <w:p>
      <w:pPr>
        <w:jc w:val="center"/>
        <w:rPr>
          <w:b/>
          <w:sz w:val="72"/>
        </w:rPr>
      </w:pPr>
    </w:p>
    <w:p>
      <w:pPr>
        <w:pStyle w:val="11"/>
        <w:ind w:firstLine="0" w:firstLineChars="0"/>
        <w:rPr>
          <w:rFonts w:ascii="Times New Roman" w:hAnsi="Times New Roman"/>
        </w:rPr>
      </w:pPr>
    </w:p>
    <w:p>
      <w:pPr>
        <w:pStyle w:val="11"/>
        <w:ind w:firstLine="0" w:firstLineChars="0"/>
        <w:rPr>
          <w:rFonts w:ascii="Times New Roman" w:hAnsi="Times New Roman"/>
          <w:color w:val="0000FF"/>
        </w:rPr>
      </w:pPr>
    </w:p>
    <w:p>
      <w:pPr>
        <w:pStyle w:val="11"/>
        <w:ind w:firstLine="0" w:firstLineChars="0"/>
        <w:rPr>
          <w:rFonts w:ascii="Times New Roman" w:hAnsi="Times New Roman"/>
        </w:rPr>
      </w:pPr>
    </w:p>
    <w:p>
      <w:pPr>
        <w:pStyle w:val="11"/>
        <w:ind w:firstLine="0" w:firstLineChars="0"/>
        <w:rPr>
          <w:rFonts w:ascii="Times New Roman" w:hAnsi="Times New Roman"/>
        </w:rPr>
      </w:pPr>
    </w:p>
    <w:p>
      <w:pPr>
        <w:pStyle w:val="11"/>
        <w:ind w:firstLine="560"/>
        <w:rPr>
          <w:rFonts w:ascii="Times New Roman" w:hAnsi="Times New Roman"/>
        </w:rPr>
      </w:pPr>
    </w:p>
    <w:p>
      <w:pPr>
        <w:spacing w:line="480" w:lineRule="auto"/>
        <w:ind w:firstLine="1080" w:firstLineChars="300"/>
        <w:rPr>
          <w:b/>
          <w:sz w:val="36"/>
          <w:u w:val="single"/>
        </w:rPr>
      </w:pPr>
      <w:r>
        <w:rPr>
          <w:rFonts w:hint="eastAsia"/>
          <w:b/>
          <w:sz w:val="36"/>
        </w:rPr>
        <w:t>项目名称：</w:t>
      </w:r>
      <w:r>
        <w:rPr>
          <w:rFonts w:hint="eastAsia"/>
          <w:b/>
          <w:sz w:val="36"/>
          <w:u w:val="single"/>
        </w:rPr>
        <w:t>三亚市水蛟路延伸段（大溪桥至</w:t>
      </w:r>
    </w:p>
    <w:p>
      <w:pPr>
        <w:spacing w:line="480" w:lineRule="auto"/>
        <w:ind w:firstLine="2880" w:firstLineChars="800"/>
        <w:rPr>
          <w:b/>
          <w:sz w:val="36"/>
          <w:u w:val="single"/>
        </w:rPr>
      </w:pPr>
      <w:r>
        <w:rPr>
          <w:rFonts w:hint="eastAsia"/>
          <w:b/>
          <w:sz w:val="36"/>
          <w:u w:val="single"/>
        </w:rPr>
        <w:t>垃圾填埋场）污水改造工程</w:t>
      </w:r>
    </w:p>
    <w:p>
      <w:pPr>
        <w:spacing w:line="480" w:lineRule="auto"/>
        <w:ind w:firstLine="1080" w:firstLineChars="300"/>
        <w:rPr>
          <w:b/>
          <w:sz w:val="36"/>
          <w:u w:val="single"/>
        </w:rPr>
      </w:pPr>
      <w:r>
        <w:rPr>
          <w:rFonts w:hint="eastAsia"/>
          <w:b/>
          <w:sz w:val="36"/>
        </w:rPr>
        <w:t>建设单位</w:t>
      </w:r>
      <w:r>
        <w:rPr>
          <w:b/>
          <w:sz w:val="36"/>
        </w:rPr>
        <w:t>(</w:t>
      </w:r>
      <w:r>
        <w:rPr>
          <w:rFonts w:hint="eastAsia"/>
          <w:b/>
          <w:sz w:val="36"/>
        </w:rPr>
        <w:t>盖章</w:t>
      </w:r>
      <w:r>
        <w:rPr>
          <w:b/>
          <w:sz w:val="36"/>
        </w:rPr>
        <w:t>)</w:t>
      </w:r>
      <w:r>
        <w:rPr>
          <w:rFonts w:hint="eastAsia"/>
          <w:b/>
          <w:sz w:val="36"/>
        </w:rPr>
        <w:t>：</w:t>
      </w:r>
      <w:r>
        <w:rPr>
          <w:rFonts w:hint="eastAsia"/>
          <w:b/>
          <w:sz w:val="36"/>
          <w:u w:val="single"/>
        </w:rPr>
        <w:t>三亚市市政维护应急中心</w:t>
      </w:r>
    </w:p>
    <w:p/>
    <w:p>
      <w:pPr>
        <w:pStyle w:val="BodyTextFirstIndent2"/>
        <w:rPr>
          <w:color w:val="auto"/>
        </w:rPr>
      </w:pPr>
    </w:p>
    <w:p>
      <w:pPr>
        <w:pStyle w:val="11"/>
        <w:ind w:firstLine="0" w:firstLineChars="0"/>
        <w:rPr>
          <w:rFonts w:ascii="Times New Roman" w:hAnsi="Times New Roman"/>
        </w:rPr>
      </w:pPr>
    </w:p>
    <w:p>
      <w:pPr>
        <w:pStyle w:val="Default"/>
        <w:rPr>
          <w:rFonts w:ascii="Times New Roman" w:cs="Times New Roman"/>
          <w:color w:val="auto"/>
        </w:rPr>
      </w:pPr>
    </w:p>
    <w:p>
      <w:pPr>
        <w:pStyle w:val="Default"/>
        <w:rPr>
          <w:rFonts w:ascii="Times New Roman" w:cs="Times New Roman"/>
          <w:b/>
          <w:bCs/>
          <w:color w:val="auto"/>
          <w:sz w:val="36"/>
          <w:szCs w:val="36"/>
          <w:lang w:bidi="ar"/>
        </w:rPr>
      </w:pPr>
    </w:p>
    <w:p>
      <w:pPr>
        <w:jc w:val="center"/>
        <w:rPr>
          <w:b/>
          <w:bCs/>
          <w:sz w:val="32"/>
          <w:szCs w:val="32"/>
          <w:lang w:bidi="ar"/>
        </w:rPr>
      </w:pPr>
      <w:r>
        <w:rPr>
          <w:rFonts w:hint="eastAsia"/>
          <w:b/>
          <w:bCs/>
          <w:sz w:val="32"/>
          <w:szCs w:val="32"/>
          <w:lang w:bidi="ar"/>
        </w:rPr>
        <w:t xml:space="preserve"> 编制单位：海南琼州环境评价有限公司</w:t>
      </w:r>
    </w:p>
    <w:p>
      <w:pPr>
        <w:ind w:firstLine="1600" w:firstLineChars="500"/>
        <w:rPr>
          <w:b/>
          <w:bCs/>
          <w:sz w:val="32"/>
          <w:szCs w:val="32"/>
          <w:lang w:bidi="ar"/>
        </w:rPr>
      </w:pPr>
      <w:r>
        <w:rPr>
          <w:rFonts w:hint="eastAsia"/>
          <w:b/>
          <w:bCs/>
          <w:sz w:val="32"/>
          <w:szCs w:val="32"/>
          <w:lang w:bidi="ar"/>
        </w:rPr>
        <w:t>编制日期：</w:t>
      </w:r>
      <w:r>
        <w:rPr>
          <w:b/>
          <w:bCs/>
          <w:sz w:val="32"/>
          <w:szCs w:val="32"/>
          <w:lang w:bidi="ar"/>
        </w:rPr>
        <w:t>2</w:t>
      </w:r>
      <w:r>
        <w:rPr>
          <w:rFonts w:hint="eastAsia"/>
          <w:b/>
          <w:bCs/>
          <w:sz w:val="32"/>
          <w:szCs w:val="32"/>
          <w:lang w:bidi="ar"/>
        </w:rPr>
        <w:t>020年</w:t>
      </w:r>
      <w:r>
        <w:rPr>
          <w:rFonts w:hint="eastAsia"/>
          <w:b/>
          <w:bCs/>
          <w:sz w:val="32"/>
          <w:szCs w:val="32"/>
          <w:lang w:val="en-US" w:eastAsia="zh-CN" w:bidi="ar"/>
        </w:rPr>
        <w:t>9</w:t>
      </w:r>
      <w:r>
        <w:rPr>
          <w:rFonts w:hint="eastAsia"/>
          <w:b/>
          <w:bCs/>
          <w:sz w:val="32"/>
          <w:szCs w:val="32"/>
          <w:lang w:bidi="ar"/>
        </w:rPr>
        <w:t>月</w:t>
      </w:r>
    </w:p>
    <w:p>
      <w:pPr>
        <w:jc w:val="center"/>
        <w:sectPr>
          <w:pgSz w:w="11906" w:h="16838"/>
          <w:pgMar w:top="1440" w:right="1800" w:bottom="1440" w:left="1800" w:header="851" w:footer="992" w:gutter="0"/>
          <w:cols w:num="1" w:space="425"/>
          <w:docGrid w:type="lines" w:linePitch="312" w:charSpace="0"/>
        </w:sectPr>
      </w:pPr>
    </w:p>
    <w:p>
      <w:pPr>
        <w:rPr>
          <w:rFonts w:hint="eastAsia"/>
        </w:rPr>
        <w:sectPr>
          <w:footerReference w:type="default" r:id="rId6"/>
          <w:pgSz w:w="11906" w:h="16838"/>
          <w:pgMar w:top="1440" w:right="1800" w:bottom="1440" w:left="1800" w:header="851" w:footer="992" w:gutter="0"/>
          <w:pgNumType w:start="1"/>
          <w:cols w:num="1" w:space="425"/>
          <w:docGrid w:type="lines" w:linePitch="312" w:charSpace="0"/>
        </w:sectPr>
      </w:pPr>
    </w:p>
    <w:p>
      <w:pPr>
        <w:pStyle w:val="Default"/>
      </w:pPr>
    </w:p>
    <w:p>
      <w:pPr>
        <w:jc w:val="center"/>
        <w:rPr>
          <w:sz w:val="36"/>
          <w:szCs w:val="36"/>
        </w:rPr>
      </w:pPr>
      <w:r>
        <w:rPr>
          <w:rFonts w:hint="eastAsia"/>
          <w:sz w:val="36"/>
          <w:szCs w:val="36"/>
        </w:rPr>
        <w:t>《建设项目环境影响报告表》编制说明</w:t>
      </w:r>
    </w:p>
    <w:p>
      <w:pPr>
        <w:spacing w:line="660" w:lineRule="exact"/>
        <w:ind w:firstLine="502"/>
        <w:rPr>
          <w:sz w:val="28"/>
          <w:szCs w:val="28"/>
        </w:rPr>
      </w:pPr>
      <w:r>
        <w:rPr>
          <w:rFonts w:hint="eastAsia"/>
          <w:sz w:val="28"/>
          <w:szCs w:val="28"/>
        </w:rPr>
        <w:t>《建设项目环境影响报告表》由具有从事环境影响评价工作资质的单位编制。</w:t>
      </w:r>
    </w:p>
    <w:p>
      <w:pPr>
        <w:spacing w:line="660" w:lineRule="exact"/>
        <w:ind w:firstLine="502"/>
        <w:rPr>
          <w:sz w:val="28"/>
          <w:szCs w:val="28"/>
        </w:rPr>
      </w:pPr>
      <w:r>
        <w:rPr>
          <w:sz w:val="28"/>
          <w:szCs w:val="28"/>
        </w:rPr>
        <w:t>1</w:t>
      </w:r>
      <w:r>
        <w:rPr>
          <w:rFonts w:hint="eastAsia"/>
          <w:sz w:val="28"/>
          <w:szCs w:val="28"/>
        </w:rPr>
        <w:t>．项目名称</w:t>
      </w:r>
      <w:r>
        <w:rPr>
          <w:sz w:val="28"/>
          <w:szCs w:val="28"/>
        </w:rPr>
        <w:t>——</w:t>
      </w:r>
      <w:r>
        <w:rPr>
          <w:rFonts w:hint="eastAsia"/>
          <w:sz w:val="28"/>
          <w:szCs w:val="28"/>
        </w:rPr>
        <w:t>指项目立项批复时的名称，应不超过</w:t>
      </w:r>
      <w:r>
        <w:rPr>
          <w:sz w:val="28"/>
          <w:szCs w:val="28"/>
        </w:rPr>
        <w:t>30</w:t>
      </w:r>
      <w:r>
        <w:rPr>
          <w:rFonts w:hint="eastAsia"/>
          <w:sz w:val="28"/>
          <w:szCs w:val="28"/>
        </w:rPr>
        <w:t>个字（两个英文字段作一个汉字）。</w:t>
      </w:r>
    </w:p>
    <w:p>
      <w:pPr>
        <w:spacing w:line="660" w:lineRule="exact"/>
        <w:ind w:firstLine="502"/>
        <w:rPr>
          <w:sz w:val="28"/>
          <w:szCs w:val="28"/>
        </w:rPr>
      </w:pPr>
      <w:r>
        <w:rPr>
          <w:sz w:val="28"/>
          <w:szCs w:val="28"/>
        </w:rPr>
        <w:t>2</w:t>
      </w:r>
      <w:r>
        <w:rPr>
          <w:rFonts w:hint="eastAsia"/>
          <w:sz w:val="28"/>
          <w:szCs w:val="28"/>
        </w:rPr>
        <w:t>．建设地点</w:t>
      </w:r>
      <w:r>
        <w:rPr>
          <w:sz w:val="28"/>
          <w:szCs w:val="28"/>
        </w:rPr>
        <w:t>——</w:t>
      </w:r>
      <w:r>
        <w:rPr>
          <w:rFonts w:hint="eastAsia"/>
          <w:sz w:val="28"/>
          <w:szCs w:val="28"/>
        </w:rPr>
        <w:t>指项目所在地详细地址，公路、铁路应填写起止地点。</w:t>
      </w:r>
    </w:p>
    <w:p>
      <w:pPr>
        <w:spacing w:line="660" w:lineRule="exact"/>
        <w:ind w:firstLine="502"/>
        <w:rPr>
          <w:sz w:val="28"/>
          <w:szCs w:val="28"/>
        </w:rPr>
      </w:pPr>
      <w:r>
        <w:rPr>
          <w:sz w:val="28"/>
          <w:szCs w:val="28"/>
        </w:rPr>
        <w:t>3</w:t>
      </w:r>
      <w:r>
        <w:rPr>
          <w:rFonts w:hint="eastAsia"/>
          <w:sz w:val="28"/>
          <w:szCs w:val="28"/>
        </w:rPr>
        <w:t>．行业类别</w:t>
      </w:r>
      <w:r>
        <w:rPr>
          <w:sz w:val="28"/>
          <w:szCs w:val="28"/>
        </w:rPr>
        <w:t>——</w:t>
      </w:r>
      <w:r>
        <w:rPr>
          <w:rFonts w:hint="eastAsia"/>
          <w:sz w:val="28"/>
          <w:szCs w:val="28"/>
        </w:rPr>
        <w:t>按国标填写。</w:t>
      </w:r>
    </w:p>
    <w:p>
      <w:pPr>
        <w:spacing w:line="660" w:lineRule="exact"/>
        <w:ind w:firstLine="502"/>
        <w:rPr>
          <w:sz w:val="28"/>
          <w:szCs w:val="28"/>
        </w:rPr>
      </w:pPr>
      <w:r>
        <w:rPr>
          <w:sz w:val="28"/>
          <w:szCs w:val="28"/>
        </w:rPr>
        <w:t>4</w:t>
      </w:r>
      <w:r>
        <w:rPr>
          <w:rFonts w:hint="eastAsia"/>
          <w:sz w:val="28"/>
          <w:szCs w:val="28"/>
        </w:rPr>
        <w:t>．总投资</w:t>
      </w:r>
      <w:r>
        <w:rPr>
          <w:sz w:val="28"/>
          <w:szCs w:val="28"/>
        </w:rPr>
        <w:t>——</w:t>
      </w:r>
      <w:r>
        <w:rPr>
          <w:rFonts w:hint="eastAsia"/>
          <w:sz w:val="28"/>
          <w:szCs w:val="28"/>
        </w:rPr>
        <w:t>指项目投资总额。</w:t>
      </w:r>
    </w:p>
    <w:p>
      <w:pPr>
        <w:spacing w:line="660" w:lineRule="exact"/>
        <w:ind w:firstLine="502"/>
        <w:rPr>
          <w:sz w:val="28"/>
          <w:szCs w:val="28"/>
        </w:rPr>
      </w:pPr>
      <w:r>
        <w:rPr>
          <w:sz w:val="28"/>
          <w:szCs w:val="28"/>
        </w:rPr>
        <w:t>5</w:t>
      </w:r>
      <w:r>
        <w:rPr>
          <w:rFonts w:hint="eastAsia"/>
          <w:sz w:val="28"/>
          <w:szCs w:val="28"/>
        </w:rPr>
        <w:t>．主要环境保护目标</w:t>
      </w:r>
      <w:r>
        <w:rPr>
          <w:sz w:val="28"/>
          <w:szCs w:val="28"/>
        </w:rPr>
        <w:t>——</w:t>
      </w:r>
      <w:r>
        <w:rPr>
          <w:rFonts w:hint="eastAsia"/>
          <w:sz w:val="28"/>
          <w:szCs w:val="28"/>
        </w:rPr>
        <w:t>指项目区周围一定范围内集中居民住宅区、学校、医院、保护文物、风景名胜区、水源地和生态敏感点等，应尽可能给出保护目标、性质、规模和距厂界距离等。</w:t>
      </w:r>
    </w:p>
    <w:p>
      <w:pPr>
        <w:spacing w:line="660" w:lineRule="exact"/>
        <w:ind w:firstLine="502"/>
        <w:rPr>
          <w:sz w:val="28"/>
          <w:szCs w:val="28"/>
        </w:rPr>
      </w:pPr>
      <w:r>
        <w:rPr>
          <w:sz w:val="28"/>
          <w:szCs w:val="28"/>
        </w:rPr>
        <w:t>6</w:t>
      </w:r>
      <w:r>
        <w:rPr>
          <w:rFonts w:hint="eastAsia"/>
          <w:sz w:val="28"/>
          <w:szCs w:val="28"/>
        </w:rPr>
        <w:t>．结论与建议</w:t>
      </w:r>
      <w:r>
        <w:rPr>
          <w:sz w:val="28"/>
          <w:szCs w:val="28"/>
        </w:rPr>
        <w:t>——</w:t>
      </w:r>
      <w:r>
        <w:rPr>
          <w:rFonts w:hint="eastAsia"/>
          <w:sz w:val="28"/>
          <w:szCs w:val="28"/>
        </w:rPr>
        <w:t>给出本项目清洁生产、达标排放和总量控制的分析结论，确定污染防治措施的有效性，说明本项目对环境造成的影响，给出建设项目环境可行性的明确结论。同时提出减少环境影响的其他建议。</w:t>
      </w:r>
    </w:p>
    <w:p>
      <w:pPr>
        <w:spacing w:line="660" w:lineRule="exact"/>
        <w:ind w:firstLine="502"/>
        <w:rPr>
          <w:sz w:val="28"/>
          <w:szCs w:val="28"/>
        </w:rPr>
      </w:pPr>
      <w:r>
        <w:rPr>
          <w:sz w:val="28"/>
          <w:szCs w:val="28"/>
        </w:rPr>
        <w:t>7</w:t>
      </w:r>
      <w:r>
        <w:rPr>
          <w:rFonts w:hint="eastAsia"/>
          <w:sz w:val="28"/>
          <w:szCs w:val="28"/>
        </w:rPr>
        <w:t>．预审意见</w:t>
      </w:r>
      <w:r>
        <w:rPr>
          <w:sz w:val="28"/>
          <w:szCs w:val="28"/>
        </w:rPr>
        <w:t>——</w:t>
      </w:r>
      <w:r>
        <w:rPr>
          <w:rFonts w:hint="eastAsia"/>
          <w:sz w:val="28"/>
          <w:szCs w:val="28"/>
        </w:rPr>
        <w:t>由行业主管部门填写答复意见，无主管部门项目，可不填。</w:t>
      </w:r>
    </w:p>
    <w:p>
      <w:pPr>
        <w:spacing w:line="660" w:lineRule="exact"/>
        <w:ind w:firstLine="502"/>
        <w:rPr>
          <w:sz w:val="28"/>
          <w:szCs w:val="28"/>
        </w:rPr>
      </w:pPr>
      <w:r>
        <w:rPr>
          <w:sz w:val="28"/>
          <w:szCs w:val="28"/>
        </w:rPr>
        <w:t>8</w:t>
      </w:r>
      <w:r>
        <w:rPr>
          <w:rFonts w:hint="eastAsia"/>
          <w:sz w:val="28"/>
          <w:szCs w:val="28"/>
        </w:rPr>
        <w:t>．审批意见</w:t>
      </w:r>
      <w:r>
        <w:rPr>
          <w:sz w:val="28"/>
          <w:szCs w:val="28"/>
        </w:rPr>
        <w:t>——</w:t>
      </w:r>
      <w:r>
        <w:rPr>
          <w:rFonts w:hint="eastAsia"/>
          <w:sz w:val="28"/>
          <w:szCs w:val="28"/>
        </w:rPr>
        <w:t>由负责审批该项目的环境保护行政主管部门批复。</w:t>
      </w:r>
    </w:p>
    <w:p>
      <w:pPr>
        <w:pStyle w:val="BodyTextFirstIndent2"/>
        <w:rPr>
          <w:color w:val="auto"/>
        </w:rPr>
        <w:sectPr>
          <w:footerReference w:type="default" r:id="rId7"/>
          <w:pgSz w:w="11906" w:h="16838"/>
          <w:pgMar w:top="1440" w:right="1800" w:bottom="1440" w:left="1800" w:header="851" w:footer="992" w:gutter="0"/>
          <w:pgNumType w:start="1"/>
          <w:cols w:num="1" w:space="425"/>
          <w:docGrid w:type="lines" w:linePitch="312" w:charSpace="0"/>
        </w:sectPr>
      </w:pPr>
    </w:p>
    <w:p>
      <w:pPr>
        <w:pStyle w:val="Heading1"/>
        <w:jc w:val="both"/>
        <w:rPr>
          <w:b/>
          <w:sz w:val="30"/>
          <w:szCs w:val="30"/>
        </w:rPr>
      </w:pPr>
      <w:r>
        <w:rPr>
          <w:rFonts w:hint="eastAsia"/>
          <w:b/>
          <w:sz w:val="30"/>
          <w:szCs w:val="30"/>
        </w:rPr>
        <w:t>建设项目基本情况</w:t>
      </w: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2069"/>
        <w:gridCol w:w="1818"/>
        <w:gridCol w:w="853"/>
        <w:gridCol w:w="928"/>
        <w:gridCol w:w="1010"/>
        <w:gridCol w:w="161"/>
        <w:gridCol w:w="214"/>
        <w:gridCol w:w="1190"/>
        <w:gridCol w:w="1476"/>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292"/>
          <w:jc w:val="center"/>
        </w:trPr>
        <w:tc>
          <w:tcPr>
            <w:tcW w:w="2069" w:type="dxa"/>
            <w:tcBorders>
              <w:tl2br w:val="nil"/>
              <w:tr2bl w:val="nil"/>
            </w:tcBorders>
            <w:vAlign w:val="center"/>
          </w:tcPr>
          <w:p>
            <w:pPr>
              <w:jc w:val="center"/>
              <w:rPr>
                <w:b/>
                <w:bCs/>
                <w:sz w:val="24"/>
              </w:rPr>
            </w:pPr>
            <w:r>
              <w:rPr>
                <w:rFonts w:hint="eastAsia"/>
                <w:b/>
                <w:bCs/>
                <w:sz w:val="24"/>
              </w:rPr>
              <w:t>项目名称</w:t>
            </w:r>
          </w:p>
        </w:tc>
        <w:tc>
          <w:tcPr>
            <w:tcW w:w="7650" w:type="dxa"/>
            <w:gridSpan w:val="8"/>
            <w:tcBorders>
              <w:tl2br w:val="nil"/>
              <w:tr2bl w:val="nil"/>
            </w:tcBorders>
            <w:vAlign w:val="center"/>
          </w:tcPr>
          <w:p>
            <w:pPr>
              <w:jc w:val="center"/>
              <w:rPr>
                <w:sz w:val="24"/>
              </w:rPr>
            </w:pPr>
            <w:r>
              <w:rPr>
                <w:rFonts w:hint="eastAsia"/>
                <w:sz w:val="24"/>
              </w:rPr>
              <w:t>三亚市水蛟路延伸段（大溪桥至垃圾填埋场）污水改造工程</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b/>
                <w:bCs/>
                <w:sz w:val="24"/>
              </w:rPr>
            </w:pPr>
            <w:r>
              <w:rPr>
                <w:rFonts w:hint="eastAsia"/>
                <w:b/>
                <w:bCs/>
                <w:sz w:val="24"/>
              </w:rPr>
              <w:t>建设单位</w:t>
            </w:r>
          </w:p>
        </w:tc>
        <w:tc>
          <w:tcPr>
            <w:tcW w:w="7650" w:type="dxa"/>
            <w:gridSpan w:val="8"/>
            <w:tcBorders>
              <w:tl2br w:val="nil"/>
              <w:tr2bl w:val="nil"/>
            </w:tcBorders>
            <w:vAlign w:val="center"/>
          </w:tcPr>
          <w:p>
            <w:pPr>
              <w:jc w:val="center"/>
              <w:rPr>
                <w:sz w:val="24"/>
              </w:rPr>
            </w:pPr>
            <w:r>
              <w:rPr>
                <w:kern w:val="0"/>
                <w:sz w:val="24"/>
              </w:rPr>
              <w:t>三亚市市政维护应急中心</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b/>
                <w:bCs/>
                <w:sz w:val="24"/>
              </w:rPr>
            </w:pPr>
            <w:r>
              <w:rPr>
                <w:rFonts w:hint="eastAsia"/>
                <w:b/>
                <w:bCs/>
                <w:sz w:val="24"/>
              </w:rPr>
              <w:t>法人代表</w:t>
            </w:r>
          </w:p>
        </w:tc>
        <w:tc>
          <w:tcPr>
            <w:tcW w:w="3599" w:type="dxa"/>
            <w:gridSpan w:val="3"/>
            <w:tcBorders>
              <w:tl2br w:val="nil"/>
              <w:tr2bl w:val="nil"/>
            </w:tcBorders>
            <w:vAlign w:val="center"/>
          </w:tcPr>
          <w:p>
            <w:pPr>
              <w:jc w:val="center"/>
              <w:rPr>
                <w:sz w:val="24"/>
              </w:rPr>
            </w:pPr>
          </w:p>
        </w:tc>
        <w:tc>
          <w:tcPr>
            <w:tcW w:w="1010" w:type="dxa"/>
            <w:tcBorders>
              <w:tl2br w:val="nil"/>
              <w:tr2bl w:val="nil"/>
            </w:tcBorders>
            <w:vAlign w:val="center"/>
          </w:tcPr>
          <w:p>
            <w:pPr>
              <w:jc w:val="center"/>
              <w:rPr>
                <w:sz w:val="24"/>
              </w:rPr>
            </w:pPr>
          </w:p>
        </w:tc>
        <w:tc>
          <w:tcPr>
            <w:tcW w:w="3041" w:type="dxa"/>
            <w:gridSpan w:val="4"/>
            <w:tcBorders>
              <w:tl2br w:val="nil"/>
              <w:tr2bl w:val="nil"/>
            </w:tcBorders>
            <w:vAlign w:val="center"/>
          </w:tcPr>
          <w:p>
            <w:pPr>
              <w:jc w:val="center"/>
              <w:rPr>
                <w:sz w:val="24"/>
              </w:rPr>
            </w:pP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b/>
                <w:bCs/>
                <w:sz w:val="24"/>
              </w:rPr>
            </w:pPr>
            <w:r>
              <w:rPr>
                <w:rFonts w:hint="eastAsia"/>
                <w:b/>
                <w:bCs/>
                <w:sz w:val="24"/>
              </w:rPr>
              <w:t>通讯地址</w:t>
            </w:r>
          </w:p>
        </w:tc>
        <w:tc>
          <w:tcPr>
            <w:tcW w:w="7650" w:type="dxa"/>
            <w:gridSpan w:val="8"/>
            <w:tcBorders>
              <w:tl2br w:val="nil"/>
              <w:tr2bl w:val="nil"/>
            </w:tcBorders>
            <w:vAlign w:val="center"/>
          </w:tcPr>
          <w:p>
            <w:pPr>
              <w:jc w:val="center"/>
              <w:rPr>
                <w:sz w:val="24"/>
              </w:rPr>
            </w:pPr>
            <w:r>
              <w:rPr>
                <w:sz w:val="24"/>
              </w:rPr>
              <w:t>三亚市吉阳区凤凰路岭北新村</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b/>
                <w:bCs/>
                <w:sz w:val="24"/>
              </w:rPr>
            </w:pPr>
            <w:r>
              <w:rPr>
                <w:rFonts w:hint="eastAsia"/>
                <w:b/>
                <w:bCs/>
                <w:sz w:val="24"/>
              </w:rPr>
              <w:t>联系电话</w:t>
            </w:r>
          </w:p>
        </w:tc>
        <w:tc>
          <w:tcPr>
            <w:tcW w:w="2671" w:type="dxa"/>
            <w:gridSpan w:val="2"/>
            <w:tcBorders>
              <w:tl2br w:val="nil"/>
              <w:tr2bl w:val="nil"/>
            </w:tcBorders>
            <w:vAlign w:val="center"/>
          </w:tcPr>
          <w:p>
            <w:pPr>
              <w:jc w:val="center"/>
              <w:rPr>
                <w:sz w:val="24"/>
              </w:rPr>
            </w:pPr>
          </w:p>
        </w:tc>
        <w:tc>
          <w:tcPr>
            <w:tcW w:w="928" w:type="dxa"/>
            <w:tcBorders>
              <w:tl2br w:val="nil"/>
              <w:tr2bl w:val="nil"/>
            </w:tcBorders>
            <w:vAlign w:val="center"/>
          </w:tcPr>
          <w:p>
            <w:pPr>
              <w:jc w:val="center"/>
              <w:rPr>
                <w:sz w:val="24"/>
              </w:rPr>
            </w:pPr>
            <w:r>
              <w:rPr>
                <w:rFonts w:hint="eastAsia"/>
                <w:b/>
                <w:bCs/>
                <w:sz w:val="24"/>
              </w:rPr>
              <w:t>传真</w:t>
            </w:r>
          </w:p>
        </w:tc>
        <w:tc>
          <w:tcPr>
            <w:tcW w:w="1171" w:type="dxa"/>
            <w:gridSpan w:val="2"/>
            <w:tcBorders>
              <w:tl2br w:val="nil"/>
              <w:tr2bl w:val="nil"/>
            </w:tcBorders>
            <w:vAlign w:val="center"/>
          </w:tcPr>
          <w:p>
            <w:pPr>
              <w:jc w:val="center"/>
              <w:rPr>
                <w:sz w:val="24"/>
              </w:rPr>
            </w:pPr>
            <w:r>
              <w:rPr>
                <w:rFonts w:hint="eastAsia"/>
                <w:sz w:val="24"/>
              </w:rPr>
              <w:t>/</w:t>
            </w:r>
          </w:p>
        </w:tc>
        <w:tc>
          <w:tcPr>
            <w:tcW w:w="1404" w:type="dxa"/>
            <w:gridSpan w:val="2"/>
            <w:tcBorders>
              <w:tl2br w:val="nil"/>
              <w:tr2bl w:val="nil"/>
            </w:tcBorders>
            <w:vAlign w:val="center"/>
          </w:tcPr>
          <w:p>
            <w:pPr>
              <w:jc w:val="center"/>
              <w:rPr>
                <w:sz w:val="24"/>
              </w:rPr>
            </w:pPr>
            <w:r>
              <w:rPr>
                <w:rFonts w:hint="eastAsia"/>
                <w:b/>
                <w:bCs/>
                <w:sz w:val="24"/>
              </w:rPr>
              <w:t>邮政编码</w:t>
            </w:r>
          </w:p>
        </w:tc>
        <w:tc>
          <w:tcPr>
            <w:tcW w:w="1476" w:type="dxa"/>
            <w:tcBorders>
              <w:tl2br w:val="nil"/>
              <w:tr2bl w:val="nil"/>
            </w:tcBorders>
            <w:vAlign w:val="center"/>
          </w:tcPr>
          <w:p>
            <w:pPr>
              <w:jc w:val="center"/>
              <w:rPr>
                <w:sz w:val="24"/>
              </w:rPr>
            </w:pPr>
            <w:r>
              <w:rPr>
                <w:sz w:val="24"/>
              </w:rPr>
              <w:t>572000</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b/>
                <w:bCs/>
                <w:sz w:val="24"/>
              </w:rPr>
            </w:pPr>
            <w:r>
              <w:rPr>
                <w:rFonts w:hint="eastAsia"/>
                <w:b/>
                <w:bCs/>
                <w:sz w:val="24"/>
              </w:rPr>
              <w:t>建设地点</w:t>
            </w:r>
          </w:p>
        </w:tc>
        <w:tc>
          <w:tcPr>
            <w:tcW w:w="7650" w:type="dxa"/>
            <w:gridSpan w:val="8"/>
            <w:tcBorders>
              <w:tl2br w:val="nil"/>
              <w:tr2bl w:val="nil"/>
            </w:tcBorders>
            <w:vAlign w:val="center"/>
          </w:tcPr>
          <w:p>
            <w:pPr>
              <w:jc w:val="center"/>
              <w:rPr>
                <w:sz w:val="24"/>
              </w:rPr>
            </w:pPr>
            <w:r>
              <w:rPr>
                <w:rFonts w:hint="eastAsia"/>
                <w:sz w:val="24"/>
              </w:rPr>
              <w:t>三亚市天涯区</w:t>
            </w:r>
            <w:r>
              <w:rPr>
                <w:rFonts w:hint="eastAsia"/>
                <w:kern w:val="0"/>
                <w:sz w:val="24"/>
              </w:rPr>
              <w:t>水蛟路延伸段（大溪桥至垃圾填埋场）</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b/>
                <w:bCs/>
                <w:sz w:val="24"/>
              </w:rPr>
            </w:pPr>
            <w:r>
              <w:rPr>
                <w:rFonts w:hint="eastAsia"/>
                <w:b/>
                <w:bCs/>
                <w:sz w:val="24"/>
              </w:rPr>
              <w:t>立项审批部门</w:t>
            </w:r>
          </w:p>
        </w:tc>
        <w:tc>
          <w:tcPr>
            <w:tcW w:w="3599" w:type="dxa"/>
            <w:gridSpan w:val="3"/>
            <w:tcBorders>
              <w:tl2br w:val="nil"/>
              <w:tr2bl w:val="nil"/>
            </w:tcBorders>
            <w:vAlign w:val="center"/>
          </w:tcPr>
          <w:p>
            <w:pPr>
              <w:jc w:val="center"/>
              <w:rPr>
                <w:sz w:val="24"/>
              </w:rPr>
            </w:pPr>
            <w:r>
              <w:rPr>
                <w:rFonts w:hint="eastAsia"/>
                <w:sz w:val="24"/>
              </w:rPr>
              <w:t>三亚市发展和改革委员会</w:t>
            </w:r>
          </w:p>
        </w:tc>
        <w:tc>
          <w:tcPr>
            <w:tcW w:w="1385" w:type="dxa"/>
            <w:gridSpan w:val="3"/>
            <w:tcBorders>
              <w:tl2br w:val="nil"/>
              <w:tr2bl w:val="nil"/>
            </w:tcBorders>
            <w:vAlign w:val="center"/>
          </w:tcPr>
          <w:p>
            <w:pPr>
              <w:jc w:val="center"/>
              <w:rPr>
                <w:b/>
                <w:bCs/>
                <w:sz w:val="24"/>
              </w:rPr>
            </w:pPr>
            <w:r>
              <w:rPr>
                <w:rFonts w:hint="eastAsia"/>
                <w:b/>
                <w:bCs/>
                <w:sz w:val="24"/>
              </w:rPr>
              <w:t>批准文号</w:t>
            </w:r>
          </w:p>
        </w:tc>
        <w:tc>
          <w:tcPr>
            <w:tcW w:w="2666" w:type="dxa"/>
            <w:gridSpan w:val="2"/>
            <w:tcBorders>
              <w:tl2br w:val="nil"/>
              <w:tr2bl w:val="nil"/>
            </w:tcBorders>
            <w:vAlign w:val="center"/>
          </w:tcPr>
          <w:p>
            <w:pPr>
              <w:jc w:val="center"/>
              <w:rPr>
                <w:sz w:val="24"/>
              </w:rPr>
            </w:pPr>
            <w:r>
              <w:rPr>
                <w:rFonts w:hint="eastAsia"/>
                <w:sz w:val="24"/>
              </w:rPr>
              <w:t>三发改投[2019]432号</w:t>
            </w:r>
          </w:p>
        </w:tc>
      </w:tr>
      <w:tr>
        <w:tblPrEx>
          <w:tblW w:w="9719" w:type="dxa"/>
          <w:jc w:val="center"/>
          <w:tblLayout w:type="fixed"/>
          <w:tblCellMar>
            <w:top w:w="0" w:type="dxa"/>
            <w:left w:w="108" w:type="dxa"/>
            <w:bottom w:w="0" w:type="dxa"/>
            <w:right w:w="108" w:type="dxa"/>
          </w:tblCellMar>
        </w:tblPrEx>
        <w:trPr>
          <w:trHeight w:val="483"/>
          <w:jc w:val="center"/>
        </w:trPr>
        <w:tc>
          <w:tcPr>
            <w:tcW w:w="2069" w:type="dxa"/>
            <w:tcBorders>
              <w:tl2br w:val="nil"/>
              <w:tr2bl w:val="nil"/>
            </w:tcBorders>
            <w:vAlign w:val="center"/>
          </w:tcPr>
          <w:p>
            <w:pPr>
              <w:jc w:val="center"/>
              <w:rPr>
                <w:b/>
                <w:bCs/>
                <w:sz w:val="24"/>
              </w:rPr>
            </w:pPr>
            <w:r>
              <w:rPr>
                <w:rFonts w:hint="eastAsia"/>
                <w:b/>
                <w:bCs/>
                <w:sz w:val="24"/>
              </w:rPr>
              <w:t>建设性质</w:t>
            </w:r>
          </w:p>
        </w:tc>
        <w:tc>
          <w:tcPr>
            <w:tcW w:w="3599" w:type="dxa"/>
            <w:gridSpan w:val="3"/>
            <w:tcBorders>
              <w:tl2br w:val="nil"/>
              <w:tr2bl w:val="nil"/>
            </w:tcBorders>
            <w:vAlign w:val="center"/>
          </w:tcPr>
          <w:p>
            <w:pPr>
              <w:jc w:val="center"/>
              <w:rPr>
                <w:sz w:val="24"/>
              </w:rPr>
            </w:pPr>
            <w:r>
              <w:rPr>
                <w:rFonts w:hint="eastAsia"/>
                <w:bCs/>
                <w:sz w:val="24"/>
              </w:rPr>
              <w:t>新建☑改扩建□技改□</w:t>
            </w:r>
          </w:p>
        </w:tc>
        <w:tc>
          <w:tcPr>
            <w:tcW w:w="1385" w:type="dxa"/>
            <w:gridSpan w:val="3"/>
            <w:tcBorders>
              <w:tl2br w:val="nil"/>
              <w:tr2bl w:val="nil"/>
            </w:tcBorders>
            <w:vAlign w:val="center"/>
          </w:tcPr>
          <w:p>
            <w:pPr>
              <w:jc w:val="center"/>
              <w:rPr>
                <w:b/>
                <w:bCs/>
                <w:sz w:val="24"/>
              </w:rPr>
            </w:pPr>
            <w:r>
              <w:rPr>
                <w:rFonts w:hint="eastAsia"/>
                <w:b/>
                <w:bCs/>
                <w:sz w:val="24"/>
              </w:rPr>
              <w:t>行业类别</w:t>
            </w:r>
          </w:p>
          <w:p>
            <w:pPr>
              <w:jc w:val="center"/>
              <w:rPr>
                <w:b/>
                <w:bCs/>
                <w:sz w:val="24"/>
              </w:rPr>
            </w:pPr>
            <w:r>
              <w:rPr>
                <w:rFonts w:hint="eastAsia"/>
                <w:b/>
                <w:bCs/>
                <w:sz w:val="24"/>
              </w:rPr>
              <w:t>及代码</w:t>
            </w:r>
          </w:p>
        </w:tc>
        <w:tc>
          <w:tcPr>
            <w:tcW w:w="2666" w:type="dxa"/>
            <w:gridSpan w:val="2"/>
            <w:tcBorders>
              <w:tl2br w:val="nil"/>
              <w:tr2bl w:val="nil"/>
            </w:tcBorders>
            <w:vAlign w:val="center"/>
          </w:tcPr>
          <w:p>
            <w:pPr>
              <w:jc w:val="center"/>
              <w:rPr>
                <w:b/>
                <w:sz w:val="24"/>
              </w:rPr>
            </w:pPr>
            <w:r>
              <w:rPr>
                <w:sz w:val="24"/>
              </w:rPr>
              <w:t>E4852</w:t>
            </w:r>
            <w:r>
              <w:rPr>
                <w:rFonts w:hint="eastAsia"/>
                <w:sz w:val="24"/>
              </w:rPr>
              <w:t>管道工程建筑</w:t>
            </w:r>
          </w:p>
        </w:tc>
      </w:tr>
      <w:tr>
        <w:tblPrEx>
          <w:tblW w:w="9719" w:type="dxa"/>
          <w:jc w:val="center"/>
          <w:tblLayout w:type="fixed"/>
          <w:tblCellMar>
            <w:top w:w="0" w:type="dxa"/>
            <w:left w:w="108" w:type="dxa"/>
            <w:bottom w:w="0" w:type="dxa"/>
            <w:right w:w="108" w:type="dxa"/>
          </w:tblCellMar>
        </w:tblPrEx>
        <w:trPr>
          <w:trHeight w:val="483"/>
          <w:jc w:val="center"/>
        </w:trPr>
        <w:tc>
          <w:tcPr>
            <w:tcW w:w="2069" w:type="dxa"/>
            <w:tcBorders>
              <w:tl2br w:val="nil"/>
              <w:tr2bl w:val="nil"/>
            </w:tcBorders>
            <w:vAlign w:val="center"/>
          </w:tcPr>
          <w:p>
            <w:pPr>
              <w:jc w:val="center"/>
              <w:rPr>
                <w:b/>
                <w:bCs/>
                <w:sz w:val="24"/>
              </w:rPr>
            </w:pPr>
            <w:r>
              <w:rPr>
                <w:rFonts w:hint="eastAsia"/>
                <w:b/>
                <w:bCs/>
                <w:sz w:val="24"/>
              </w:rPr>
              <w:t>占地面积</w:t>
            </w:r>
            <w:r>
              <w:rPr>
                <w:b/>
                <w:bCs/>
                <w:sz w:val="24"/>
              </w:rPr>
              <w:t>(</w:t>
            </w:r>
            <w:r>
              <w:rPr>
                <w:rFonts w:hint="eastAsia"/>
                <w:b/>
                <w:bCs/>
                <w:sz w:val="24"/>
              </w:rPr>
              <w:t>平方米</w:t>
            </w:r>
            <w:r>
              <w:rPr>
                <w:b/>
                <w:bCs/>
                <w:sz w:val="24"/>
              </w:rPr>
              <w:t>)</w:t>
            </w:r>
          </w:p>
        </w:tc>
        <w:tc>
          <w:tcPr>
            <w:tcW w:w="3599" w:type="dxa"/>
            <w:gridSpan w:val="3"/>
            <w:tcBorders>
              <w:tl2br w:val="nil"/>
              <w:tr2bl w:val="nil"/>
            </w:tcBorders>
            <w:vAlign w:val="center"/>
          </w:tcPr>
          <w:p>
            <w:pPr>
              <w:jc w:val="center"/>
              <w:rPr>
                <w:sz w:val="24"/>
              </w:rPr>
            </w:pPr>
            <w:r>
              <w:rPr>
                <w:rFonts w:hint="eastAsia"/>
                <w:sz w:val="24"/>
              </w:rPr>
              <w:t>/</w:t>
            </w:r>
          </w:p>
        </w:tc>
        <w:tc>
          <w:tcPr>
            <w:tcW w:w="1385" w:type="dxa"/>
            <w:gridSpan w:val="3"/>
            <w:tcBorders>
              <w:tl2br w:val="nil"/>
              <w:tr2bl w:val="nil"/>
            </w:tcBorders>
            <w:vAlign w:val="center"/>
          </w:tcPr>
          <w:p>
            <w:pPr>
              <w:jc w:val="center"/>
              <w:rPr>
                <w:b/>
                <w:bCs/>
                <w:sz w:val="24"/>
              </w:rPr>
            </w:pPr>
            <w:r>
              <w:rPr>
                <w:rFonts w:hint="eastAsia"/>
                <w:b/>
                <w:bCs/>
                <w:sz w:val="24"/>
              </w:rPr>
              <w:t>绿化面积</w:t>
            </w:r>
          </w:p>
          <w:p>
            <w:pPr>
              <w:jc w:val="center"/>
              <w:rPr>
                <w:b/>
                <w:bCs/>
                <w:sz w:val="24"/>
              </w:rPr>
            </w:pPr>
            <w:r>
              <w:rPr>
                <w:b/>
                <w:bCs/>
                <w:sz w:val="24"/>
              </w:rPr>
              <w:t>(</w:t>
            </w:r>
            <w:r>
              <w:rPr>
                <w:rFonts w:hint="eastAsia"/>
                <w:b/>
                <w:bCs/>
                <w:sz w:val="24"/>
              </w:rPr>
              <w:t>平方米</w:t>
            </w:r>
            <w:r>
              <w:rPr>
                <w:b/>
                <w:bCs/>
                <w:sz w:val="24"/>
              </w:rPr>
              <w:t>)</w:t>
            </w:r>
          </w:p>
        </w:tc>
        <w:tc>
          <w:tcPr>
            <w:tcW w:w="2666" w:type="dxa"/>
            <w:gridSpan w:val="2"/>
            <w:tcBorders>
              <w:tl2br w:val="nil"/>
              <w:tr2bl w:val="nil"/>
            </w:tcBorders>
            <w:vAlign w:val="center"/>
          </w:tcPr>
          <w:p>
            <w:pPr>
              <w:jc w:val="center"/>
              <w:rPr>
                <w:sz w:val="24"/>
              </w:rPr>
            </w:pPr>
            <w:r>
              <w:rPr>
                <w:rFonts w:hint="eastAsia"/>
                <w:sz w:val="24"/>
              </w:rPr>
              <w:t>/</w:t>
            </w:r>
          </w:p>
        </w:tc>
      </w:tr>
      <w:tr>
        <w:tblPrEx>
          <w:tblW w:w="9719" w:type="dxa"/>
          <w:jc w:val="center"/>
          <w:tblLayout w:type="fixed"/>
          <w:tblCellMar>
            <w:top w:w="0" w:type="dxa"/>
            <w:left w:w="108" w:type="dxa"/>
            <w:bottom w:w="0" w:type="dxa"/>
            <w:right w:w="108" w:type="dxa"/>
          </w:tblCellMar>
        </w:tblPrEx>
        <w:trPr>
          <w:trHeight w:val="962"/>
          <w:jc w:val="center"/>
        </w:trPr>
        <w:tc>
          <w:tcPr>
            <w:tcW w:w="2069" w:type="dxa"/>
            <w:tcBorders>
              <w:tl2br w:val="nil"/>
              <w:tr2bl w:val="nil"/>
            </w:tcBorders>
            <w:vAlign w:val="center"/>
          </w:tcPr>
          <w:p>
            <w:pPr>
              <w:jc w:val="center"/>
              <w:rPr>
                <w:b/>
                <w:bCs/>
                <w:sz w:val="24"/>
              </w:rPr>
            </w:pPr>
            <w:r>
              <w:rPr>
                <w:rFonts w:hint="eastAsia"/>
                <w:b/>
                <w:bCs/>
                <w:sz w:val="24"/>
              </w:rPr>
              <w:t>总投资（万元）</w:t>
            </w:r>
          </w:p>
        </w:tc>
        <w:tc>
          <w:tcPr>
            <w:tcW w:w="1818" w:type="dxa"/>
            <w:tcBorders>
              <w:tl2br w:val="nil"/>
              <w:tr2bl w:val="nil"/>
            </w:tcBorders>
            <w:vAlign w:val="center"/>
          </w:tcPr>
          <w:p>
            <w:pPr>
              <w:jc w:val="center"/>
              <w:rPr>
                <w:sz w:val="24"/>
              </w:rPr>
            </w:pPr>
            <w:r>
              <w:rPr>
                <w:rFonts w:hint="eastAsia"/>
                <w:sz w:val="24"/>
              </w:rPr>
              <w:t>1264. 29</w:t>
            </w:r>
          </w:p>
        </w:tc>
        <w:tc>
          <w:tcPr>
            <w:tcW w:w="1781" w:type="dxa"/>
            <w:gridSpan w:val="2"/>
            <w:tcBorders>
              <w:tl2br w:val="nil"/>
              <w:tr2bl w:val="nil"/>
            </w:tcBorders>
            <w:vAlign w:val="center"/>
          </w:tcPr>
          <w:p>
            <w:pPr>
              <w:jc w:val="center"/>
              <w:rPr>
                <w:b/>
                <w:bCs/>
                <w:sz w:val="24"/>
              </w:rPr>
            </w:pPr>
            <w:r>
              <w:rPr>
                <w:rFonts w:hint="eastAsia"/>
                <w:b/>
                <w:bCs/>
                <w:sz w:val="24"/>
              </w:rPr>
              <w:t>其中：环保</w:t>
            </w:r>
          </w:p>
          <w:p>
            <w:pPr>
              <w:jc w:val="center"/>
              <w:rPr>
                <w:b/>
                <w:bCs/>
                <w:sz w:val="24"/>
              </w:rPr>
            </w:pPr>
            <w:r>
              <w:rPr>
                <w:rFonts w:hint="eastAsia"/>
                <w:b/>
                <w:bCs/>
                <w:sz w:val="24"/>
              </w:rPr>
              <w:t>投资</w:t>
            </w:r>
            <w:r>
              <w:rPr>
                <w:b/>
                <w:bCs/>
                <w:sz w:val="24"/>
              </w:rPr>
              <w:t>(</w:t>
            </w:r>
            <w:r>
              <w:rPr>
                <w:rFonts w:hint="eastAsia"/>
                <w:b/>
                <w:bCs/>
                <w:sz w:val="24"/>
              </w:rPr>
              <w:t>万元</w:t>
            </w:r>
            <w:r>
              <w:rPr>
                <w:b/>
                <w:bCs/>
                <w:sz w:val="24"/>
              </w:rPr>
              <w:t>)</w:t>
            </w:r>
          </w:p>
        </w:tc>
        <w:tc>
          <w:tcPr>
            <w:tcW w:w="1385" w:type="dxa"/>
            <w:gridSpan w:val="3"/>
            <w:tcBorders>
              <w:tl2br w:val="nil"/>
              <w:tr2bl w:val="nil"/>
            </w:tcBorders>
            <w:vAlign w:val="center"/>
          </w:tcPr>
          <w:p>
            <w:pPr>
              <w:jc w:val="center"/>
              <w:rPr>
                <w:sz w:val="24"/>
              </w:rPr>
            </w:pPr>
            <w:r>
              <w:rPr>
                <w:rFonts w:hint="eastAsia"/>
                <w:sz w:val="24"/>
              </w:rPr>
              <w:t>41</w:t>
            </w:r>
          </w:p>
        </w:tc>
        <w:tc>
          <w:tcPr>
            <w:tcW w:w="1190" w:type="dxa"/>
            <w:tcBorders>
              <w:tl2br w:val="nil"/>
              <w:tr2bl w:val="nil"/>
            </w:tcBorders>
            <w:vAlign w:val="center"/>
          </w:tcPr>
          <w:p>
            <w:pPr>
              <w:jc w:val="center"/>
              <w:rPr>
                <w:sz w:val="24"/>
              </w:rPr>
            </w:pPr>
            <w:r>
              <w:rPr>
                <w:rFonts w:hint="eastAsia"/>
                <w:b/>
                <w:bCs/>
                <w:sz w:val="24"/>
              </w:rPr>
              <w:t>环保投资占总投资比例</w:t>
            </w:r>
            <w:r>
              <w:rPr>
                <w:b/>
                <w:bCs/>
                <w:sz w:val="24"/>
              </w:rPr>
              <w:t>%</w:t>
            </w:r>
          </w:p>
        </w:tc>
        <w:tc>
          <w:tcPr>
            <w:tcW w:w="1476" w:type="dxa"/>
            <w:tcBorders>
              <w:tl2br w:val="nil"/>
              <w:tr2bl w:val="nil"/>
            </w:tcBorders>
            <w:vAlign w:val="center"/>
          </w:tcPr>
          <w:p>
            <w:pPr>
              <w:jc w:val="center"/>
              <w:rPr>
                <w:sz w:val="24"/>
              </w:rPr>
            </w:pPr>
            <w:r>
              <w:rPr>
                <w:rFonts w:hint="eastAsia"/>
                <w:sz w:val="24"/>
              </w:rPr>
              <w:t>3.2</w:t>
            </w:r>
          </w:p>
        </w:tc>
      </w:tr>
      <w:tr>
        <w:tblPrEx>
          <w:tblW w:w="9719" w:type="dxa"/>
          <w:jc w:val="center"/>
          <w:tblLayout w:type="fixed"/>
          <w:tblCellMar>
            <w:top w:w="0" w:type="dxa"/>
            <w:left w:w="108" w:type="dxa"/>
            <w:bottom w:w="0" w:type="dxa"/>
            <w:right w:w="108" w:type="dxa"/>
          </w:tblCellMar>
        </w:tblPrEx>
        <w:trPr>
          <w:trHeight w:val="962"/>
          <w:jc w:val="center"/>
        </w:trPr>
        <w:tc>
          <w:tcPr>
            <w:tcW w:w="2069" w:type="dxa"/>
            <w:tcBorders>
              <w:tl2br w:val="nil"/>
              <w:tr2bl w:val="nil"/>
            </w:tcBorders>
            <w:vAlign w:val="center"/>
          </w:tcPr>
          <w:p>
            <w:pPr>
              <w:jc w:val="center"/>
              <w:rPr>
                <w:b/>
                <w:bCs/>
                <w:sz w:val="24"/>
              </w:rPr>
            </w:pPr>
            <w:r>
              <w:rPr>
                <w:rFonts w:hint="eastAsia"/>
                <w:b/>
                <w:bCs/>
                <w:sz w:val="24"/>
              </w:rPr>
              <w:t>评价经费（万元）</w:t>
            </w:r>
          </w:p>
        </w:tc>
        <w:tc>
          <w:tcPr>
            <w:tcW w:w="1818" w:type="dxa"/>
            <w:tcBorders>
              <w:tl2br w:val="nil"/>
              <w:tr2bl w:val="nil"/>
            </w:tcBorders>
            <w:vAlign w:val="center"/>
          </w:tcPr>
          <w:p>
            <w:pPr>
              <w:jc w:val="center"/>
              <w:rPr>
                <w:sz w:val="24"/>
              </w:rPr>
            </w:pPr>
            <w:r>
              <w:rPr>
                <w:sz w:val="24"/>
              </w:rPr>
              <w:t>--</w:t>
            </w:r>
          </w:p>
        </w:tc>
        <w:tc>
          <w:tcPr>
            <w:tcW w:w="1781" w:type="dxa"/>
            <w:gridSpan w:val="2"/>
            <w:tcBorders>
              <w:tl2br w:val="nil"/>
              <w:tr2bl w:val="nil"/>
            </w:tcBorders>
            <w:vAlign w:val="center"/>
          </w:tcPr>
          <w:p>
            <w:pPr>
              <w:jc w:val="center"/>
              <w:rPr>
                <w:b/>
                <w:bCs/>
                <w:sz w:val="24"/>
              </w:rPr>
            </w:pPr>
            <w:r>
              <w:rPr>
                <w:rFonts w:hint="eastAsia"/>
                <w:b/>
                <w:bCs/>
                <w:sz w:val="24"/>
              </w:rPr>
              <w:t>预期投产日期</w:t>
            </w:r>
          </w:p>
        </w:tc>
        <w:tc>
          <w:tcPr>
            <w:tcW w:w="4051" w:type="dxa"/>
            <w:gridSpan w:val="5"/>
            <w:tcBorders>
              <w:tl2br w:val="nil"/>
              <w:tr2bl w:val="nil"/>
            </w:tcBorders>
            <w:vAlign w:val="center"/>
          </w:tcPr>
          <w:p>
            <w:pPr>
              <w:jc w:val="center"/>
              <w:rPr>
                <w:sz w:val="24"/>
              </w:rPr>
            </w:pPr>
            <w:r>
              <w:rPr>
                <w:sz w:val="24"/>
              </w:rPr>
              <w:t>202</w:t>
            </w:r>
            <w:r>
              <w:rPr>
                <w:rFonts w:hint="eastAsia"/>
                <w:sz w:val="24"/>
              </w:rPr>
              <w:t>1年2月</w:t>
            </w:r>
          </w:p>
        </w:tc>
      </w:tr>
      <w:tr>
        <w:tblPrEx>
          <w:tblW w:w="9719" w:type="dxa"/>
          <w:jc w:val="center"/>
          <w:tblLayout w:type="fixed"/>
          <w:tblCellMar>
            <w:top w:w="0" w:type="dxa"/>
            <w:left w:w="108" w:type="dxa"/>
            <w:bottom w:w="0" w:type="dxa"/>
            <w:right w:w="108" w:type="dxa"/>
          </w:tblCellMar>
        </w:tblPrEx>
        <w:trPr>
          <w:trHeight w:val="90"/>
          <w:jc w:val="center"/>
        </w:trPr>
        <w:tc>
          <w:tcPr>
            <w:tcW w:w="9719" w:type="dxa"/>
            <w:gridSpan w:val="9"/>
            <w:tcBorders>
              <w:tl2br w:val="nil"/>
              <w:tr2bl w:val="nil"/>
            </w:tcBorders>
            <w:vAlign w:val="center"/>
          </w:tcPr>
          <w:p>
            <w:pPr>
              <w:pStyle w:val="NormalIndent"/>
              <w:adjustRightInd w:val="0"/>
              <w:snapToGrid w:val="0"/>
              <w:spacing w:line="540" w:lineRule="exact"/>
              <w:ind w:firstLine="0" w:firstLineChars="0"/>
              <w:rPr>
                <w:rFonts w:ascii="Times New Roman" w:hAnsi="Times New Roman"/>
                <w:b/>
                <w:sz w:val="28"/>
                <w:szCs w:val="28"/>
              </w:rPr>
            </w:pPr>
            <w:r>
              <w:rPr>
                <w:b/>
                <w:sz w:val="24"/>
              </w:rPr>
              <w:t xml:space="preserve"> </w:t>
            </w:r>
            <w:r>
              <w:rPr>
                <w:rFonts w:ascii="Times New Roman" w:hAnsi="Times New Roman"/>
                <w:b/>
                <w:sz w:val="28"/>
                <w:szCs w:val="28"/>
              </w:rPr>
              <w:t>工程内容及规模：</w:t>
            </w:r>
          </w:p>
          <w:p>
            <w:pPr>
              <w:pStyle w:val="NormalIndent"/>
              <w:adjustRightInd w:val="0"/>
              <w:snapToGrid w:val="0"/>
              <w:spacing w:line="540" w:lineRule="exact"/>
              <w:ind w:firstLine="482"/>
              <w:rPr>
                <w:rFonts w:ascii="Times New Roman" w:hAnsi="Times New Roman"/>
                <w:b/>
                <w:sz w:val="24"/>
                <w:szCs w:val="28"/>
              </w:rPr>
            </w:pPr>
            <w:r>
              <w:rPr>
                <w:rFonts w:ascii="Times New Roman" w:hAnsi="Times New Roman"/>
                <w:b/>
                <w:sz w:val="24"/>
                <w:szCs w:val="28"/>
              </w:rPr>
              <w:t>一、项目由来</w:t>
            </w:r>
          </w:p>
          <w:p>
            <w:pPr>
              <w:pStyle w:val="1"/>
              <w:adjustRightInd w:val="0"/>
              <w:spacing w:line="540" w:lineRule="exact"/>
              <w:ind w:firstLine="480" w:firstLineChars="200"/>
              <w:jc w:val="both"/>
              <w:rPr>
                <w:rFonts w:ascii="Times New Roman"/>
                <w:b w:val="0"/>
                <w:bCs w:val="0"/>
                <w:kern w:val="0"/>
                <w:sz w:val="24"/>
                <w:szCs w:val="24"/>
              </w:rPr>
            </w:pPr>
            <w:r>
              <w:rPr>
                <w:rFonts w:ascii="Times New Roman"/>
                <w:b w:val="0"/>
                <w:bCs w:val="0"/>
                <w:kern w:val="0"/>
                <w:sz w:val="24"/>
                <w:szCs w:val="24"/>
              </w:rPr>
              <w:t>本项目位于三亚市天涯区水蛟路延伸段（大溪桥至垃圾填埋场）。因水蛟路延伸段现状道路尚未有规划污水管网，垃圾填埋场员工生活污水及道路沿线居民生活污水得不到有效收集，为解决道路沿线两侧居民生活污水及填埋场员工生活污水收集问题</w:t>
            </w:r>
            <w:r>
              <w:rPr>
                <w:rFonts w:ascii="Times New Roman"/>
                <w:b w:val="0"/>
                <w:bCs w:val="0"/>
                <w:sz w:val="24"/>
              </w:rPr>
              <w:t>，建设单位拟实施三亚市水蛟路延伸段（大溪桥至垃圾填埋场）污水</w:t>
            </w:r>
            <w:r>
              <w:rPr>
                <w:rFonts w:ascii="Times New Roman" w:hint="eastAsia"/>
                <w:b w:val="0"/>
                <w:bCs w:val="0"/>
                <w:sz w:val="24"/>
              </w:rPr>
              <w:t>改造</w:t>
            </w:r>
            <w:r>
              <w:rPr>
                <w:rFonts w:ascii="Times New Roman"/>
                <w:b w:val="0"/>
                <w:bCs w:val="0"/>
                <w:sz w:val="24"/>
              </w:rPr>
              <w:t>工程。</w:t>
            </w:r>
          </w:p>
          <w:p>
            <w:pPr>
              <w:pStyle w:val="1"/>
              <w:adjustRightInd w:val="0"/>
              <w:spacing w:line="540" w:lineRule="exact"/>
              <w:ind w:firstLine="480" w:firstLineChars="200"/>
              <w:jc w:val="both"/>
              <w:rPr>
                <w:rFonts w:ascii="Times New Roman"/>
                <w:b w:val="0"/>
                <w:bCs w:val="0"/>
                <w:kern w:val="0"/>
                <w:sz w:val="24"/>
                <w:szCs w:val="24"/>
              </w:rPr>
            </w:pPr>
            <w:r>
              <w:rPr>
                <w:rFonts w:ascii="Times New Roman" w:hint="eastAsia"/>
                <w:b w:val="0"/>
                <w:bCs w:val="0"/>
                <w:kern w:val="0"/>
                <w:sz w:val="24"/>
                <w:szCs w:val="24"/>
              </w:rPr>
              <w:t>本项目</w:t>
            </w:r>
            <w:r>
              <w:rPr>
                <w:rFonts w:ascii="Times New Roman"/>
                <w:b w:val="0"/>
                <w:bCs w:val="0"/>
                <w:kern w:val="0"/>
                <w:sz w:val="24"/>
                <w:szCs w:val="24"/>
              </w:rPr>
              <w:t>三亚市天涯区水蛟路延伸段（大溪桥至垃圾填埋场），</w:t>
            </w:r>
            <w:r>
              <w:rPr>
                <w:rFonts w:ascii="Times New Roman" w:hint="eastAsia"/>
                <w:b w:val="0"/>
                <w:bCs w:val="0"/>
                <w:kern w:val="0"/>
                <w:sz w:val="24"/>
                <w:szCs w:val="24"/>
              </w:rPr>
              <w:t>起点位于</w:t>
            </w:r>
            <w:r>
              <w:rPr>
                <w:rFonts w:ascii="Times New Roman"/>
                <w:b w:val="0"/>
                <w:bCs w:val="0"/>
                <w:kern w:val="0"/>
                <w:sz w:val="24"/>
                <w:szCs w:val="24"/>
              </w:rPr>
              <w:t>大溪桥</w:t>
            </w:r>
            <w:r>
              <w:rPr>
                <w:rFonts w:ascii="Times New Roman" w:hint="eastAsia"/>
                <w:b w:val="0"/>
                <w:bCs w:val="0"/>
                <w:kern w:val="0"/>
                <w:sz w:val="24"/>
                <w:szCs w:val="24"/>
              </w:rPr>
              <w:t>，终点位于</w:t>
            </w:r>
            <w:r>
              <w:rPr>
                <w:rFonts w:ascii="Times New Roman"/>
                <w:b w:val="0"/>
                <w:bCs w:val="0"/>
                <w:kern w:val="0"/>
                <w:sz w:val="24"/>
                <w:szCs w:val="24"/>
              </w:rPr>
              <w:t>垃圾填埋场路口</w:t>
            </w:r>
            <w:r>
              <w:rPr>
                <w:rFonts w:ascii="Times New Roman" w:hint="eastAsia"/>
                <w:b w:val="0"/>
                <w:bCs w:val="0"/>
                <w:kern w:val="0"/>
                <w:sz w:val="24"/>
                <w:szCs w:val="24"/>
              </w:rPr>
              <w:t>。</w:t>
            </w:r>
            <w:r>
              <w:rPr>
                <w:rFonts w:ascii="Times New Roman"/>
                <w:b w:val="0"/>
                <w:bCs w:val="0"/>
                <w:kern w:val="0"/>
                <w:sz w:val="24"/>
                <w:szCs w:val="24"/>
              </w:rPr>
              <w:t>项目拟建污水管道总长4510m，其中DN300管道长718m，DN400管道长3792m，新建污水检查井203座及其附属构筑物。</w:t>
            </w:r>
            <w:r>
              <w:rPr>
                <w:rFonts w:ascii="Times New Roman"/>
                <w:b w:val="0"/>
                <w:bCs w:val="0"/>
                <w:sz w:val="24"/>
              </w:rPr>
              <w:t>项目总投资为1264. 29万元，环保投资为41万元，环保投资占总投资比例为3.2%。</w:t>
            </w:r>
          </w:p>
          <w:p>
            <w:pPr>
              <w:adjustRightInd w:val="0"/>
              <w:snapToGrid w:val="0"/>
              <w:spacing w:after="0" w:line="540" w:lineRule="exact"/>
              <w:ind w:firstLine="480" w:firstLineChars="200"/>
              <w:jc w:val="left"/>
              <w:rPr>
                <w:color w:val="0D0D0D"/>
                <w:sz w:val="24"/>
              </w:rPr>
            </w:pPr>
            <w:r>
              <w:rPr>
                <w:sz w:val="24"/>
              </w:rPr>
              <w:t>根据《中华人民共和国环境影响评价法》、《建设项目环境保护管理条例》及《建设项目环境影响评价分类管理名录》的有关法律法规的规定，该项目的实施应进行环境影响评价。依据《建设项目环境影响评价分类管理名录》（2018年本），本项目属于“四十九、交通运输业、管道运输业和仓储业”中的“</w:t>
            </w:r>
          </w:p>
        </w:tc>
      </w:tr>
    </w:tbl>
    <w:p>
      <w:pPr>
        <w:sectPr>
          <w:footerReference w:type="default" r:id="rId8"/>
          <w:pgSz w:w="11906" w:h="16838"/>
          <w:pgMar w:top="1440" w:right="1800" w:bottom="1440" w:left="1800" w:header="851" w:footer="992" w:gutter="0"/>
          <w:pgNumType w:fmt="decimal" w:start="1"/>
          <w:cols w:num="1" w:space="425"/>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adjustRightInd w:val="0"/>
              <w:snapToGrid w:val="0"/>
              <w:spacing w:before="0" w:line="540" w:lineRule="exact"/>
              <w:ind w:firstLine="480" w:firstLineChars="200"/>
              <w:jc w:val="left"/>
              <w:rPr>
                <w:color w:val="0D0D0D"/>
                <w:sz w:val="24"/>
              </w:rPr>
            </w:pPr>
            <w:r>
              <w:rPr>
                <w:kern w:val="0"/>
                <w:sz w:val="24"/>
                <w:lang w:bidi="ar"/>
              </w:rPr>
              <w:t>175城镇管网及管廊建设（不含1.6兆帕及一下天然气管道）—新建</w:t>
            </w:r>
            <w:r>
              <w:rPr>
                <w:sz w:val="24"/>
              </w:rPr>
              <w:t>”类别，应编制环境评价报告表。受三亚市市政维护应急中心的委托，</w:t>
            </w:r>
            <w:r>
              <w:rPr>
                <w:color w:val="0D0D0D"/>
                <w:sz w:val="24"/>
              </w:rPr>
              <w:t>海南琼州环境评价有限公司（以下简称“我司”）承担该项目的环境影响评价工作。我公司接受委托后，立即组织技术人员、收集资料、深入现场踏勘、了解环境概况，按照《环境影响评价技术导则》及其它有关文件要求，编制完成了本项目环境影响评价报告表。</w:t>
            </w:r>
          </w:p>
          <w:p>
            <w:pPr>
              <w:pStyle w:val="1"/>
              <w:adjustRightInd w:val="0"/>
              <w:spacing w:line="540" w:lineRule="exact"/>
              <w:ind w:firstLine="480" w:firstLineChars="200"/>
              <w:jc w:val="both"/>
              <w:rPr>
                <w:rFonts w:ascii="Times New Roman"/>
                <w:kern w:val="0"/>
                <w:sz w:val="24"/>
                <w:szCs w:val="24"/>
              </w:rPr>
            </w:pPr>
            <w:r>
              <w:rPr>
                <w:rFonts w:ascii="Times New Roman"/>
                <w:kern w:val="0"/>
                <w:sz w:val="24"/>
                <w:szCs w:val="24"/>
              </w:rPr>
              <w:t>二、评价等级及评价范围</w:t>
            </w:r>
          </w:p>
          <w:p>
            <w:pPr>
              <w:pStyle w:val="1"/>
              <w:adjustRightInd w:val="0"/>
              <w:spacing w:line="540" w:lineRule="exact"/>
              <w:ind w:firstLine="480" w:firstLineChars="200"/>
              <w:jc w:val="both"/>
              <w:rPr>
                <w:rFonts w:ascii="Times New Roman"/>
                <w:kern w:val="0"/>
                <w:sz w:val="24"/>
                <w:szCs w:val="24"/>
              </w:rPr>
            </w:pPr>
            <w:r>
              <w:rPr>
                <w:rFonts w:ascii="Times New Roman"/>
                <w:kern w:val="0"/>
                <w:sz w:val="24"/>
                <w:szCs w:val="24"/>
              </w:rPr>
              <w:t>1、地下水</w:t>
            </w:r>
          </w:p>
          <w:p>
            <w:pPr>
              <w:pStyle w:val="NormalIndent"/>
              <w:adjustRightInd w:val="0"/>
              <w:snapToGrid w:val="0"/>
              <w:spacing w:line="540" w:lineRule="exact"/>
              <w:ind w:firstLine="48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本项目属于管网建设工程，根据《环境影响评价技术导则 地下水环境》（HJ610-2016）附录A地下水行业分类表，本项目为“147管网建设”中“全部”类，确定本项目为Ⅳ类项目，根据地下水评价一般性原则，Ⅳ类建设项目不开展地下水影响评价，故本项目不对地下水开展评价。</w:t>
            </w:r>
          </w:p>
          <w:p>
            <w:pPr>
              <w:pStyle w:val="1"/>
              <w:adjustRightInd w:val="0"/>
              <w:spacing w:line="540" w:lineRule="exact"/>
              <w:ind w:firstLine="480" w:firstLineChars="200"/>
              <w:jc w:val="both"/>
              <w:rPr>
                <w:rFonts w:ascii="Times New Roman" w:eastAsia="宋体" w:hint="default"/>
                <w:kern w:val="0"/>
                <w:sz w:val="24"/>
                <w:szCs w:val="24"/>
                <w:lang w:val="en-US" w:eastAsia="zh-CN"/>
              </w:rPr>
            </w:pPr>
            <w:r>
              <w:rPr>
                <w:rFonts w:ascii="Times New Roman" w:hint="eastAsia"/>
                <w:kern w:val="0"/>
                <w:sz w:val="24"/>
                <w:szCs w:val="24"/>
                <w:lang w:val="en-US" w:eastAsia="zh-CN"/>
              </w:rPr>
              <w:t>2、地表水</w:t>
            </w:r>
          </w:p>
          <w:p>
            <w:pPr>
              <w:pStyle w:val="1"/>
              <w:adjustRightInd w:val="0"/>
              <w:spacing w:line="540" w:lineRule="exact"/>
              <w:ind w:firstLine="480" w:firstLineChars="200"/>
              <w:jc w:val="both"/>
              <w:rPr>
                <w:rFonts w:ascii="Times New Roman" w:eastAsia="宋体" w:hint="default"/>
                <w:b w:val="0"/>
                <w:bCs w:val="0"/>
                <w:kern w:val="0"/>
                <w:sz w:val="24"/>
                <w:szCs w:val="24"/>
                <w:lang w:val="en-US" w:eastAsia="zh-CN"/>
              </w:rPr>
            </w:pPr>
            <w:r>
              <w:rPr>
                <w:rFonts w:ascii="Times New Roman" w:hint="eastAsia"/>
                <w:b w:val="0"/>
                <w:bCs w:val="0"/>
                <w:kern w:val="0"/>
                <w:sz w:val="24"/>
                <w:szCs w:val="24"/>
                <w:lang w:val="en-US" w:eastAsia="zh-CN"/>
              </w:rPr>
              <w:t>本项目为管网建设工程，项目建成后无污染物排入附近河流，故本项目不对地表水开展评价。</w:t>
            </w:r>
          </w:p>
          <w:p>
            <w:pPr>
              <w:pStyle w:val="1"/>
              <w:adjustRightInd w:val="0"/>
              <w:spacing w:line="540" w:lineRule="exact"/>
              <w:ind w:firstLine="480" w:firstLineChars="200"/>
              <w:jc w:val="both"/>
              <w:rPr>
                <w:rFonts w:ascii="Times New Roman"/>
                <w:kern w:val="0"/>
                <w:sz w:val="24"/>
                <w:szCs w:val="24"/>
              </w:rPr>
            </w:pPr>
            <w:r>
              <w:rPr>
                <w:rFonts w:ascii="Times New Roman" w:hint="eastAsia"/>
                <w:kern w:val="0"/>
                <w:sz w:val="24"/>
                <w:szCs w:val="24"/>
                <w:lang w:val="en-US" w:eastAsia="zh-CN"/>
              </w:rPr>
              <w:t>3</w:t>
            </w:r>
            <w:r>
              <w:rPr>
                <w:rFonts w:ascii="Times New Roman"/>
                <w:kern w:val="0"/>
                <w:sz w:val="24"/>
                <w:szCs w:val="24"/>
              </w:rPr>
              <w:t>、环境空气</w:t>
            </w:r>
          </w:p>
          <w:p>
            <w:pPr>
              <w:pStyle w:val="1"/>
              <w:adjustRightInd w:val="0"/>
              <w:spacing w:line="540" w:lineRule="exact"/>
              <w:ind w:firstLine="480" w:firstLineChars="200"/>
              <w:jc w:val="both"/>
              <w:rPr>
                <w:rFonts w:ascii="Times New Roman"/>
                <w:b w:val="0"/>
                <w:bCs w:val="0"/>
                <w:kern w:val="0"/>
                <w:sz w:val="24"/>
                <w:szCs w:val="24"/>
              </w:rPr>
            </w:pPr>
            <w:r>
              <w:rPr>
                <w:rFonts w:ascii="Times New Roman"/>
                <w:b w:val="0"/>
                <w:bCs w:val="0"/>
                <w:kern w:val="0"/>
                <w:sz w:val="24"/>
                <w:szCs w:val="24"/>
              </w:rPr>
              <w:t>本项目属于管网建设工程，建成运行后，不产生废气污染，故本项目不对大气环境影响开展评价。</w:t>
            </w:r>
          </w:p>
          <w:p>
            <w:pPr>
              <w:pStyle w:val="1"/>
              <w:adjustRightInd w:val="0"/>
              <w:spacing w:line="540" w:lineRule="exact"/>
              <w:ind w:firstLine="480" w:firstLineChars="200"/>
              <w:jc w:val="both"/>
              <w:rPr>
                <w:rFonts w:ascii="Times New Roman"/>
                <w:kern w:val="0"/>
                <w:sz w:val="24"/>
                <w:szCs w:val="24"/>
              </w:rPr>
            </w:pPr>
            <w:r>
              <w:rPr>
                <w:rFonts w:ascii="Times New Roman" w:hint="eastAsia"/>
                <w:kern w:val="0"/>
                <w:sz w:val="24"/>
                <w:szCs w:val="24"/>
                <w:lang w:val="en-US" w:eastAsia="zh-CN"/>
              </w:rPr>
              <w:t>4</w:t>
            </w:r>
            <w:r>
              <w:rPr>
                <w:rFonts w:ascii="Times New Roman"/>
                <w:kern w:val="0"/>
                <w:sz w:val="24"/>
                <w:szCs w:val="24"/>
              </w:rPr>
              <w:t>、声环境</w:t>
            </w:r>
          </w:p>
          <w:p>
            <w:pPr>
              <w:pStyle w:val="1"/>
              <w:adjustRightInd w:val="0"/>
              <w:spacing w:line="540" w:lineRule="exact"/>
              <w:ind w:firstLine="480" w:firstLineChars="200"/>
              <w:jc w:val="both"/>
              <w:rPr>
                <w:rFonts w:ascii="Times New Roman"/>
                <w:b w:val="0"/>
                <w:bCs w:val="0"/>
                <w:kern w:val="0"/>
                <w:sz w:val="24"/>
                <w:szCs w:val="24"/>
              </w:rPr>
            </w:pPr>
            <w:r>
              <w:rPr>
                <w:rFonts w:ascii="Times New Roman"/>
                <w:b w:val="0"/>
                <w:bCs w:val="0"/>
                <w:kern w:val="0"/>
                <w:sz w:val="24"/>
                <w:szCs w:val="24"/>
              </w:rPr>
              <w:t>本项目属于管网建设工程，本项目无泵站等噪声源，项目建成后不会改变声环境现状，故本项目不对声环境影响开展评价。</w:t>
            </w:r>
          </w:p>
          <w:p>
            <w:pPr>
              <w:pStyle w:val="1"/>
              <w:adjustRightInd w:val="0"/>
              <w:spacing w:line="540" w:lineRule="exact"/>
              <w:ind w:firstLine="480" w:firstLineChars="200"/>
              <w:jc w:val="both"/>
              <w:rPr>
                <w:rFonts w:ascii="Times New Roman"/>
                <w:kern w:val="0"/>
                <w:sz w:val="24"/>
                <w:szCs w:val="24"/>
              </w:rPr>
            </w:pPr>
            <w:r>
              <w:rPr>
                <w:rFonts w:ascii="Times New Roman" w:hint="eastAsia"/>
                <w:kern w:val="0"/>
                <w:sz w:val="24"/>
                <w:szCs w:val="24"/>
                <w:lang w:val="en-US" w:eastAsia="zh-CN"/>
              </w:rPr>
              <w:t>5</w:t>
            </w:r>
            <w:r>
              <w:rPr>
                <w:rFonts w:ascii="Times New Roman"/>
                <w:kern w:val="0"/>
                <w:sz w:val="24"/>
                <w:szCs w:val="24"/>
              </w:rPr>
              <w:t>、土壤环境</w:t>
            </w:r>
          </w:p>
          <w:p>
            <w:pPr>
              <w:pStyle w:val="1"/>
              <w:adjustRightInd w:val="0"/>
              <w:spacing w:line="540" w:lineRule="exact"/>
              <w:ind w:firstLine="480" w:firstLineChars="200"/>
              <w:jc w:val="both"/>
              <w:rPr>
                <w:rFonts w:ascii="Times New Roman"/>
                <w:b w:val="0"/>
                <w:bCs w:val="0"/>
                <w:kern w:val="0"/>
                <w:sz w:val="24"/>
                <w:szCs w:val="24"/>
              </w:rPr>
            </w:pPr>
            <w:r>
              <w:rPr>
                <w:rFonts w:ascii="Times New Roman"/>
                <w:b w:val="0"/>
                <w:bCs w:val="0"/>
                <w:kern w:val="0"/>
                <w:sz w:val="24"/>
                <w:szCs w:val="24"/>
              </w:rPr>
              <w:t>本项目属于管网建设工程，根据《环境影响评价技术导则 土壤环境（试行）》（HJ 964—2018）附录A土壤环境影响评价项目类别，本项目为“其他行业”中“全部”类，确定本项目为Ⅳ类项目，根据土壤环境影响评价一般性原则，Ⅳ类建设项目不开展土壤环境影响评价，故本项目不对土壤环境影响开展评价。</w:t>
            </w:r>
          </w:p>
        </w:tc>
      </w:tr>
    </w:tbl>
    <w:p>
      <w:pPr>
        <w:sectPr>
          <w:footerReference w:type="default" r:id="rId9"/>
          <w:type w:val="nextPage"/>
          <w:pgSz w:w="11906" w:h="16838"/>
          <w:pgMar w:top="1440" w:right="1800" w:bottom="1440" w:left="1800" w:header="851" w:footer="992" w:gutter="0"/>
          <w:pgNumType w:fmt="decimal" w:start="2"/>
          <w:cols w:num="1" w:space="425"/>
          <w:titlePg w:val="0"/>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pStyle w:val="1"/>
              <w:adjustRightInd w:val="0"/>
              <w:spacing w:line="540" w:lineRule="exact"/>
              <w:ind w:firstLine="480" w:firstLineChars="200"/>
              <w:jc w:val="both"/>
              <w:rPr>
                <w:rFonts w:ascii="Times New Roman" w:hint="eastAsia"/>
                <w:kern w:val="0"/>
                <w:sz w:val="24"/>
                <w:szCs w:val="24"/>
                <w:lang w:val="en-US" w:eastAsia="zh-CN"/>
              </w:rPr>
            </w:pPr>
          </w:p>
          <w:p>
            <w:pPr>
              <w:pStyle w:val="1"/>
              <w:adjustRightInd w:val="0"/>
              <w:spacing w:line="540" w:lineRule="exact"/>
              <w:ind w:firstLine="480" w:firstLineChars="200"/>
              <w:jc w:val="both"/>
              <w:rPr>
                <w:rFonts w:ascii="Times New Roman"/>
                <w:kern w:val="0"/>
                <w:sz w:val="24"/>
                <w:szCs w:val="24"/>
              </w:rPr>
            </w:pPr>
            <w:r>
              <w:rPr>
                <w:rFonts w:ascii="Times New Roman" w:hint="eastAsia"/>
                <w:kern w:val="0"/>
                <w:sz w:val="24"/>
                <w:szCs w:val="24"/>
                <w:lang w:val="en-US" w:eastAsia="zh-CN"/>
              </w:rPr>
              <w:t>6</w:t>
            </w:r>
            <w:r>
              <w:rPr>
                <w:rFonts w:ascii="Times New Roman"/>
                <w:kern w:val="0"/>
                <w:sz w:val="24"/>
                <w:szCs w:val="24"/>
              </w:rPr>
              <w:t>、环境风险</w:t>
            </w:r>
          </w:p>
          <w:p>
            <w:pPr>
              <w:pStyle w:val="1"/>
              <w:adjustRightInd w:val="0"/>
              <w:spacing w:line="540" w:lineRule="exact"/>
              <w:ind w:firstLine="480" w:firstLineChars="200"/>
              <w:jc w:val="both"/>
              <w:rPr>
                <w:rFonts w:ascii="Times New Roman"/>
                <w:b w:val="0"/>
                <w:bCs w:val="0"/>
                <w:kern w:val="0"/>
                <w:sz w:val="24"/>
                <w:szCs w:val="24"/>
              </w:rPr>
            </w:pPr>
            <w:r>
              <w:rPr>
                <w:rFonts w:ascii="Times New Roman"/>
                <w:b w:val="0"/>
                <w:bCs w:val="0"/>
                <w:color w:val="0D0D0D"/>
                <w:sz w:val="24"/>
              </w:rPr>
              <w:t>本项目不涉及危险物质及工艺，Q=0。根据《建设项目环境风险评价技术导则》（HJ169-2018），当 Q 值&lt;1 时，直接判定环境风险潜势为 I，只需对建设项目环境风险进行简单分析。</w:t>
            </w:r>
          </w:p>
          <w:p>
            <w:pPr>
              <w:pStyle w:val="1"/>
              <w:adjustRightInd w:val="0"/>
              <w:spacing w:line="540" w:lineRule="exact"/>
              <w:ind w:firstLine="480" w:firstLineChars="200"/>
              <w:jc w:val="both"/>
              <w:rPr>
                <w:rFonts w:ascii="Times New Roman"/>
                <w:kern w:val="0"/>
                <w:sz w:val="24"/>
                <w:szCs w:val="24"/>
              </w:rPr>
            </w:pPr>
            <w:r>
              <w:rPr>
                <w:rFonts w:ascii="Times New Roman"/>
                <w:kern w:val="0"/>
                <w:sz w:val="24"/>
                <w:szCs w:val="24"/>
              </w:rPr>
              <w:t>三、产业政策、规划符合性及选址合理性分析</w:t>
            </w:r>
          </w:p>
          <w:p>
            <w:pPr>
              <w:pStyle w:val="1"/>
              <w:adjustRightInd w:val="0"/>
              <w:spacing w:line="540" w:lineRule="exact"/>
              <w:ind w:firstLine="480" w:firstLineChars="200"/>
              <w:jc w:val="both"/>
              <w:rPr>
                <w:rFonts w:ascii="Times New Roman"/>
                <w:kern w:val="0"/>
                <w:sz w:val="24"/>
                <w:szCs w:val="24"/>
              </w:rPr>
            </w:pPr>
            <w:r>
              <w:rPr>
                <w:rFonts w:ascii="Times New Roman" w:hint="eastAsia"/>
                <w:kern w:val="0"/>
                <w:sz w:val="24"/>
                <w:szCs w:val="24"/>
              </w:rPr>
              <w:t>1、与产业政策相符性分析</w:t>
            </w:r>
          </w:p>
          <w:p>
            <w:pPr>
              <w:widowControl/>
              <w:adjustRightInd w:val="0"/>
              <w:snapToGrid w:val="0"/>
              <w:spacing w:line="540" w:lineRule="exact"/>
              <w:ind w:firstLine="480" w:firstLineChars="200"/>
              <w:jc w:val="left"/>
              <w:rPr>
                <w:sz w:val="24"/>
              </w:rPr>
            </w:pPr>
            <w:r>
              <w:rPr>
                <w:rFonts w:hint="eastAsia"/>
                <w:sz w:val="24"/>
              </w:rPr>
              <w:t>本项目属于城市市政基础设施建设项目，根据《产业结构调整指导目录（2019年本）》，该项目属于“鼓励类二十二条城市基础设施第</w:t>
            </w:r>
            <w:r>
              <w:rPr>
                <w:sz w:val="24"/>
              </w:rPr>
              <w:t>9</w:t>
            </w:r>
            <w:r>
              <w:rPr>
                <w:rFonts w:hint="eastAsia"/>
                <w:sz w:val="24"/>
              </w:rPr>
              <w:t>项</w:t>
            </w:r>
            <w:r>
              <w:rPr>
                <w:sz w:val="24"/>
              </w:rPr>
              <w:t>——</w:t>
            </w:r>
            <w:r>
              <w:rPr>
                <w:rFonts w:hint="eastAsia"/>
                <w:sz w:val="24"/>
              </w:rPr>
              <w:t>城镇供水排水管网工程”，为鼓励类项目，且不属于《海南省产业准入禁止限值目录（2019年版）》中禁止类及限制类项目。因此本项目符合国家产业政策。</w:t>
            </w:r>
          </w:p>
          <w:p>
            <w:pPr>
              <w:pStyle w:val="1"/>
              <w:adjustRightInd w:val="0"/>
              <w:spacing w:line="540" w:lineRule="exact"/>
              <w:ind w:firstLine="480" w:firstLineChars="200"/>
              <w:jc w:val="both"/>
              <w:rPr>
                <w:rFonts w:ascii="Times New Roman"/>
                <w:kern w:val="0"/>
                <w:sz w:val="24"/>
                <w:szCs w:val="24"/>
              </w:rPr>
            </w:pPr>
            <w:r>
              <w:rPr>
                <w:rFonts w:ascii="Times New Roman" w:hint="eastAsia"/>
                <w:kern w:val="0"/>
                <w:sz w:val="24"/>
                <w:szCs w:val="24"/>
              </w:rPr>
              <w:t>2、与</w:t>
            </w:r>
            <w:r>
              <w:rPr>
                <w:rFonts w:ascii="Times New Roman" w:hint="eastAsia"/>
                <w:sz w:val="24"/>
                <w:szCs w:val="24"/>
              </w:rPr>
              <w:t>《</w:t>
            </w:r>
            <w:r>
              <w:rPr>
                <w:rFonts w:ascii="Times New Roman" w:hint="eastAsia"/>
                <w:sz w:val="24"/>
              </w:rPr>
              <w:t>三亚市总体规划（空间类2015年-2030年）局部图》</w:t>
            </w:r>
            <w:r>
              <w:rPr>
                <w:rFonts w:ascii="Times New Roman" w:hint="eastAsia"/>
                <w:sz w:val="24"/>
                <w:szCs w:val="24"/>
              </w:rPr>
              <w:t>相符性分析</w:t>
            </w:r>
          </w:p>
          <w:p>
            <w:pPr>
              <w:widowControl/>
              <w:adjustRightInd w:val="0"/>
              <w:snapToGrid w:val="0"/>
              <w:spacing w:line="540" w:lineRule="exact"/>
              <w:ind w:firstLine="480" w:firstLineChars="200"/>
              <w:jc w:val="left"/>
              <w:rPr>
                <w:sz w:val="24"/>
              </w:rPr>
            </w:pPr>
            <w:r>
              <w:rPr>
                <w:rFonts w:hint="eastAsia"/>
                <w:sz w:val="24"/>
              </w:rPr>
              <w:t>根据《三亚市总体规划（空间类2015年-2030年）局部图》（见附图5），本项目新建管道用地性质为公路用地、乡村建设用地，但根据三亚市自然资源和规划局《关于三亚市水蛟路延伸段（大溪桥至垃圾填埋场）污水工程项目规划意见及用地预审的复函》（三自然资市政 (2020]49号）（见附件2）中“经核查，该污水工程所在水蛟路在“多规合一”中为公路用地”。因此，本项目水蛟路延伸段污水管道用地性质为公路用地，新建管道沿现状水蛟路敷设，基本符合规划要求，作为三亚市的市政基础设施建设，有利于改善片区环境以及完善该区域管网系统。</w:t>
            </w:r>
            <w:r>
              <w:rPr>
                <w:rFonts w:hint="eastAsia"/>
                <w:kern w:val="0"/>
                <w:sz w:val="24"/>
              </w:rPr>
              <w:t>因此，项目用地性质与规划相符。</w:t>
            </w:r>
          </w:p>
          <w:p>
            <w:pPr>
              <w:pStyle w:val="NormalIndent"/>
              <w:adjustRightInd w:val="0"/>
              <w:snapToGrid w:val="0"/>
              <w:spacing w:line="540" w:lineRule="exact"/>
              <w:ind w:firstLine="482"/>
              <w:rPr>
                <w:rFonts w:ascii="Times New Roman" w:hAnsi="Times New Roman"/>
                <w:sz w:val="24"/>
              </w:rPr>
            </w:pPr>
            <w:r>
              <w:rPr>
                <w:rFonts w:ascii="Times New Roman" w:hAnsi="Times New Roman"/>
                <w:b/>
                <w:bCs/>
                <w:sz w:val="24"/>
              </w:rPr>
              <w:t>3、与《海南省生态保护红线管理规定》相符性</w:t>
            </w:r>
          </w:p>
          <w:p>
            <w:pPr>
              <w:pStyle w:val="1"/>
              <w:adjustRightInd w:val="0"/>
              <w:spacing w:line="540" w:lineRule="exact"/>
              <w:ind w:firstLine="480" w:firstLineChars="200"/>
              <w:jc w:val="both"/>
              <w:rPr>
                <w:rFonts w:ascii="Times New Roman"/>
                <w:kern w:val="0"/>
                <w:sz w:val="24"/>
                <w:szCs w:val="24"/>
              </w:rPr>
            </w:pPr>
            <w:r>
              <w:rPr>
                <w:rFonts w:ascii="Times New Roman" w:hint="eastAsia"/>
                <w:b w:val="0"/>
                <w:bCs w:val="0"/>
                <w:kern w:val="0"/>
                <w:sz w:val="24"/>
                <w:szCs w:val="24"/>
              </w:rPr>
              <w:t>根据《</w:t>
            </w:r>
            <w:r>
              <w:rPr>
                <w:rFonts w:ascii="Times New Roman" w:hint="eastAsia"/>
                <w:b w:val="0"/>
                <w:bCs w:val="0"/>
                <w:sz w:val="24"/>
              </w:rPr>
              <w:t>三亚市总体规划（空间类2015年-2030年）局部图》</w:t>
            </w:r>
            <w:r>
              <w:rPr>
                <w:rFonts w:ascii="Times New Roman" w:hint="eastAsia"/>
                <w:b w:val="0"/>
                <w:bCs w:val="0"/>
                <w:kern w:val="0"/>
                <w:sz w:val="24"/>
                <w:szCs w:val="24"/>
              </w:rPr>
              <w:t>（附图5）及海南省自然资源和规划厅的海南省生态保护红线发布系统，项目不占用海南省生态红线保护区，最近</w:t>
            </w:r>
            <w:r>
              <w:rPr>
                <w:rFonts w:ascii="Times New Roman"/>
                <w:b w:val="0"/>
                <w:bCs w:val="0"/>
                <w:kern w:val="0"/>
                <w:sz w:val="24"/>
                <w:szCs w:val="24"/>
              </w:rPr>
              <w:fldChar w:fldCharType="begin"/>
            </w:r>
            <w:r>
              <w:rPr>
                <w:rFonts w:ascii="Times New Roman"/>
                <w:b w:val="0"/>
                <w:bCs w:val="0"/>
                <w:kern w:val="0"/>
                <w:sz w:val="24"/>
                <w:szCs w:val="24"/>
              </w:rPr>
              <w:instrText xml:space="preserve"> </w:instrText>
            </w:r>
            <w:r>
              <w:rPr>
                <w:rFonts w:ascii="Times New Roman" w:hint="eastAsia"/>
                <w:b w:val="0"/>
                <w:bCs w:val="0"/>
                <w:kern w:val="0"/>
                <w:sz w:val="24"/>
                <w:szCs w:val="24"/>
              </w:rPr>
              <w:instrText>= 1 \* ROMAN</w:instrText>
            </w:r>
            <w:r>
              <w:rPr>
                <w:rFonts w:ascii="Times New Roman"/>
                <w:b w:val="0"/>
                <w:bCs w:val="0"/>
                <w:kern w:val="0"/>
                <w:sz w:val="24"/>
                <w:szCs w:val="24"/>
              </w:rPr>
              <w:instrText xml:space="preserve"> </w:instrText>
            </w:r>
            <w:r>
              <w:rPr>
                <w:rFonts w:ascii="Times New Roman"/>
                <w:b w:val="0"/>
                <w:bCs w:val="0"/>
                <w:kern w:val="0"/>
                <w:sz w:val="24"/>
                <w:szCs w:val="24"/>
              </w:rPr>
              <w:fldChar w:fldCharType="separate"/>
            </w:r>
            <w:r>
              <w:rPr>
                <w:rFonts w:ascii="Times New Roman"/>
                <w:b w:val="0"/>
                <w:bCs w:val="0"/>
                <w:kern w:val="0"/>
                <w:sz w:val="24"/>
                <w:szCs w:val="24"/>
              </w:rPr>
              <w:t>I</w:t>
            </w:r>
            <w:r>
              <w:rPr>
                <w:rFonts w:ascii="Times New Roman"/>
                <w:b w:val="0"/>
                <w:bCs w:val="0"/>
                <w:kern w:val="0"/>
                <w:sz w:val="24"/>
                <w:szCs w:val="24"/>
              </w:rPr>
              <w:fldChar w:fldCharType="end"/>
            </w:r>
            <w:r>
              <w:rPr>
                <w:rFonts w:ascii="Times New Roman" w:hint="eastAsia"/>
                <w:b w:val="0"/>
                <w:bCs w:val="0"/>
                <w:kern w:val="0"/>
                <w:sz w:val="24"/>
                <w:szCs w:val="24"/>
              </w:rPr>
              <w:t>类红线区距离约380</w:t>
            </w:r>
            <w:r>
              <w:rPr>
                <w:rFonts w:ascii="Times New Roman"/>
                <w:b w:val="0"/>
                <w:bCs w:val="0"/>
                <w:kern w:val="0"/>
                <w:sz w:val="24"/>
                <w:szCs w:val="24"/>
              </w:rPr>
              <w:t>m</w:t>
            </w:r>
            <w:r>
              <w:rPr>
                <w:rFonts w:ascii="Times New Roman" w:hint="eastAsia"/>
                <w:b w:val="0"/>
                <w:bCs w:val="0"/>
                <w:kern w:val="0"/>
                <w:sz w:val="24"/>
                <w:szCs w:val="24"/>
              </w:rPr>
              <w:t>，因此本项目与生态保护红线相符（见附图3）。</w:t>
            </w:r>
            <w:r>
              <w:rPr>
                <w:sz w:val="24"/>
              </w:rPr>
              <w:br/>
            </w:r>
            <w:r>
              <w:rPr>
                <w:rFonts w:hint="eastAsia"/>
                <w:sz w:val="24"/>
              </w:rPr>
              <w:t xml:space="preserve">   </w:t>
            </w:r>
            <w:r>
              <w:rPr>
                <w:rFonts w:ascii="Times New Roman" w:hint="eastAsia"/>
                <w:kern w:val="0"/>
                <w:sz w:val="24"/>
                <w:szCs w:val="24"/>
              </w:rPr>
              <w:t>四、建设内容及规模</w:t>
            </w:r>
          </w:p>
          <w:p>
            <w:pPr>
              <w:pStyle w:val="1"/>
              <w:adjustRightInd w:val="0"/>
              <w:spacing w:after="0" w:line="540" w:lineRule="exact"/>
              <w:ind w:firstLine="480" w:firstLineChars="200"/>
              <w:jc w:val="both"/>
              <w:rPr>
                <w:rFonts w:ascii="Times New Roman"/>
                <w:b w:val="0"/>
                <w:bCs w:val="0"/>
                <w:kern w:val="0"/>
                <w:sz w:val="24"/>
                <w:szCs w:val="24"/>
              </w:rPr>
            </w:pPr>
            <w:bookmarkStart w:id="0" w:name="OLE_LINK117"/>
            <w:bookmarkStart w:id="1" w:name="OLE_LINK104"/>
            <w:r>
              <w:rPr>
                <w:rFonts w:ascii="Times New Roman"/>
                <w:b w:val="0"/>
                <w:bCs w:val="0"/>
                <w:kern w:val="0"/>
                <w:sz w:val="24"/>
                <w:szCs w:val="24"/>
              </w:rPr>
              <w:t>项目拟建污水管道</w:t>
            </w:r>
            <w:r>
              <w:rPr>
                <w:rFonts w:ascii="Times New Roman" w:hint="eastAsia"/>
                <w:b w:val="0"/>
                <w:bCs w:val="0"/>
                <w:kern w:val="0"/>
                <w:sz w:val="24"/>
                <w:szCs w:val="24"/>
              </w:rPr>
              <w:t>总长</w:t>
            </w:r>
            <w:r>
              <w:rPr>
                <w:rFonts w:ascii="Times New Roman"/>
                <w:b w:val="0"/>
                <w:bCs w:val="0"/>
                <w:kern w:val="0"/>
                <w:sz w:val="24"/>
                <w:szCs w:val="24"/>
              </w:rPr>
              <w:t>4510m，其中DN300管</w:t>
            </w:r>
            <w:r>
              <w:rPr>
                <w:rFonts w:ascii="Times New Roman" w:hint="eastAsia"/>
                <w:b w:val="0"/>
                <w:bCs w:val="0"/>
                <w:kern w:val="0"/>
                <w:sz w:val="24"/>
                <w:szCs w:val="24"/>
              </w:rPr>
              <w:t>道</w:t>
            </w:r>
            <w:r>
              <w:rPr>
                <w:rFonts w:ascii="Times New Roman"/>
                <w:b w:val="0"/>
                <w:bCs w:val="0"/>
                <w:kern w:val="0"/>
                <w:sz w:val="24"/>
                <w:szCs w:val="24"/>
              </w:rPr>
              <w:t>长718m，DN400管</w:t>
            </w:r>
            <w:r>
              <w:rPr>
                <w:rFonts w:ascii="Times New Roman" w:hint="eastAsia"/>
                <w:b w:val="0"/>
                <w:bCs w:val="0"/>
                <w:kern w:val="0"/>
                <w:sz w:val="24"/>
                <w:szCs w:val="24"/>
              </w:rPr>
              <w:t>道</w:t>
            </w:r>
          </w:p>
        </w:tc>
      </w:tr>
    </w:tbl>
    <w:p>
      <w:pPr>
        <w:sectPr>
          <w:footerReference w:type="default" r:id="rId10"/>
          <w:type w:val="nextPage"/>
          <w:pgSz w:w="11906" w:h="16838"/>
          <w:pgMar w:top="1440" w:right="1800" w:bottom="1440" w:left="1800" w:header="851" w:footer="992" w:gutter="0"/>
          <w:pgNumType w:fmt="decimal" w:start="3"/>
          <w:cols w:num="1" w:space="425"/>
          <w:titlePg w:val="0"/>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pStyle w:val="1"/>
              <w:adjustRightInd w:val="0"/>
              <w:spacing w:before="0" w:line="540" w:lineRule="exact"/>
              <w:ind w:firstLine="480" w:firstLineChars="200"/>
              <w:jc w:val="both"/>
              <w:rPr>
                <w:rFonts w:ascii="Times New Roman"/>
                <w:b w:val="0"/>
                <w:bCs w:val="0"/>
                <w:kern w:val="0"/>
                <w:sz w:val="24"/>
                <w:szCs w:val="24"/>
              </w:rPr>
            </w:pPr>
            <w:r>
              <w:rPr>
                <w:rFonts w:ascii="Times New Roman"/>
                <w:b w:val="0"/>
                <w:bCs w:val="0"/>
                <w:kern w:val="0"/>
                <w:sz w:val="24"/>
                <w:szCs w:val="24"/>
              </w:rPr>
              <w:t>长3792m，新建污水检查井203座及其附属构筑物。</w:t>
            </w:r>
          </w:p>
          <w:p>
            <w:pPr>
              <w:jc w:val="center"/>
              <w:rPr>
                <w:rFonts w:hint="eastAsia"/>
                <w:b/>
                <w:bCs/>
                <w:kern w:val="0"/>
                <w:sz w:val="24"/>
              </w:rPr>
            </w:pPr>
          </w:p>
          <w:p>
            <w:pPr>
              <w:jc w:val="center"/>
              <w:rPr>
                <w:rFonts w:hint="eastAsia"/>
                <w:b/>
                <w:bCs/>
                <w:kern w:val="0"/>
                <w:sz w:val="24"/>
              </w:rPr>
            </w:pPr>
          </w:p>
          <w:p>
            <w:pPr>
              <w:jc w:val="center"/>
              <w:rPr>
                <w:rFonts w:hint="eastAsia"/>
                <w:b/>
                <w:bCs/>
                <w:kern w:val="0"/>
                <w:sz w:val="24"/>
              </w:rPr>
            </w:pPr>
          </w:p>
          <w:p>
            <w:pPr>
              <w:jc w:val="center"/>
              <w:rPr>
                <w:b/>
                <w:bCs/>
                <w:sz w:val="24"/>
              </w:rPr>
            </w:pPr>
            <w:r>
              <w:rPr>
                <w:rFonts w:hint="eastAsia"/>
                <w:b/>
                <w:bCs/>
                <w:kern w:val="0"/>
                <w:sz w:val="24"/>
              </w:rPr>
              <w:t>表1 主要建设内容一览表</w:t>
            </w:r>
          </w:p>
          <w:tbl>
            <w:tblPr>
              <w:tblStyle w:val="TableNormal"/>
              <w:tblW w:w="9071"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
            <w:tblGrid>
              <w:gridCol w:w="361"/>
              <w:gridCol w:w="2190"/>
              <w:gridCol w:w="996"/>
              <w:gridCol w:w="1374"/>
              <w:gridCol w:w="1288"/>
              <w:gridCol w:w="2862"/>
            </w:tblGrid>
            <w:tr>
              <w:tblPrEx>
                <w:tblW w:w="9071"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0"/>
                <w:jc w:val="center"/>
              </w:trPr>
              <w:tc>
                <w:tcPr>
                  <w:tcW w:w="361" w:type="dxa"/>
                  <w:tcBorders>
                    <w:tl2br w:val="nil"/>
                    <w:tr2bl w:val="nil"/>
                  </w:tcBorders>
                  <w:vAlign w:val="center"/>
                </w:tcPr>
                <w:p>
                  <w:pPr>
                    <w:pStyle w:val="TableParagraph"/>
                    <w:spacing w:before="94"/>
                    <w:ind w:left="14"/>
                    <w:jc w:val="center"/>
                    <w:rPr>
                      <w:b/>
                      <w:bCs/>
                      <w:sz w:val="21"/>
                      <w:szCs w:val="21"/>
                    </w:rPr>
                  </w:pPr>
                  <w:r>
                    <w:rPr>
                      <w:b/>
                      <w:bCs/>
                      <w:sz w:val="21"/>
                      <w:szCs w:val="21"/>
                    </w:rPr>
                    <w:t>序号</w:t>
                  </w:r>
                </w:p>
              </w:tc>
              <w:tc>
                <w:tcPr>
                  <w:tcW w:w="2190" w:type="dxa"/>
                  <w:tcBorders>
                    <w:tl2br w:val="nil"/>
                    <w:tr2bl w:val="nil"/>
                  </w:tcBorders>
                  <w:vAlign w:val="center"/>
                </w:tcPr>
                <w:p>
                  <w:pPr>
                    <w:pStyle w:val="TableParagraph"/>
                    <w:spacing w:before="94"/>
                    <w:ind w:left="14"/>
                    <w:jc w:val="center"/>
                    <w:rPr>
                      <w:b/>
                      <w:bCs/>
                      <w:sz w:val="21"/>
                      <w:szCs w:val="21"/>
                    </w:rPr>
                  </w:pPr>
                  <w:r>
                    <w:rPr>
                      <w:b/>
                      <w:bCs/>
                      <w:sz w:val="21"/>
                      <w:szCs w:val="21"/>
                    </w:rPr>
                    <w:t>名称</w:t>
                  </w:r>
                </w:p>
              </w:tc>
              <w:tc>
                <w:tcPr>
                  <w:tcW w:w="996" w:type="dxa"/>
                  <w:tcBorders>
                    <w:tl2br w:val="nil"/>
                    <w:tr2bl w:val="nil"/>
                  </w:tcBorders>
                  <w:vAlign w:val="center"/>
                </w:tcPr>
                <w:p>
                  <w:pPr>
                    <w:pStyle w:val="TableParagraph"/>
                    <w:spacing w:before="94"/>
                    <w:ind w:left="14"/>
                    <w:jc w:val="center"/>
                    <w:rPr>
                      <w:b/>
                      <w:bCs/>
                      <w:sz w:val="21"/>
                      <w:szCs w:val="21"/>
                    </w:rPr>
                  </w:pPr>
                  <w:r>
                    <w:rPr>
                      <w:b/>
                      <w:bCs/>
                      <w:sz w:val="21"/>
                      <w:szCs w:val="21"/>
                    </w:rPr>
                    <w:t>单位</w:t>
                  </w:r>
                </w:p>
              </w:tc>
              <w:tc>
                <w:tcPr>
                  <w:tcW w:w="1374" w:type="dxa"/>
                  <w:tcBorders>
                    <w:tl2br w:val="nil"/>
                    <w:tr2bl w:val="nil"/>
                  </w:tcBorders>
                  <w:vAlign w:val="center"/>
                </w:tcPr>
                <w:p>
                  <w:pPr>
                    <w:pStyle w:val="TableParagraph"/>
                    <w:spacing w:before="94"/>
                    <w:ind w:left="14"/>
                    <w:jc w:val="center"/>
                    <w:rPr>
                      <w:b/>
                      <w:bCs/>
                      <w:sz w:val="21"/>
                      <w:szCs w:val="21"/>
                    </w:rPr>
                  </w:pPr>
                  <w:r>
                    <w:rPr>
                      <w:b/>
                      <w:bCs/>
                      <w:sz w:val="21"/>
                      <w:szCs w:val="21"/>
                    </w:rPr>
                    <w:t>数量</w:t>
                  </w:r>
                </w:p>
              </w:tc>
              <w:tc>
                <w:tcPr>
                  <w:tcW w:w="1288" w:type="dxa"/>
                  <w:tcBorders>
                    <w:tl2br w:val="nil"/>
                    <w:tr2bl w:val="nil"/>
                  </w:tcBorders>
                  <w:vAlign w:val="center"/>
                </w:tcPr>
                <w:p>
                  <w:pPr>
                    <w:pStyle w:val="TableParagraph"/>
                    <w:spacing w:before="94"/>
                    <w:ind w:left="14"/>
                    <w:jc w:val="center"/>
                    <w:rPr>
                      <w:b/>
                      <w:bCs/>
                      <w:sz w:val="21"/>
                      <w:szCs w:val="21"/>
                    </w:rPr>
                  </w:pPr>
                  <w:r>
                    <w:rPr>
                      <w:b/>
                      <w:bCs/>
                      <w:sz w:val="21"/>
                      <w:szCs w:val="21"/>
                    </w:rPr>
                    <w:t>规格</w:t>
                  </w:r>
                </w:p>
              </w:tc>
              <w:tc>
                <w:tcPr>
                  <w:tcW w:w="2862" w:type="dxa"/>
                  <w:tcBorders>
                    <w:tl2br w:val="nil"/>
                    <w:tr2bl w:val="nil"/>
                  </w:tcBorders>
                  <w:vAlign w:val="center"/>
                </w:tcPr>
                <w:p>
                  <w:pPr>
                    <w:pStyle w:val="TableParagraph"/>
                    <w:spacing w:before="94"/>
                    <w:ind w:left="14"/>
                    <w:jc w:val="center"/>
                    <w:rPr>
                      <w:b/>
                      <w:bCs/>
                      <w:sz w:val="21"/>
                      <w:szCs w:val="21"/>
                    </w:rPr>
                  </w:pPr>
                  <w:r>
                    <w:rPr>
                      <w:b/>
                      <w:bCs/>
                      <w:sz w:val="21"/>
                      <w:szCs w:val="21"/>
                    </w:rPr>
                    <w:t>备注</w:t>
                  </w:r>
                </w:p>
              </w:tc>
            </w:tr>
            <w:tr>
              <w:tblPrEx>
                <w:tblW w:w="9071" w:type="dxa"/>
                <w:jc w:val="center"/>
                <w:tblLayout w:type="fixed"/>
                <w:tblCellMar>
                  <w:top w:w="0" w:type="dxa"/>
                  <w:left w:w="0" w:type="dxa"/>
                  <w:bottom w:w="0" w:type="dxa"/>
                  <w:right w:w="0" w:type="dxa"/>
                </w:tblCellMar>
              </w:tblPrEx>
              <w:trPr>
                <w:trHeight w:val="321"/>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1</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HDPE双壁波纹管</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m</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718</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DN300</w:t>
                  </w:r>
                </w:p>
              </w:tc>
              <w:tc>
                <w:tcPr>
                  <w:tcW w:w="2862" w:type="dxa"/>
                  <w:tcBorders>
                    <w:tl2br w:val="nil"/>
                    <w:tr2bl w:val="nil"/>
                  </w:tcBorders>
                  <w:vAlign w:val="center"/>
                </w:tcPr>
                <w:p>
                  <w:pPr>
                    <w:pStyle w:val="TableParagraph"/>
                    <w:spacing w:before="94"/>
                    <w:ind w:left="14"/>
                    <w:jc w:val="center"/>
                    <w:rPr>
                      <w:sz w:val="21"/>
                      <w:szCs w:val="21"/>
                    </w:rPr>
                  </w:pPr>
                  <w:r>
                    <w:rPr>
                      <w:sz w:val="21"/>
                      <w:szCs w:val="21"/>
                    </w:rPr>
                    <w:t>抗压值≥8kn/m</w:t>
                  </w:r>
                  <w:r>
                    <w:rPr>
                      <w:sz w:val="21"/>
                      <w:szCs w:val="21"/>
                      <w:vertAlign w:val="superscript"/>
                    </w:rPr>
                    <w:t>2</w:t>
                  </w:r>
                </w:p>
              </w:tc>
            </w:tr>
            <w:tr>
              <w:tblPrEx>
                <w:tblW w:w="9071" w:type="dxa"/>
                <w:jc w:val="center"/>
                <w:tblLayout w:type="fixed"/>
                <w:tblCellMar>
                  <w:top w:w="0" w:type="dxa"/>
                  <w:left w:w="0" w:type="dxa"/>
                  <w:bottom w:w="0" w:type="dxa"/>
                  <w:right w:w="0" w:type="dxa"/>
                </w:tblCellMar>
              </w:tblPrEx>
              <w:trPr>
                <w:trHeight w:val="513"/>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2</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 xml:space="preserve">HDPE双壁波纹管 </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m</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3792</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DN400</w:t>
                  </w:r>
                </w:p>
              </w:tc>
              <w:tc>
                <w:tcPr>
                  <w:tcW w:w="2862" w:type="dxa"/>
                  <w:tcBorders>
                    <w:tl2br w:val="nil"/>
                    <w:tr2bl w:val="nil"/>
                  </w:tcBorders>
                  <w:vAlign w:val="center"/>
                </w:tcPr>
                <w:p>
                  <w:pPr>
                    <w:pStyle w:val="TableParagraph"/>
                    <w:spacing w:before="94"/>
                    <w:ind w:left="14"/>
                    <w:jc w:val="center"/>
                    <w:rPr>
                      <w:sz w:val="21"/>
                      <w:szCs w:val="21"/>
                    </w:rPr>
                  </w:pPr>
                  <w:r>
                    <w:rPr>
                      <w:sz w:val="21"/>
                      <w:szCs w:val="21"/>
                    </w:rPr>
                    <w:t>抗压值≥8kn/m</w:t>
                  </w:r>
                  <w:r>
                    <w:rPr>
                      <w:sz w:val="21"/>
                      <w:szCs w:val="21"/>
                      <w:vertAlign w:val="superscript"/>
                    </w:rPr>
                    <w:t>2</w:t>
                  </w:r>
                </w:p>
              </w:tc>
            </w:tr>
            <w:tr>
              <w:tblPrEx>
                <w:tblW w:w="9071" w:type="dxa"/>
                <w:jc w:val="center"/>
                <w:tblLayout w:type="fixed"/>
                <w:tblCellMar>
                  <w:top w:w="0" w:type="dxa"/>
                  <w:left w:w="0" w:type="dxa"/>
                  <w:bottom w:w="0" w:type="dxa"/>
                  <w:right w:w="0" w:type="dxa"/>
                </w:tblCellMar>
              </w:tblPrEx>
              <w:trPr>
                <w:trHeight w:val="513"/>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3</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高密度聚乙烯PE100管</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m</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75</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DN400</w:t>
                  </w:r>
                </w:p>
              </w:tc>
              <w:tc>
                <w:tcPr>
                  <w:tcW w:w="2862" w:type="dxa"/>
                  <w:tcBorders>
                    <w:tl2br w:val="nil"/>
                    <w:tr2bl w:val="nil"/>
                  </w:tcBorders>
                  <w:vAlign w:val="center"/>
                </w:tcPr>
                <w:p>
                  <w:pPr>
                    <w:pStyle w:val="TableParagraph"/>
                    <w:spacing w:before="94"/>
                    <w:ind w:left="14"/>
                    <w:jc w:val="center"/>
                    <w:rPr>
                      <w:sz w:val="21"/>
                      <w:szCs w:val="21"/>
                    </w:rPr>
                  </w:pPr>
                  <w:r>
                    <w:rPr>
                      <w:sz w:val="21"/>
                      <w:szCs w:val="21"/>
                    </w:rPr>
                    <w:t>1.25MPa</w:t>
                  </w:r>
                </w:p>
              </w:tc>
            </w:tr>
            <w:tr>
              <w:tblPrEx>
                <w:tblW w:w="9071" w:type="dxa"/>
                <w:jc w:val="center"/>
                <w:tblLayout w:type="fixed"/>
                <w:tblCellMar>
                  <w:top w:w="0" w:type="dxa"/>
                  <w:left w:w="0" w:type="dxa"/>
                  <w:bottom w:w="0" w:type="dxa"/>
                  <w:right w:w="0" w:type="dxa"/>
                </w:tblCellMar>
              </w:tblPrEx>
              <w:trPr>
                <w:trHeight w:val="715"/>
                <w:jc w:val="center"/>
              </w:trPr>
              <w:tc>
                <w:tcPr>
                  <w:tcW w:w="361" w:type="dxa"/>
                  <w:tcBorders>
                    <w:tl2br w:val="nil"/>
                    <w:tr2bl w:val="nil"/>
                  </w:tcBorders>
                  <w:vAlign w:val="center"/>
                </w:tcPr>
                <w:p>
                  <w:pPr>
                    <w:pStyle w:val="TableParagraph"/>
                    <w:spacing w:before="94"/>
                    <w:jc w:val="center"/>
                    <w:rPr>
                      <w:sz w:val="21"/>
                      <w:szCs w:val="21"/>
                    </w:rPr>
                  </w:pPr>
                  <w:r>
                    <w:rPr>
                      <w:sz w:val="21"/>
                      <w:szCs w:val="21"/>
                    </w:rPr>
                    <w:t>4</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污水检查井</w:t>
                  </w:r>
                </w:p>
              </w:tc>
              <w:tc>
                <w:tcPr>
                  <w:tcW w:w="996" w:type="dxa"/>
                  <w:tcBorders>
                    <w:tl2br w:val="nil"/>
                    <w:tr2bl w:val="nil"/>
                  </w:tcBorders>
                  <w:vAlign w:val="center"/>
                </w:tcPr>
                <w:p>
                  <w:pPr>
                    <w:pStyle w:val="TableParagraph"/>
                    <w:spacing w:before="94"/>
                    <w:jc w:val="center"/>
                    <w:rPr>
                      <w:sz w:val="21"/>
                      <w:szCs w:val="21"/>
                    </w:rPr>
                  </w:pPr>
                  <w:r>
                    <w:rPr>
                      <w:sz w:val="21"/>
                      <w:szCs w:val="21"/>
                    </w:rPr>
                    <w:t>座</w:t>
                  </w:r>
                </w:p>
              </w:tc>
              <w:tc>
                <w:tcPr>
                  <w:tcW w:w="1374" w:type="dxa"/>
                  <w:tcBorders>
                    <w:tl2br w:val="nil"/>
                    <w:tr2bl w:val="nil"/>
                  </w:tcBorders>
                  <w:vAlign w:val="center"/>
                </w:tcPr>
                <w:p>
                  <w:pPr>
                    <w:pStyle w:val="TableParagraph"/>
                    <w:spacing w:before="94"/>
                    <w:jc w:val="center"/>
                    <w:rPr>
                      <w:sz w:val="21"/>
                      <w:szCs w:val="21"/>
                    </w:rPr>
                  </w:pPr>
                  <w:r>
                    <w:rPr>
                      <w:sz w:val="21"/>
                      <w:szCs w:val="21"/>
                    </w:rPr>
                    <w:t>167</w:t>
                  </w:r>
                </w:p>
              </w:tc>
              <w:tc>
                <w:tcPr>
                  <w:tcW w:w="1288" w:type="dxa"/>
                  <w:tcBorders>
                    <w:tl2br w:val="nil"/>
                    <w:tr2bl w:val="nil"/>
                  </w:tcBorders>
                  <w:vAlign w:val="center"/>
                </w:tcPr>
                <w:p>
                  <w:pPr>
                    <w:pStyle w:val="TableParagraph"/>
                    <w:spacing w:before="94"/>
                    <w:jc w:val="center"/>
                    <w:rPr>
                      <w:sz w:val="21"/>
                      <w:szCs w:val="21"/>
                    </w:rPr>
                  </w:pPr>
                  <w:r>
                    <w:rPr>
                      <w:sz w:val="21"/>
                      <w:szCs w:val="21"/>
                    </w:rPr>
                    <w:t>Ø1000</w:t>
                  </w:r>
                </w:p>
              </w:tc>
              <w:tc>
                <w:tcPr>
                  <w:tcW w:w="2862" w:type="dxa"/>
                  <w:tcBorders>
                    <w:tl2br w:val="nil"/>
                    <w:tr2bl w:val="nil"/>
                  </w:tcBorders>
                  <w:vAlign w:val="center"/>
                </w:tcPr>
                <w:p>
                  <w:pPr>
                    <w:pStyle w:val="TableParagraph"/>
                    <w:spacing w:before="94"/>
                    <w:jc w:val="center"/>
                    <w:rPr>
                      <w:sz w:val="21"/>
                      <w:szCs w:val="21"/>
                    </w:rPr>
                  </w:pPr>
                </w:p>
              </w:tc>
            </w:tr>
            <w:tr>
              <w:tblPrEx>
                <w:tblW w:w="9071" w:type="dxa"/>
                <w:jc w:val="center"/>
                <w:tblLayout w:type="fixed"/>
                <w:tblCellMar>
                  <w:top w:w="0" w:type="dxa"/>
                  <w:left w:w="0" w:type="dxa"/>
                  <w:bottom w:w="0" w:type="dxa"/>
                  <w:right w:w="0" w:type="dxa"/>
                </w:tblCellMar>
              </w:tblPrEx>
              <w:trPr>
                <w:trHeight w:val="462"/>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5</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沉泥井</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座</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34</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Ø1000</w:t>
                  </w:r>
                </w:p>
              </w:tc>
              <w:tc>
                <w:tcPr>
                  <w:tcW w:w="2862" w:type="dxa"/>
                  <w:tcBorders>
                    <w:tl2br w:val="nil"/>
                    <w:tr2bl w:val="nil"/>
                  </w:tcBorders>
                  <w:vAlign w:val="center"/>
                </w:tcPr>
                <w:p>
                  <w:pPr>
                    <w:pStyle w:val="TableParagraph"/>
                    <w:spacing w:before="94"/>
                    <w:ind w:left="14"/>
                    <w:jc w:val="center"/>
                    <w:rPr>
                      <w:sz w:val="21"/>
                      <w:szCs w:val="21"/>
                    </w:rPr>
                  </w:pPr>
                </w:p>
              </w:tc>
            </w:tr>
            <w:tr>
              <w:tblPrEx>
                <w:tblW w:w="9071" w:type="dxa"/>
                <w:jc w:val="center"/>
                <w:tblLayout w:type="fixed"/>
                <w:tblCellMar>
                  <w:top w:w="0" w:type="dxa"/>
                  <w:left w:w="0" w:type="dxa"/>
                  <w:bottom w:w="0" w:type="dxa"/>
                  <w:right w:w="0" w:type="dxa"/>
                </w:tblCellMar>
              </w:tblPrEx>
              <w:trPr>
                <w:trHeight w:val="425"/>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6</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定向钻污水检查井</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座</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2</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1.7m×2.7m</w:t>
                  </w:r>
                </w:p>
              </w:tc>
              <w:tc>
                <w:tcPr>
                  <w:tcW w:w="2862" w:type="dxa"/>
                  <w:tcBorders>
                    <w:tl2br w:val="nil"/>
                    <w:tr2bl w:val="nil"/>
                  </w:tcBorders>
                  <w:vAlign w:val="center"/>
                </w:tcPr>
                <w:p>
                  <w:pPr>
                    <w:pStyle w:val="TableParagraph"/>
                    <w:spacing w:before="94"/>
                    <w:ind w:left="14"/>
                    <w:jc w:val="center"/>
                    <w:rPr>
                      <w:sz w:val="21"/>
                      <w:szCs w:val="21"/>
                    </w:rPr>
                  </w:pPr>
                </w:p>
              </w:tc>
            </w:tr>
            <w:tr>
              <w:tblPrEx>
                <w:tblW w:w="9071" w:type="dxa"/>
                <w:jc w:val="center"/>
                <w:tblLayout w:type="fixed"/>
                <w:tblCellMar>
                  <w:top w:w="0" w:type="dxa"/>
                  <w:left w:w="0" w:type="dxa"/>
                  <w:bottom w:w="0" w:type="dxa"/>
                  <w:right w:w="0" w:type="dxa"/>
                </w:tblCellMar>
              </w:tblPrEx>
              <w:trPr>
                <w:trHeight w:val="383"/>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7</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Ⅲ级拉森钢板桩</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m</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2894</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H=6m</w:t>
                  </w:r>
                </w:p>
              </w:tc>
              <w:tc>
                <w:tcPr>
                  <w:tcW w:w="2862" w:type="dxa"/>
                  <w:tcBorders>
                    <w:tl2br w:val="nil"/>
                    <w:tr2bl w:val="nil"/>
                  </w:tcBorders>
                  <w:vAlign w:val="center"/>
                </w:tcPr>
                <w:p>
                  <w:pPr>
                    <w:pStyle w:val="TableParagraph"/>
                    <w:spacing w:before="94"/>
                    <w:ind w:left="14"/>
                    <w:jc w:val="center"/>
                    <w:rPr>
                      <w:sz w:val="21"/>
                      <w:szCs w:val="21"/>
                    </w:rPr>
                  </w:pPr>
                  <w:r>
                    <w:rPr>
                      <w:sz w:val="21"/>
                      <w:szCs w:val="21"/>
                    </w:rPr>
                    <w:t>水平支护延长长度</w:t>
                  </w:r>
                </w:p>
              </w:tc>
            </w:tr>
            <w:tr>
              <w:tblPrEx>
                <w:tblW w:w="9071" w:type="dxa"/>
                <w:jc w:val="center"/>
                <w:tblLayout w:type="fixed"/>
                <w:tblCellMar>
                  <w:top w:w="0" w:type="dxa"/>
                  <w:left w:w="0" w:type="dxa"/>
                  <w:bottom w:w="0" w:type="dxa"/>
                  <w:right w:w="0" w:type="dxa"/>
                </w:tblCellMar>
              </w:tblPrEx>
              <w:trPr>
                <w:trHeight w:val="445"/>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8</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Ⅲ级拉森钢板桩</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m</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20</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H=6m</w:t>
                  </w:r>
                </w:p>
              </w:tc>
              <w:tc>
                <w:tcPr>
                  <w:tcW w:w="2862" w:type="dxa"/>
                  <w:tcBorders>
                    <w:tl2br w:val="nil"/>
                    <w:tr2bl w:val="nil"/>
                  </w:tcBorders>
                  <w:vAlign w:val="center"/>
                </w:tcPr>
                <w:p>
                  <w:pPr>
                    <w:pStyle w:val="TableParagraph"/>
                    <w:spacing w:before="94"/>
                    <w:ind w:left="14"/>
                    <w:jc w:val="center"/>
                    <w:rPr>
                      <w:sz w:val="21"/>
                      <w:szCs w:val="21"/>
                    </w:rPr>
                  </w:pPr>
                  <w:r>
                    <w:rPr>
                      <w:sz w:val="21"/>
                      <w:szCs w:val="21"/>
                    </w:rPr>
                    <w:t>牵引管段污水检查井施工支护</w:t>
                  </w:r>
                </w:p>
              </w:tc>
            </w:tr>
            <w:tr>
              <w:tblPrEx>
                <w:tblW w:w="9071" w:type="dxa"/>
                <w:jc w:val="center"/>
                <w:tblLayout w:type="fixed"/>
                <w:tblCellMar>
                  <w:top w:w="0" w:type="dxa"/>
                  <w:left w:w="0" w:type="dxa"/>
                  <w:bottom w:w="0" w:type="dxa"/>
                  <w:right w:w="0" w:type="dxa"/>
                </w:tblCellMar>
              </w:tblPrEx>
              <w:trPr>
                <w:trHeight w:val="454"/>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9</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牵引管工作坑</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座</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1</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5×2×1.5m</w:t>
                  </w:r>
                </w:p>
              </w:tc>
              <w:tc>
                <w:tcPr>
                  <w:tcW w:w="2862" w:type="dxa"/>
                  <w:tcBorders>
                    <w:tl2br w:val="nil"/>
                    <w:tr2bl w:val="nil"/>
                  </w:tcBorders>
                  <w:vAlign w:val="center"/>
                </w:tcPr>
                <w:p>
                  <w:pPr>
                    <w:pStyle w:val="TableParagraph"/>
                    <w:spacing w:before="94"/>
                    <w:ind w:left="14"/>
                    <w:jc w:val="center"/>
                    <w:rPr>
                      <w:sz w:val="21"/>
                      <w:szCs w:val="21"/>
                    </w:rPr>
                  </w:pPr>
                </w:p>
              </w:tc>
            </w:tr>
            <w:tr>
              <w:tblPrEx>
                <w:tblW w:w="9071" w:type="dxa"/>
                <w:jc w:val="center"/>
                <w:tblLayout w:type="fixed"/>
                <w:tblCellMar>
                  <w:top w:w="0" w:type="dxa"/>
                  <w:left w:w="0" w:type="dxa"/>
                  <w:bottom w:w="0" w:type="dxa"/>
                  <w:right w:w="0" w:type="dxa"/>
                </w:tblCellMar>
              </w:tblPrEx>
              <w:trPr>
                <w:trHeight w:val="454"/>
                <w:jc w:val="center"/>
              </w:trPr>
              <w:tc>
                <w:tcPr>
                  <w:tcW w:w="361" w:type="dxa"/>
                  <w:tcBorders>
                    <w:tl2br w:val="nil"/>
                    <w:tr2bl w:val="nil"/>
                  </w:tcBorders>
                  <w:vAlign w:val="center"/>
                </w:tcPr>
                <w:p>
                  <w:pPr>
                    <w:pStyle w:val="TableParagraph"/>
                    <w:spacing w:before="94"/>
                    <w:ind w:left="14"/>
                    <w:jc w:val="center"/>
                    <w:rPr>
                      <w:sz w:val="21"/>
                      <w:szCs w:val="21"/>
                    </w:rPr>
                  </w:pPr>
                  <w:r>
                    <w:rPr>
                      <w:sz w:val="21"/>
                      <w:szCs w:val="21"/>
                    </w:rPr>
                    <w:t>10</w:t>
                  </w:r>
                </w:p>
              </w:tc>
              <w:tc>
                <w:tcPr>
                  <w:tcW w:w="2190" w:type="dxa"/>
                  <w:tcBorders>
                    <w:tl2br w:val="nil"/>
                    <w:tr2bl w:val="nil"/>
                  </w:tcBorders>
                  <w:vAlign w:val="center"/>
                </w:tcPr>
                <w:p>
                  <w:pPr>
                    <w:pStyle w:val="TableParagraph"/>
                    <w:spacing w:before="94"/>
                    <w:ind w:left="14"/>
                    <w:jc w:val="center"/>
                    <w:rPr>
                      <w:sz w:val="21"/>
                      <w:szCs w:val="21"/>
                    </w:rPr>
                  </w:pPr>
                  <w:r>
                    <w:rPr>
                      <w:sz w:val="21"/>
                      <w:szCs w:val="21"/>
                    </w:rPr>
                    <w:t>牵引管接收坑</w:t>
                  </w:r>
                </w:p>
              </w:tc>
              <w:tc>
                <w:tcPr>
                  <w:tcW w:w="996" w:type="dxa"/>
                  <w:tcBorders>
                    <w:tl2br w:val="nil"/>
                    <w:tr2bl w:val="nil"/>
                  </w:tcBorders>
                  <w:vAlign w:val="center"/>
                </w:tcPr>
                <w:p>
                  <w:pPr>
                    <w:pStyle w:val="TableParagraph"/>
                    <w:spacing w:before="94"/>
                    <w:ind w:left="14"/>
                    <w:jc w:val="center"/>
                    <w:rPr>
                      <w:sz w:val="21"/>
                      <w:szCs w:val="21"/>
                    </w:rPr>
                  </w:pPr>
                  <w:r>
                    <w:rPr>
                      <w:sz w:val="21"/>
                      <w:szCs w:val="21"/>
                    </w:rPr>
                    <w:t>座</w:t>
                  </w:r>
                </w:p>
              </w:tc>
              <w:tc>
                <w:tcPr>
                  <w:tcW w:w="1374" w:type="dxa"/>
                  <w:tcBorders>
                    <w:tl2br w:val="nil"/>
                    <w:tr2bl w:val="nil"/>
                  </w:tcBorders>
                  <w:vAlign w:val="center"/>
                </w:tcPr>
                <w:p>
                  <w:pPr>
                    <w:pStyle w:val="TableParagraph"/>
                    <w:spacing w:before="94"/>
                    <w:ind w:left="14"/>
                    <w:jc w:val="center"/>
                    <w:rPr>
                      <w:sz w:val="21"/>
                      <w:szCs w:val="21"/>
                    </w:rPr>
                  </w:pPr>
                  <w:r>
                    <w:rPr>
                      <w:sz w:val="21"/>
                      <w:szCs w:val="21"/>
                    </w:rPr>
                    <w:t>1</w:t>
                  </w:r>
                </w:p>
              </w:tc>
              <w:tc>
                <w:tcPr>
                  <w:tcW w:w="1288" w:type="dxa"/>
                  <w:tcBorders>
                    <w:tl2br w:val="nil"/>
                    <w:tr2bl w:val="nil"/>
                  </w:tcBorders>
                  <w:vAlign w:val="center"/>
                </w:tcPr>
                <w:p>
                  <w:pPr>
                    <w:pStyle w:val="TableParagraph"/>
                    <w:spacing w:before="94"/>
                    <w:ind w:left="14"/>
                    <w:jc w:val="center"/>
                    <w:rPr>
                      <w:sz w:val="21"/>
                      <w:szCs w:val="21"/>
                    </w:rPr>
                  </w:pPr>
                  <w:r>
                    <w:rPr>
                      <w:sz w:val="21"/>
                      <w:szCs w:val="21"/>
                    </w:rPr>
                    <w:t>5×2×1.5m</w:t>
                  </w:r>
                </w:p>
              </w:tc>
              <w:tc>
                <w:tcPr>
                  <w:tcW w:w="2862" w:type="dxa"/>
                  <w:tcBorders>
                    <w:tl2br w:val="nil"/>
                    <w:tr2bl w:val="nil"/>
                  </w:tcBorders>
                  <w:vAlign w:val="center"/>
                </w:tcPr>
                <w:p>
                  <w:pPr>
                    <w:pStyle w:val="TableParagraph"/>
                    <w:spacing w:before="94"/>
                    <w:ind w:left="14"/>
                    <w:jc w:val="center"/>
                    <w:rPr>
                      <w:sz w:val="21"/>
                      <w:szCs w:val="21"/>
                    </w:rPr>
                  </w:pPr>
                </w:p>
              </w:tc>
            </w:tr>
            <w:bookmarkEnd w:id="0"/>
            <w:bookmarkEnd w:id="1"/>
          </w:tbl>
          <w:p>
            <w:pPr>
              <w:pStyle w:val="1"/>
              <w:adjustRightInd w:val="0"/>
              <w:spacing w:line="540" w:lineRule="exact"/>
              <w:ind w:firstLine="480" w:firstLineChars="200"/>
              <w:jc w:val="both"/>
              <w:rPr>
                <w:rFonts w:ascii="Times New Roman"/>
                <w:sz w:val="24"/>
                <w:szCs w:val="24"/>
              </w:rPr>
            </w:pPr>
            <w:r>
              <w:rPr>
                <w:rFonts w:ascii="Times New Roman"/>
                <w:sz w:val="24"/>
                <w:szCs w:val="24"/>
              </w:rPr>
              <w:t>五、污水管道工程设计</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本项目新建污水管网敷设路线及走向如下：</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（1）水蛟路污水主干管：HDPE双壁波纹管沿水蛟路</w:t>
            </w:r>
            <w:r>
              <w:rPr>
                <w:rFonts w:ascii="Times New Roman" w:hAnsi="Times New Roman" w:hint="eastAsia"/>
                <w:sz w:val="24"/>
                <w:lang w:val="en-US" w:eastAsia="zh-CN"/>
              </w:rPr>
              <w:t>东</w:t>
            </w:r>
            <w:r>
              <w:rPr>
                <w:rFonts w:ascii="Times New Roman" w:hAnsi="Times New Roman"/>
                <w:sz w:val="24"/>
              </w:rPr>
              <w:t>侧人行道向北敷设，敷设至</w:t>
            </w:r>
            <w:r>
              <w:rPr>
                <w:rFonts w:ascii="Times New Roman" w:hAnsi="Times New Roman"/>
                <w:kern w:val="0"/>
                <w:sz w:val="24"/>
              </w:rPr>
              <w:t>垃圾填埋场路口，</w:t>
            </w:r>
            <w:r>
              <w:rPr>
                <w:rFonts w:ascii="Times New Roman" w:hAnsi="Times New Roman"/>
                <w:sz w:val="24"/>
              </w:rPr>
              <w:t>最终污水排至凤凰路现状污水管网，管径为DN400，总长为3792m；</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（2）水蛟路污水预留支管：污水管道每隔90~120m设置污水预留支管，管径为DN300，总长为718m。</w:t>
            </w:r>
          </w:p>
          <w:p>
            <w:pPr>
              <w:pStyle w:val="BodyTextFirstIndent2"/>
              <w:adjustRightInd w:val="0"/>
              <w:snapToGrid w:val="0"/>
              <w:spacing w:after="0" w:line="540" w:lineRule="exact"/>
              <w:ind w:left="0" w:firstLine="480" w:leftChars="0" w:firstLineChars="200"/>
              <w:rPr>
                <w:rFonts w:hAnsi="Times New Roman"/>
                <w:b/>
                <w:bCs/>
                <w:color w:val="auto"/>
                <w:sz w:val="24"/>
              </w:rPr>
            </w:pPr>
            <w:r>
              <w:rPr>
                <w:rFonts w:hAnsi="Times New Roman"/>
                <w:b/>
                <w:bCs/>
                <w:color w:val="auto"/>
                <w:sz w:val="24"/>
              </w:rPr>
              <w:t>六、污水管道施工方案</w:t>
            </w:r>
          </w:p>
          <w:p>
            <w:pPr>
              <w:pStyle w:val="NormalIndent"/>
              <w:adjustRightInd w:val="0"/>
              <w:snapToGrid w:val="0"/>
              <w:spacing w:line="540" w:lineRule="exact"/>
              <w:ind w:firstLine="482"/>
              <w:rPr>
                <w:rFonts w:ascii="Times New Roman" w:hAnsi="Times New Roman"/>
                <w:b/>
                <w:bCs/>
                <w:sz w:val="24"/>
              </w:rPr>
            </w:pPr>
            <w:r>
              <w:rPr>
                <w:rFonts w:ascii="Times New Roman" w:hAnsi="Times New Roman"/>
                <w:b/>
                <w:bCs/>
                <w:sz w:val="24"/>
              </w:rPr>
              <w:t>1、沟槽开挖</w:t>
            </w:r>
          </w:p>
          <w:p>
            <w:pPr>
              <w:pStyle w:val="NormalIndent"/>
              <w:adjustRightInd w:val="0"/>
              <w:snapToGrid w:val="0"/>
              <w:spacing w:after="0" w:line="540" w:lineRule="exact"/>
              <w:ind w:firstLine="480"/>
              <w:rPr>
                <w:rFonts w:ascii="Times New Roman" w:hAnsi="Times New Roman"/>
                <w:sz w:val="24"/>
              </w:rPr>
            </w:pPr>
            <w:r>
              <w:rPr>
                <w:rFonts w:ascii="Times New Roman" w:hAnsi="Times New Roman"/>
                <w:sz w:val="24"/>
              </w:rPr>
              <w:t>管道埋深H ≥3.5m</w:t>
            </w:r>
            <w:r>
              <w:rPr>
                <w:rFonts w:ascii="Times New Roman" w:hAnsi="Times New Roman" w:hint="eastAsia"/>
                <w:sz w:val="24"/>
                <w:lang w:eastAsia="zh-CN"/>
              </w:rPr>
              <w:t>，</w:t>
            </w:r>
            <w:r>
              <w:rPr>
                <w:rFonts w:ascii="Times New Roman" w:hAnsi="Times New Roman" w:hint="eastAsia"/>
                <w:sz w:val="24"/>
                <w:lang w:val="en-US" w:eastAsia="zh-CN"/>
              </w:rPr>
              <w:t>开挖宽度≤2m，</w:t>
            </w:r>
            <w:r>
              <w:rPr>
                <w:rFonts w:ascii="Times New Roman" w:hAnsi="Times New Roman"/>
                <w:sz w:val="24"/>
              </w:rPr>
              <w:t>管道沟槽采用Ⅲ级拉森钢板桩支护开挖，管道埋深H</w:t>
            </w:r>
            <w:r>
              <w:rPr>
                <w:rFonts w:ascii="Times New Roman" w:hAnsi="Times New Roman"/>
                <w:sz w:val="24"/>
              </w:rPr>
              <w:t xml:space="preserve"> ＜3.5m的管道沟槽采用1:0.75放坡开挖。</w:t>
            </w:r>
          </w:p>
        </w:tc>
      </w:tr>
    </w:tbl>
    <w:p>
      <w:pPr>
        <w:sectPr>
          <w:footerReference w:type="default" r:id="rId11"/>
          <w:type w:val="nextPage"/>
          <w:pgSz w:w="11906" w:h="16838"/>
          <w:pgMar w:top="1440" w:right="1800" w:bottom="1440" w:left="1800" w:header="851" w:footer="992" w:gutter="0"/>
          <w:pgNumType w:fmt="decimal" w:start="4"/>
          <w:cols w:num="1" w:space="425"/>
          <w:titlePg w:val="0"/>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pStyle w:val="NormalIndent"/>
              <w:adjustRightInd w:val="0"/>
              <w:snapToGrid w:val="0"/>
              <w:spacing w:before="0" w:line="540" w:lineRule="exact"/>
              <w:ind w:firstLine="480"/>
              <w:rPr>
                <w:rFonts w:ascii="Times New Roman" w:hAnsi="Times New Roman"/>
                <w:sz w:val="24"/>
              </w:rPr>
            </w:pPr>
            <w:r>
              <w:rPr>
                <w:rFonts w:ascii="Times New Roman" w:hAnsi="Times New Roman"/>
                <w:sz w:val="24"/>
              </w:rPr>
              <w:t xml:space="preserve"> 沟槽开挖时，隔50m间距设集水井排水，接户管采用直槽开挖。若开挖出现塌方现象严重，则必须在沟槽设置止水帷幕，管沟及检查井内积水采用抽水台班。</w:t>
            </w:r>
            <w:r>
              <w:rPr>
                <w:rFonts w:ascii="Times New Roman" w:hAnsi="Times New Roman"/>
                <w:sz w:val="24"/>
              </w:rPr>
              <w:t xml:space="preserve"> </w:t>
            </w:r>
          </w:p>
          <w:p>
            <w:pPr>
              <w:pStyle w:val="BodyTextFirstIndent2"/>
              <w:adjustRightInd w:val="0"/>
              <w:snapToGrid w:val="0"/>
              <w:spacing w:after="0" w:line="540" w:lineRule="exact"/>
              <w:ind w:left="0" w:firstLine="480" w:leftChars="0" w:firstLineChars="200"/>
              <w:rPr>
                <w:rFonts w:hAnsi="Times New Roman"/>
                <w:b/>
                <w:bCs/>
                <w:color w:val="auto"/>
                <w:sz w:val="24"/>
              </w:rPr>
            </w:pPr>
          </w:p>
          <w:p>
            <w:pPr>
              <w:pStyle w:val="BodyTextFirstIndent2"/>
              <w:adjustRightInd w:val="0"/>
              <w:snapToGrid w:val="0"/>
              <w:spacing w:after="0" w:line="540" w:lineRule="exact"/>
              <w:ind w:left="0" w:firstLine="480" w:leftChars="0" w:firstLineChars="200"/>
              <w:rPr>
                <w:rFonts w:hAnsi="Times New Roman"/>
                <w:b/>
                <w:bCs/>
                <w:color w:val="auto"/>
                <w:sz w:val="24"/>
              </w:rPr>
            </w:pPr>
            <w:r>
              <w:rPr>
                <w:rFonts w:hAnsi="Times New Roman"/>
                <w:b/>
                <w:bCs/>
                <w:color w:val="auto"/>
                <w:sz w:val="24"/>
              </w:rPr>
              <w:t>2、沟槽回填</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污水管垫层及基础采用中粗砂回填，压实度≥0.95，管道两侧（压实度≥0.95）及 管顶以上 50cm（压实度≥0.85~0.90）采用石粉回填，其余回填土，压实度≥90%，回填至路基时同道路要求；管道回填必须采用人工两侧对称回填，回填需分层进行回填夯实，严禁使用机械机推土液压回填，每层虚铺厚度≤20cm。</w:t>
            </w:r>
          </w:p>
          <w:p>
            <w:pPr>
              <w:pStyle w:val="BodyTextFirstIndent2"/>
              <w:adjustRightInd w:val="0"/>
              <w:snapToGrid w:val="0"/>
              <w:spacing w:after="0" w:line="540" w:lineRule="exact"/>
              <w:ind w:left="0" w:firstLine="480" w:leftChars="0" w:firstLineChars="200"/>
              <w:rPr>
                <w:rFonts w:hAnsi="Times New Roman"/>
                <w:b/>
                <w:bCs/>
                <w:color w:val="auto"/>
                <w:sz w:val="24"/>
              </w:rPr>
            </w:pPr>
            <w:r>
              <w:rPr>
                <w:rFonts w:hAnsi="Times New Roman"/>
                <w:b/>
                <w:bCs/>
                <w:color w:val="auto"/>
                <w:sz w:val="24"/>
              </w:rPr>
              <w:t>3、过河段施工</w:t>
            </w:r>
          </w:p>
          <w:p>
            <w:pPr>
              <w:pStyle w:val="NormalIndent"/>
              <w:adjustRightInd w:val="0"/>
              <w:snapToGrid w:val="0"/>
              <w:spacing w:line="540" w:lineRule="exact"/>
              <w:ind w:firstLine="480"/>
              <w:rPr>
                <w:rFonts w:ascii="Times New Roman" w:hAnsi="Times New Roman"/>
                <w:b/>
                <w:bCs/>
                <w:sz w:val="24"/>
              </w:rPr>
            </w:pPr>
            <w:r>
              <w:rPr>
                <w:rFonts w:ascii="Times New Roman" w:hAnsi="Times New Roman"/>
                <w:sz w:val="24"/>
              </w:rPr>
              <w:t>桩号K0+100~ K0+180处为水蛟溪，采用高密度聚乙烯 PE100 管，施工工艺采用拖拉管施工，工艺流程为：施工准备→钻导向孔→扩孔→回拖敷设管道→管道外壁注浆及造斜段灌砂填充→检查井砌筑→验收。</w:t>
            </w:r>
          </w:p>
          <w:p>
            <w:pPr>
              <w:pStyle w:val="BodyTextFirstIndent2"/>
              <w:adjustRightInd w:val="0"/>
              <w:snapToGrid w:val="0"/>
              <w:spacing w:after="0" w:line="540" w:lineRule="exact"/>
              <w:ind w:left="0" w:firstLine="480" w:leftChars="0" w:firstLineChars="200"/>
              <w:rPr>
                <w:rFonts w:hAnsi="Times New Roman"/>
                <w:b/>
                <w:bCs/>
                <w:color w:val="auto"/>
                <w:sz w:val="24"/>
              </w:rPr>
            </w:pPr>
            <w:r>
              <w:rPr>
                <w:rFonts w:hAnsi="Times New Roman"/>
                <w:b/>
                <w:bCs/>
                <w:color w:val="auto"/>
                <w:sz w:val="24"/>
              </w:rPr>
              <w:t>4、闭水试验</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管道安装完毕且检验合格后，应进行闭水试验。管道密闭性试验应在管底与基础腋脚部位用砂回填密实后进行。</w:t>
            </w:r>
          </w:p>
          <w:p>
            <w:pPr>
              <w:pStyle w:val="BodyTextFirstIndent2"/>
              <w:adjustRightInd w:val="0"/>
              <w:snapToGrid w:val="0"/>
              <w:spacing w:after="0" w:line="540" w:lineRule="exact"/>
              <w:ind w:left="0" w:firstLine="480" w:leftChars="0" w:firstLineChars="200"/>
              <w:rPr>
                <w:rFonts w:hAnsi="Times New Roman"/>
                <w:b/>
                <w:bCs/>
                <w:color w:val="auto"/>
                <w:sz w:val="24"/>
              </w:rPr>
            </w:pPr>
            <w:r>
              <w:rPr>
                <w:rFonts w:hAnsi="Times New Roman"/>
                <w:b/>
                <w:bCs/>
                <w:color w:val="auto"/>
                <w:sz w:val="24"/>
              </w:rPr>
              <w:t>5、道路恢复工程</w:t>
            </w:r>
          </w:p>
          <w:p>
            <w:pPr>
              <w:pStyle w:val="NormalIndent"/>
              <w:adjustRightInd w:val="0"/>
              <w:snapToGrid w:val="0"/>
              <w:spacing w:line="540" w:lineRule="exact"/>
              <w:ind w:firstLine="480"/>
              <w:rPr>
                <w:rFonts w:ascii="Times New Roman" w:hAnsi="Times New Roman"/>
                <w:color w:val="0D0D0D"/>
                <w:sz w:val="24"/>
              </w:rPr>
            </w:pPr>
            <w:r>
              <w:rPr>
                <w:rFonts w:ascii="Times New Roman" w:hAnsi="Times New Roman"/>
                <w:color w:val="0D0D0D"/>
                <w:sz w:val="24"/>
              </w:rPr>
              <w:t>本工程在现状道路上实施的雨污水管道工程，需破除现状水泥路面及人行道，管沟回填后需对开挖面进行原状恢复。路面设计根据道路等级及使用要求，合理选材并满足使用要求。</w:t>
            </w:r>
          </w:p>
          <w:p>
            <w:pPr>
              <w:pStyle w:val="BodyTextFirstIndent2"/>
              <w:adjustRightInd w:val="0"/>
              <w:snapToGrid w:val="0"/>
              <w:spacing w:after="0" w:line="540" w:lineRule="exact"/>
              <w:ind w:left="0" w:firstLine="480" w:leftChars="0" w:firstLineChars="200"/>
              <w:rPr>
                <w:rFonts w:hAnsi="Times New Roman"/>
                <w:sz w:val="24"/>
              </w:rPr>
            </w:pPr>
          </w:p>
        </w:tc>
      </w:tr>
      <w:tr>
        <w:tblPrEx>
          <w:tblW w:w="9719" w:type="dxa"/>
          <w:jc w:val="center"/>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adjustRightInd w:val="0"/>
              <w:snapToGrid w:val="0"/>
              <w:spacing w:line="540" w:lineRule="exact"/>
              <w:ind w:firstLine="560" w:firstLineChars="200"/>
              <w:rPr>
                <w:b/>
                <w:sz w:val="28"/>
                <w:szCs w:val="28"/>
              </w:rPr>
            </w:pPr>
            <w:r>
              <w:rPr>
                <w:rFonts w:hint="eastAsia"/>
                <w:b/>
                <w:sz w:val="28"/>
                <w:szCs w:val="28"/>
              </w:rPr>
              <w:t>与本项目有关的原有污染情况及主要环境问题：</w:t>
            </w:r>
          </w:p>
          <w:p>
            <w:pPr>
              <w:adjustRightInd w:val="0"/>
              <w:snapToGrid w:val="0"/>
              <w:spacing w:line="540" w:lineRule="exact"/>
              <w:ind w:firstLine="480" w:firstLineChars="200"/>
              <w:rPr>
                <w:b/>
                <w:sz w:val="24"/>
              </w:rPr>
            </w:pPr>
            <w:r>
              <w:rPr>
                <w:b/>
                <w:sz w:val="24"/>
              </w:rPr>
              <w:t>一、现状排查</w:t>
            </w:r>
          </w:p>
          <w:p>
            <w:pPr>
              <w:spacing w:line="540" w:lineRule="exact"/>
              <w:ind w:firstLine="0"/>
              <w:rPr>
                <w:color w:val="auto"/>
                <w:sz w:val="24"/>
              </w:rPr>
            </w:pPr>
            <w:r>
              <w:rPr>
                <w:rFonts w:hAnsi="Times New Roman"/>
                <w:color w:val="auto"/>
                <w:sz w:val="24"/>
              </w:rPr>
              <w:t>项目为新建</w:t>
            </w:r>
            <w:r>
              <w:rPr>
                <w:rFonts w:hAnsi="Times New Roman" w:hint="eastAsia"/>
                <w:color w:val="auto"/>
                <w:sz w:val="24"/>
              </w:rPr>
              <w:t>工程</w:t>
            </w:r>
            <w:r>
              <w:rPr>
                <w:rFonts w:hAnsi="Times New Roman"/>
                <w:color w:val="auto"/>
                <w:sz w:val="24"/>
              </w:rPr>
              <w:t>，经现场调查，现状存在问题主要来源于以下方面。</w:t>
            </w:r>
          </w:p>
          <w:p>
            <w:pPr>
              <w:spacing w:line="540" w:lineRule="exact"/>
              <w:ind w:firstLine="480" w:firstLineChars="200"/>
              <w:rPr>
                <w:b/>
                <w:color w:val="auto"/>
                <w:sz w:val="24"/>
              </w:rPr>
            </w:pPr>
            <w:r>
              <w:rPr>
                <w:rFonts w:hAnsi="Times New Roman"/>
                <w:b/>
                <w:color w:val="auto"/>
                <w:sz w:val="24"/>
              </w:rPr>
              <w:t>1、水环境污染源</w:t>
            </w:r>
          </w:p>
          <w:p>
            <w:pPr>
              <w:spacing w:line="540" w:lineRule="exact"/>
              <w:ind w:firstLine="0"/>
              <w:rPr>
                <w:b w:val="0"/>
                <w:bCs w:val="0"/>
                <w:sz w:val="24"/>
              </w:rPr>
            </w:pPr>
            <w:r>
              <w:rPr>
                <w:rFonts w:ascii="Times New Roman" w:eastAsia="宋体" w:hAnsi="Times New Roman"/>
                <w:b w:val="0"/>
                <w:bCs w:val="0"/>
                <w:sz w:val="24"/>
                <w:szCs w:val="24"/>
              </w:rPr>
              <w:t>现状水蛟路无市政污水管网，沿线周边居民及垃圾填埋场员工生活污水主要靠化粪池下渗，对地下水环境有一定的影响。</w:t>
            </w:r>
          </w:p>
          <w:p>
            <w:pPr>
              <w:spacing w:line="540" w:lineRule="exact"/>
              <w:ind w:firstLine="480" w:firstLineChars="200"/>
              <w:rPr>
                <w:b/>
                <w:color w:val="auto"/>
                <w:sz w:val="24"/>
              </w:rPr>
            </w:pPr>
            <w:r>
              <w:rPr>
                <w:rFonts w:hAnsi="Times New Roman"/>
                <w:b/>
                <w:color w:val="auto"/>
                <w:sz w:val="24"/>
              </w:rPr>
              <w:t>2、固体废物</w:t>
            </w:r>
          </w:p>
        </w:tc>
      </w:tr>
    </w:tbl>
    <w:p>
      <w:pPr>
        <w:sectPr>
          <w:footerReference w:type="default" r:id="rId12"/>
          <w:type w:val="nextPage"/>
          <w:pgSz w:w="11906" w:h="16838"/>
          <w:pgMar w:top="1440" w:right="1800" w:bottom="1440" w:left="1800" w:header="851" w:footer="992" w:gutter="0"/>
          <w:pgNumType w:fmt="decimal" w:start="5"/>
          <w:cols w:num="1" w:space="425"/>
          <w:titlePg w:val="0"/>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spacing w:line="540" w:lineRule="exact"/>
              <w:ind w:firstLine="480" w:firstLineChars="200"/>
              <w:rPr>
                <w:sz w:val="24"/>
              </w:rPr>
            </w:pPr>
            <w:r>
              <w:rPr>
                <w:sz w:val="24"/>
              </w:rPr>
              <w:t>项目现状固体废物污染源主要是沿线周边居民及垃圾填埋场员工日常生活垃圾，由环卫部门统一收集处理。</w:t>
            </w:r>
          </w:p>
        </w:tc>
      </w:tr>
    </w:tbl>
    <w:p>
      <w:pPr>
        <w:spacing w:line="360" w:lineRule="auto"/>
        <w:outlineLvl w:val="0"/>
        <w:rPr>
          <w:b/>
          <w:sz w:val="30"/>
          <w:szCs w:val="30"/>
        </w:rPr>
        <w:sectPr>
          <w:footerReference w:type="default" r:id="rId13"/>
          <w:type w:val="nextPage"/>
          <w:pgSz w:w="11906" w:h="16838"/>
          <w:pgMar w:top="1440" w:right="1800" w:bottom="1440" w:left="1800" w:header="851" w:footer="992" w:gutter="0"/>
          <w:pgNumType w:fmt="decimal" w:start="6"/>
          <w:cols w:num="1" w:space="425"/>
          <w:titlePg w:val="0"/>
          <w:docGrid w:type="lines" w:linePitch="312" w:charSpace="0"/>
        </w:sectPr>
      </w:pPr>
    </w:p>
    <w:p>
      <w:pPr>
        <w:keepNext/>
        <w:outlineLvl w:val="0"/>
        <w:rPr>
          <w:rFonts w:eastAsia="黑体"/>
          <w:b/>
          <w:color w:val="000000"/>
          <w:sz w:val="28"/>
        </w:rPr>
      </w:pPr>
      <w:r>
        <w:rPr>
          <w:rFonts w:eastAsia="黑体"/>
          <w:b/>
          <w:color w:val="000000"/>
          <w:sz w:val="28"/>
        </w:rPr>
        <w:t>建设项目所在地自然环境社会环境简况</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18"/>
          <w:jc w:val="center"/>
        </w:trPr>
        <w:tc>
          <w:tcPr>
            <w:tcW w:w="9840" w:type="dxa"/>
          </w:tcPr>
          <w:p>
            <w:pPr>
              <w:spacing w:line="360" w:lineRule="auto"/>
              <w:jc w:val="left"/>
              <w:rPr>
                <w:b/>
                <w:color w:val="000000"/>
                <w:sz w:val="24"/>
              </w:rPr>
            </w:pPr>
            <w:r>
              <w:rPr>
                <w:b/>
                <w:color w:val="000000"/>
                <w:sz w:val="28"/>
                <w:szCs w:val="28"/>
              </w:rPr>
              <w:t>自然环境简况（地形、地貌、地质、气候、气象、水文、植被、生物多样性等）</w:t>
            </w:r>
          </w:p>
          <w:p>
            <w:pPr>
              <w:adjustRightInd w:val="0"/>
              <w:snapToGrid w:val="0"/>
              <w:spacing w:line="540" w:lineRule="exact"/>
              <w:ind w:firstLine="480" w:firstLineChars="200"/>
              <w:rPr>
                <w:color w:val="000000"/>
                <w:spacing w:val="8"/>
                <w:sz w:val="24"/>
              </w:rPr>
            </w:pPr>
            <w:r>
              <w:rPr>
                <w:b/>
                <w:color w:val="000000"/>
                <w:sz w:val="24"/>
              </w:rPr>
              <w:t>1、地理位置</w:t>
            </w:r>
          </w:p>
          <w:p>
            <w:pPr>
              <w:pStyle w:val="Default"/>
              <w:snapToGrid w:val="0"/>
              <w:spacing w:line="540" w:lineRule="exact"/>
              <w:ind w:firstLine="480" w:firstLineChars="200"/>
              <w:jc w:val="both"/>
              <w:rPr>
                <w:rFonts w:ascii="Times New Roman" w:cs="Times New Roman"/>
              </w:rPr>
            </w:pPr>
            <w:r>
              <w:rPr>
                <w:rFonts w:ascii="Times New Roman" w:cs="Times New Roman"/>
                <w:color w:val="auto"/>
              </w:rPr>
              <w:t>本项目位于</w:t>
            </w:r>
            <w:r>
              <w:rPr>
                <w:rFonts w:ascii="Times New Roman" w:cs="Times New Roman"/>
              </w:rPr>
              <w:t>三亚市天涯区水蛟路延伸段（大溪桥至垃圾填埋场）</w:t>
            </w:r>
            <w:r>
              <w:rPr>
                <w:rFonts w:ascii="Times New Roman" w:cs="Times New Roman"/>
                <w:color w:val="auto"/>
              </w:rPr>
              <w:t>，南起大溪桥（E109°26'23.17"</w:t>
            </w:r>
            <w:r>
              <w:rPr>
                <w:rFonts w:ascii="Times New Roman" w:cs="Times New Roman" w:hint="eastAsia"/>
                <w:color w:val="auto"/>
              </w:rPr>
              <w:t>，</w:t>
            </w:r>
            <w:r>
              <w:rPr>
                <w:rFonts w:ascii="Times New Roman" w:cs="Times New Roman"/>
                <w:color w:val="auto"/>
              </w:rPr>
              <w:t>N18°20'16.55"），北至垃圾填埋场路口（E109°25'36.67"</w:t>
            </w:r>
            <w:r>
              <w:rPr>
                <w:rFonts w:ascii="Times New Roman" w:cs="Times New Roman" w:hint="eastAsia"/>
                <w:color w:val="auto"/>
              </w:rPr>
              <w:t>，</w:t>
            </w:r>
            <w:r>
              <w:rPr>
                <w:rFonts w:ascii="Times New Roman" w:cs="Times New Roman"/>
                <w:color w:val="auto"/>
              </w:rPr>
              <w:t>N18°22'1.20"）。</w:t>
            </w:r>
            <w:r>
              <w:rPr>
                <w:rFonts w:ascii="Times New Roman" w:cs="Times New Roman"/>
              </w:rPr>
              <w:t>项目地理位置图见附图1。</w:t>
            </w:r>
          </w:p>
          <w:p>
            <w:pPr>
              <w:adjustRightInd w:val="0"/>
              <w:snapToGrid w:val="0"/>
              <w:spacing w:line="540" w:lineRule="exact"/>
              <w:ind w:firstLine="480" w:firstLineChars="200"/>
              <w:rPr>
                <w:color w:val="000000"/>
                <w:sz w:val="24"/>
              </w:rPr>
            </w:pPr>
            <w:r>
              <w:rPr>
                <w:b/>
                <w:color w:val="000000"/>
                <w:sz w:val="24"/>
              </w:rPr>
              <w:t>2、地形地貌</w:t>
            </w:r>
          </w:p>
          <w:p>
            <w:pPr>
              <w:adjustRightInd w:val="0"/>
              <w:snapToGrid w:val="0"/>
              <w:spacing w:line="5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三亚市区三面环山，北有抱坡岭，东有大会岭、虎豹岭和海拔393米的高岭(狗岭)，南有南边岭，形成环抱之势，山岭绵延起伏、层次分明；同时，山脉的延伸将市区分成若干青山围成的空间，为城市不同地区提供了各具特色的空间景观环境。三亚面临南海，海湾较多，众多海湾各有佳景。处于市区的大东海、小东海、三亚湾与市民生活的关系最为密切。</w:t>
            </w:r>
          </w:p>
          <w:p>
            <w:pPr>
              <w:adjustRightInd w:val="0"/>
              <w:snapToGrid w:val="0"/>
              <w:spacing w:line="54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三亚市区坐落在一种幽美的以山、海、河为特点的自然环境之中，城市的建设注意城市与自然景观环境、生态环境的协调关系，“山—海—河—城”巧妙组合，浑然一体，构成了三亚市区独特的环境特色。</w:t>
            </w:r>
          </w:p>
          <w:p>
            <w:pPr>
              <w:adjustRightInd w:val="0"/>
              <w:snapToGrid w:val="0"/>
              <w:spacing w:line="540" w:lineRule="exact"/>
              <w:ind w:firstLine="480" w:firstLineChars="200"/>
              <w:rPr>
                <w:color w:val="000000"/>
                <w:sz w:val="24"/>
              </w:rPr>
            </w:pPr>
            <w:r>
              <w:rPr>
                <w:b/>
                <w:color w:val="000000"/>
                <w:sz w:val="24"/>
              </w:rPr>
              <w:t>3、气候、气象条件</w:t>
            </w:r>
          </w:p>
          <w:p>
            <w:pPr>
              <w:adjustRightInd w:val="0"/>
              <w:snapToGrid w:val="0"/>
              <w:spacing w:line="540" w:lineRule="exact"/>
              <w:ind w:firstLine="480" w:firstLineChars="200"/>
              <w:rPr>
                <w:color w:val="000000"/>
                <w:sz w:val="24"/>
              </w:rPr>
            </w:pPr>
            <w:r>
              <w:rPr>
                <w:color w:val="000000"/>
                <w:sz w:val="24"/>
              </w:rPr>
              <w:t>三亚地处低纬度，属热带海洋性季风气候区，</w:t>
            </w:r>
            <w:r>
              <w:rPr>
                <w:color w:val="000000"/>
                <w:sz w:val="24"/>
                <w:szCs w:val="20"/>
              </w:rPr>
              <w:t>1~6月为东北季风期，6~12月为西南季风期，</w:t>
            </w:r>
            <w:r>
              <w:rPr>
                <w:color w:val="000000"/>
                <w:sz w:val="24"/>
              </w:rPr>
              <w:t>年平均气温25.7</w:t>
            </w:r>
            <w:r>
              <w:rPr>
                <w:rFonts w:eastAsia="仿宋"/>
                <w:color w:val="000000"/>
                <w:sz w:val="24"/>
              </w:rPr>
              <w:t>℃</w:t>
            </w:r>
            <w:r>
              <w:rPr>
                <w:color w:val="000000"/>
                <w:sz w:val="24"/>
              </w:rPr>
              <w:t>，气温最高月为6月，平均28.7℃；气温最低月为1月，平均为21.4℃。全年日照时间2534小时。年平均降水量1347.5mm，</w:t>
            </w:r>
            <w:r>
              <w:rPr>
                <w:color w:val="000000"/>
                <w:sz w:val="24"/>
                <w:szCs w:val="20"/>
              </w:rPr>
              <w:t>降雨季节分布也不均匀，干湿季节明显。4~10月为雨季，降雨量占全年雨量90％，11月至次年3月为旱季。热带风暴或台风平均每年1～2次。</w:t>
            </w:r>
            <w:r>
              <w:rPr>
                <w:color w:val="000000"/>
                <w:sz w:val="24"/>
              </w:rPr>
              <w:t>素有“天然温室”之称。</w:t>
            </w:r>
          </w:p>
          <w:p>
            <w:pPr>
              <w:adjustRightInd w:val="0"/>
              <w:snapToGrid w:val="0"/>
              <w:spacing w:line="540" w:lineRule="exact"/>
              <w:ind w:firstLine="480" w:firstLineChars="200"/>
              <w:rPr>
                <w:color w:val="000000"/>
                <w:sz w:val="24"/>
              </w:rPr>
            </w:pPr>
            <w:r>
              <w:rPr>
                <w:color w:val="000000"/>
                <w:sz w:val="24"/>
              </w:rPr>
              <w:t>气候受海洋气候的影响较大，属热带海洋季风气候，年平均气温25.4ºC，冬季月平均最低气温17.4ºC至21ºC，区内常年主要风向为东北风。</w:t>
            </w:r>
          </w:p>
          <w:p>
            <w:pPr>
              <w:adjustRightInd w:val="0"/>
              <w:snapToGrid w:val="0"/>
              <w:spacing w:line="540" w:lineRule="exact"/>
              <w:ind w:firstLine="480" w:firstLineChars="200"/>
              <w:rPr>
                <w:b/>
                <w:color w:val="000000"/>
                <w:sz w:val="24"/>
              </w:rPr>
            </w:pPr>
            <w:r>
              <w:rPr>
                <w:b/>
                <w:color w:val="000000"/>
                <w:sz w:val="24"/>
              </w:rPr>
              <w:t>4、水文特征</w:t>
            </w:r>
          </w:p>
        </w:tc>
      </w:tr>
    </w:tbl>
    <w:p>
      <w:pPr>
        <w:sectPr>
          <w:footerReference w:type="default" r:id="rId14"/>
          <w:pgSz w:w="11906" w:h="16838"/>
          <w:pgMar w:top="1440" w:right="1800" w:bottom="1440" w:left="1800" w:header="851" w:footer="992" w:gutter="0"/>
          <w:pgNumType w:fmt="decimal" w:start="7"/>
          <w:cols w:num="1" w:space="425"/>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18"/>
          <w:jc w:val="center"/>
        </w:trPr>
        <w:tc>
          <w:tcPr>
            <w:tcW w:w="9840" w:type="dxa"/>
          </w:tcPr>
          <w:p>
            <w:pPr>
              <w:widowControl/>
              <w:adjustRightInd w:val="0"/>
              <w:snapToGrid w:val="0"/>
              <w:spacing w:line="540" w:lineRule="exact"/>
              <w:ind w:firstLine="480" w:firstLineChars="200"/>
              <w:rPr>
                <w:b/>
                <w:color w:val="000000"/>
                <w:sz w:val="24"/>
              </w:rPr>
            </w:pPr>
            <w:r>
              <w:rPr>
                <w:color w:val="000000"/>
                <w:spacing w:val="8"/>
                <w:sz w:val="24"/>
              </w:rPr>
              <w:t>三亚市地表水资源多年平均降雨深度604mm，半径流系数0.43，年总径流量11.5亿立方米，丰水年（P=10%）的年径流量18.2亿立方米，平水年（P=50%）的年径流量10.8亿立方米，枯水年（P=90%）的年径流量5.8亿立方米。集雨面积1905平方公里，多年平均降水量1417mm。</w:t>
            </w:r>
          </w:p>
          <w:p>
            <w:pPr>
              <w:adjustRightInd w:val="0"/>
              <w:snapToGrid w:val="0"/>
              <w:spacing w:line="540" w:lineRule="exact"/>
              <w:ind w:firstLine="480" w:firstLineChars="200"/>
              <w:rPr>
                <w:b/>
                <w:color w:val="000000"/>
                <w:sz w:val="24"/>
              </w:rPr>
            </w:pPr>
            <w:r>
              <w:rPr>
                <w:b/>
                <w:color w:val="000000"/>
                <w:sz w:val="24"/>
              </w:rPr>
              <w:t>5、植被现状及生物多样性</w:t>
            </w:r>
          </w:p>
          <w:p>
            <w:pPr>
              <w:adjustRightInd w:val="0"/>
              <w:snapToGrid w:val="0"/>
              <w:spacing w:line="540" w:lineRule="exact"/>
              <w:ind w:firstLine="480" w:firstLineChars="200"/>
              <w:rPr>
                <w:rStyle w:val="apple-style-span"/>
                <w:color w:val="000000"/>
                <w:sz w:val="24"/>
              </w:rPr>
            </w:pPr>
            <w:r>
              <w:rPr>
                <w:rStyle w:val="apple-style-span"/>
                <w:color w:val="000000"/>
                <w:sz w:val="24"/>
              </w:rPr>
              <w:t>三亚市现有森林面积（含热作林）10.39万公顷，森林覆盖率达60%，其中封山育林、护林6.2万公顷，森林蓄积量为385万立方米，有热带雨林1000多种，经济价值较高有坡垒、铁棱、子京、花梨、陆均松、荔枝木等500多种。北部山区属于雨林群落，森林资源较丰富，森林副产品资源有：红白藤、毛竹、麻竹、山竹等；三亚山区是岭南药物的宝库，岭南药用植物有：砂乍、冗香、益智、青天葵等；主要热带经济作物有：橡胶、椰子、槟榔等。三亚市动物资源也较丰富，大片的热带雨林中栖息着300多种珍禽异兽，其中兽类50多种，鸟类300多种，珍稀野生动物38种，如坡鹿、猕猴、穿山岬、莽蛇等，坡鹿是其中被列为家国一类保护野生动物。</w:t>
            </w:r>
          </w:p>
          <w:p>
            <w:pPr>
              <w:adjustRightInd w:val="0"/>
              <w:snapToGrid w:val="0"/>
              <w:spacing w:line="540" w:lineRule="exact"/>
              <w:ind w:firstLine="480" w:firstLineChars="200"/>
              <w:rPr>
                <w:color w:val="000000"/>
                <w:sz w:val="24"/>
                <w:szCs w:val="20"/>
              </w:rPr>
            </w:pPr>
            <w:r>
              <w:rPr>
                <w:color w:val="000000"/>
                <w:sz w:val="24"/>
              </w:rPr>
              <w:t>根据现场调查，</w:t>
            </w:r>
            <w:r>
              <w:rPr>
                <w:color w:val="000000"/>
                <w:sz w:val="24"/>
                <w:szCs w:val="20"/>
              </w:rPr>
              <w:t>项目所处位置主要以城市生态环境为主，植被类型较简单，主要为人工种植常见绿化植物，主要包括椰子树、芒果树、小叶橄榄等，生物多样性较简单。</w:t>
            </w: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ind w:firstLine="480" w:firstLineChars="200"/>
              <w:rPr>
                <w:color w:val="000000"/>
                <w:sz w:val="24"/>
                <w:szCs w:val="20"/>
              </w:rPr>
            </w:pPr>
          </w:p>
          <w:p>
            <w:pPr>
              <w:adjustRightInd w:val="0"/>
              <w:spacing w:line="360" w:lineRule="auto"/>
              <w:rPr>
                <w:color w:val="000000"/>
                <w:sz w:val="24"/>
                <w:szCs w:val="20"/>
              </w:rPr>
            </w:pPr>
          </w:p>
        </w:tc>
      </w:tr>
    </w:tbl>
    <w:p>
      <w:pPr>
        <w:spacing w:line="360" w:lineRule="auto"/>
        <w:outlineLvl w:val="0"/>
        <w:rPr>
          <w:b/>
          <w:sz w:val="30"/>
          <w:szCs w:val="30"/>
        </w:rPr>
        <w:sectPr>
          <w:footerReference w:type="default" r:id="rId15"/>
          <w:type w:val="nextPage"/>
          <w:pgSz w:w="11906" w:h="16838"/>
          <w:pgMar w:top="1440" w:right="1800" w:bottom="1440" w:left="1800" w:header="851" w:footer="992" w:gutter="0"/>
          <w:pgNumType w:fmt="decimal" w:start="8"/>
          <w:cols w:num="1" w:space="425"/>
          <w:titlePg w:val="0"/>
          <w:docGrid w:type="lines" w:linePitch="312" w:charSpace="0"/>
        </w:sectPr>
      </w:pPr>
    </w:p>
    <w:p>
      <w:pPr>
        <w:spacing w:line="360" w:lineRule="auto"/>
        <w:outlineLvl w:val="0"/>
        <w:rPr>
          <w:b/>
          <w:sz w:val="30"/>
          <w:szCs w:val="30"/>
        </w:rPr>
      </w:pPr>
      <w:r>
        <w:rPr>
          <w:rFonts w:hint="eastAsia"/>
          <w:b/>
          <w:sz w:val="30"/>
          <w:szCs w:val="30"/>
        </w:rPr>
        <w:t>环境质量状况</w:t>
      </w:r>
    </w:p>
    <w:tbl>
      <w:tblPr>
        <w:tblStyle w:val="TableGrid0"/>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789"/>
        </w:trPr>
        <w:tc>
          <w:tcPr>
            <w:tcW w:w="9540" w:type="dxa"/>
          </w:tcPr>
          <w:p>
            <w:pPr>
              <w:adjustRightInd w:val="0"/>
              <w:snapToGrid w:val="0"/>
              <w:spacing w:line="540" w:lineRule="exact"/>
              <w:ind w:firstLine="560" w:firstLineChars="200"/>
              <w:rPr>
                <w:b/>
                <w:kern w:val="0"/>
                <w:sz w:val="28"/>
                <w:szCs w:val="28"/>
              </w:rPr>
            </w:pPr>
            <w:r>
              <w:rPr>
                <w:rFonts w:hint="eastAsia"/>
                <w:b/>
                <w:kern w:val="0"/>
                <w:sz w:val="28"/>
                <w:szCs w:val="28"/>
              </w:rPr>
              <w:t>建设项目所在地区域环境质量现状及主要环境问题</w:t>
            </w:r>
            <w:r>
              <w:rPr>
                <w:b/>
                <w:kern w:val="0"/>
                <w:sz w:val="28"/>
                <w:szCs w:val="28"/>
              </w:rPr>
              <w:t>(</w:t>
            </w:r>
            <w:r>
              <w:rPr>
                <w:rFonts w:hint="eastAsia"/>
                <w:b/>
                <w:kern w:val="0"/>
                <w:sz w:val="28"/>
                <w:szCs w:val="28"/>
              </w:rPr>
              <w:t>环境空气、地面水、地下水、声环境、生态环境等</w:t>
            </w:r>
            <w:r>
              <w:rPr>
                <w:b/>
                <w:kern w:val="0"/>
                <w:sz w:val="28"/>
                <w:szCs w:val="28"/>
              </w:rPr>
              <w:t>)</w:t>
            </w:r>
            <w:r>
              <w:rPr>
                <w:rFonts w:hint="eastAsia"/>
                <w:b/>
                <w:kern w:val="0"/>
                <w:sz w:val="28"/>
                <w:szCs w:val="28"/>
              </w:rPr>
              <w:t>：</w:t>
            </w:r>
          </w:p>
          <w:p>
            <w:pPr>
              <w:ind w:firstLine="480"/>
              <w:rPr>
                <w:b/>
                <w:color w:val="auto"/>
                <w:sz w:val="24"/>
              </w:rPr>
            </w:pPr>
            <w:r>
              <w:rPr>
                <w:rFonts w:hAnsi="Times New Roman"/>
                <w:b/>
                <w:color w:val="auto"/>
                <w:sz w:val="24"/>
              </w:rPr>
              <w:t>1、大气环境质量</w:t>
            </w:r>
          </w:p>
          <w:p>
            <w:pPr>
              <w:adjustRightInd w:val="0"/>
              <w:snapToGrid w:val="0"/>
              <w:spacing w:line="540" w:lineRule="exact"/>
              <w:ind w:firstLine="480" w:firstLineChars="200"/>
              <w:rPr>
                <w:sz w:val="24"/>
              </w:rPr>
            </w:pPr>
            <w:r>
              <w:rPr>
                <w:sz w:val="24"/>
              </w:rPr>
              <w:t>根据《环境影响评价技术导则 大气环境》（HJ2.2-2018）中“6.2.1.1项目所在区域达标判定，优先采用国家或地方生态环境主管部门公开发布的评价基准年环境质量公告或环境质量报告中的数据或结论”。 因此，本项目区域大气环境质量现状引用三亚市生态环境局2020年公布的《2019</w:t>
            </w:r>
            <w:r>
              <w:rPr>
                <w:sz w:val="24"/>
                <w:lang w:val="en"/>
              </w:rPr>
              <w:t>年三亚市环境质量年报</w:t>
            </w:r>
            <w:r>
              <w:rPr>
                <w:sz w:val="24"/>
              </w:rPr>
              <w:t>》中的数据。</w:t>
            </w:r>
            <w:r>
              <w:rPr>
                <w:sz w:val="24"/>
              </w:rPr>
              <w:br/>
            </w:r>
            <w:r>
              <w:rPr>
                <w:sz w:val="24"/>
              </w:rPr>
              <w:t xml:space="preserve">    三亚市2019年SO</w:t>
            </w:r>
            <w:r>
              <w:rPr>
                <w:sz w:val="24"/>
                <w:vertAlign w:val="subscript"/>
              </w:rPr>
              <w:t>2</w:t>
            </w:r>
            <w:r>
              <w:rPr>
                <w:sz w:val="24"/>
              </w:rPr>
              <w:t>、NO</w:t>
            </w:r>
            <w:r>
              <w:rPr>
                <w:sz w:val="24"/>
                <w:vertAlign w:val="subscript"/>
              </w:rPr>
              <w:t>2</w:t>
            </w:r>
            <w:r>
              <w:rPr>
                <w:sz w:val="24"/>
              </w:rPr>
              <w:t>、PM</w:t>
            </w:r>
            <w:r>
              <w:rPr>
                <w:sz w:val="24"/>
                <w:vertAlign w:val="subscript"/>
              </w:rPr>
              <w:t>10</w:t>
            </w:r>
            <w:r>
              <w:rPr>
                <w:sz w:val="24"/>
              </w:rPr>
              <w:t>、PM</w:t>
            </w:r>
            <w:r>
              <w:rPr>
                <w:sz w:val="24"/>
                <w:vertAlign w:val="subscript"/>
              </w:rPr>
              <w:t>2.5</w:t>
            </w:r>
            <w:r>
              <w:rPr>
                <w:sz w:val="24"/>
              </w:rPr>
              <w:t>年均浓度分别为4ug/m</w:t>
            </w:r>
            <w:r>
              <w:rPr>
                <w:sz w:val="24"/>
                <w:vertAlign w:val="superscript"/>
              </w:rPr>
              <w:t>3</w:t>
            </w:r>
            <w:r>
              <w:rPr>
                <w:sz w:val="24"/>
              </w:rPr>
              <w:t>、9ug/m</w:t>
            </w:r>
            <w:r>
              <w:rPr>
                <w:sz w:val="24"/>
                <w:vertAlign w:val="superscript"/>
              </w:rPr>
              <w:t>3</w:t>
            </w:r>
            <w:r>
              <w:rPr>
                <w:sz w:val="24"/>
              </w:rPr>
              <w:t>、27ug/m</w:t>
            </w:r>
            <w:r>
              <w:rPr>
                <w:sz w:val="24"/>
                <w:vertAlign w:val="superscript"/>
              </w:rPr>
              <w:t>3</w:t>
            </w:r>
            <w:r>
              <w:rPr>
                <w:sz w:val="24"/>
              </w:rPr>
              <w:t>、14 ug/m</w:t>
            </w:r>
            <w:r>
              <w:rPr>
                <w:sz w:val="24"/>
                <w:vertAlign w:val="superscript"/>
              </w:rPr>
              <w:t>3</w:t>
            </w:r>
            <w:r>
              <w:rPr>
                <w:sz w:val="24"/>
              </w:rPr>
              <w:t>；CO 24小时平均第95百分位数为0.7mg/m</w:t>
            </w:r>
            <w:r>
              <w:rPr>
                <w:sz w:val="24"/>
                <w:vertAlign w:val="superscript"/>
              </w:rPr>
              <w:t>3</w:t>
            </w:r>
            <w:r>
              <w:rPr>
                <w:sz w:val="24"/>
              </w:rPr>
              <w:t>，O</w:t>
            </w:r>
            <w:r>
              <w:rPr>
                <w:sz w:val="24"/>
                <w:vertAlign w:val="subscript"/>
              </w:rPr>
              <w:t>3</w:t>
            </w:r>
            <w:r>
              <w:rPr>
                <w:sz w:val="24"/>
              </w:rPr>
              <w:t>日最大8小时平均第90百分位数为118 ug/m</w:t>
            </w:r>
            <w:r>
              <w:rPr>
                <w:sz w:val="24"/>
                <w:vertAlign w:val="superscript"/>
              </w:rPr>
              <w:t>3</w:t>
            </w:r>
            <w:r>
              <w:rPr>
                <w:sz w:val="24"/>
              </w:rPr>
              <w:t>。</w:t>
            </w:r>
          </w:p>
          <w:p>
            <w:pPr>
              <w:keepNext w:val="0"/>
              <w:keepLines w:val="0"/>
              <w:adjustRightInd w:val="0"/>
              <w:snapToGrid w:val="0"/>
              <w:spacing w:line="540" w:lineRule="exact"/>
              <w:ind w:firstLine="480" w:firstLineChars="200"/>
              <w:jc w:val="center"/>
              <w:outlineLvl w:val="9"/>
              <w:rPr>
                <w:b/>
                <w:bCs/>
                <w:color w:val="000000"/>
                <w:sz w:val="24"/>
              </w:rPr>
            </w:pPr>
            <w:r>
              <w:rPr>
                <w:b/>
                <w:bCs/>
                <w:color w:val="000000"/>
                <w:sz w:val="24"/>
              </w:rPr>
              <w:t>表</w:t>
            </w:r>
            <w:r>
              <w:rPr>
                <w:rFonts w:hint="eastAsia"/>
                <w:b/>
                <w:bCs/>
                <w:color w:val="000000"/>
                <w:sz w:val="24"/>
              </w:rPr>
              <w:t xml:space="preserve">2 </w:t>
            </w:r>
            <w:r>
              <w:rPr>
                <w:b/>
                <w:bCs/>
                <w:color w:val="000000"/>
                <w:sz w:val="24"/>
              </w:rPr>
              <w:t>项目区域空气质量现状评价表</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067"/>
              <w:gridCol w:w="2959"/>
              <w:gridCol w:w="1437"/>
              <w:gridCol w:w="1195"/>
              <w:gridCol w:w="1083"/>
              <w:gridCol w:w="763"/>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28"/>
                <w:jc w:val="center"/>
              </w:trPr>
              <w:tc>
                <w:tcPr>
                  <w:tcW w:w="1000" w:type="dxa"/>
                  <w:vAlign w:val="center"/>
                </w:tcPr>
                <w:p>
                  <w:pPr>
                    <w:adjustRightInd w:val="0"/>
                    <w:snapToGrid w:val="0"/>
                    <w:spacing w:line="240" w:lineRule="auto"/>
                    <w:ind w:firstLine="0" w:firstLineChars="0"/>
                    <w:jc w:val="center"/>
                    <w:rPr>
                      <w:b/>
                      <w:bCs/>
                      <w:color w:val="000000"/>
                      <w:szCs w:val="21"/>
                    </w:rPr>
                  </w:pPr>
                  <w:r>
                    <w:rPr>
                      <w:b/>
                      <w:bCs/>
                      <w:color w:val="000000"/>
                      <w:szCs w:val="21"/>
                    </w:rPr>
                    <w:t>污染物</w:t>
                  </w:r>
                </w:p>
              </w:tc>
              <w:tc>
                <w:tcPr>
                  <w:tcW w:w="2776" w:type="dxa"/>
                  <w:vAlign w:val="center"/>
                </w:tcPr>
                <w:p>
                  <w:pPr>
                    <w:adjustRightInd w:val="0"/>
                    <w:snapToGrid w:val="0"/>
                    <w:spacing w:line="240" w:lineRule="auto"/>
                    <w:ind w:firstLine="0" w:firstLineChars="0"/>
                    <w:jc w:val="center"/>
                    <w:rPr>
                      <w:b/>
                      <w:bCs/>
                      <w:color w:val="000000"/>
                      <w:szCs w:val="21"/>
                    </w:rPr>
                  </w:pPr>
                  <w:r>
                    <w:rPr>
                      <w:b/>
                      <w:bCs/>
                      <w:color w:val="000000"/>
                      <w:szCs w:val="21"/>
                    </w:rPr>
                    <w:t>年评价指标</w:t>
                  </w:r>
                </w:p>
              </w:tc>
              <w:tc>
                <w:tcPr>
                  <w:tcW w:w="1348" w:type="dxa"/>
                  <w:vAlign w:val="center"/>
                </w:tcPr>
                <w:p>
                  <w:pPr>
                    <w:adjustRightInd w:val="0"/>
                    <w:snapToGrid w:val="0"/>
                    <w:spacing w:line="240" w:lineRule="auto"/>
                    <w:ind w:firstLine="0" w:firstLineChars="0"/>
                    <w:jc w:val="center"/>
                    <w:rPr>
                      <w:b/>
                      <w:bCs/>
                      <w:color w:val="000000"/>
                      <w:szCs w:val="21"/>
                    </w:rPr>
                  </w:pPr>
                  <w:r>
                    <w:rPr>
                      <w:b/>
                      <w:bCs/>
                      <w:color w:val="000000"/>
                      <w:szCs w:val="21"/>
                    </w:rPr>
                    <w:t>现状浓度/（</w:t>
                  </w:r>
                  <w:r>
                    <w:rPr>
                      <w:b/>
                      <w:bCs/>
                      <w:color w:val="000000"/>
                      <w:szCs w:val="21"/>
                      <w:lang w:bidi="ar"/>
                    </w:rPr>
                    <w:t>ug/m</w:t>
                  </w:r>
                  <w:r>
                    <w:rPr>
                      <w:b/>
                      <w:bCs/>
                      <w:color w:val="000000"/>
                      <w:szCs w:val="21"/>
                      <w:vertAlign w:val="superscript"/>
                      <w:lang w:bidi="ar"/>
                    </w:rPr>
                    <w:t>3</w:t>
                  </w:r>
                  <w:r>
                    <w:rPr>
                      <w:b/>
                      <w:bCs/>
                      <w:color w:val="000000"/>
                      <w:szCs w:val="21"/>
                    </w:rPr>
                    <w:t>）</w:t>
                  </w:r>
                </w:p>
              </w:tc>
              <w:tc>
                <w:tcPr>
                  <w:tcW w:w="1121" w:type="dxa"/>
                  <w:vAlign w:val="center"/>
                </w:tcPr>
                <w:p>
                  <w:pPr>
                    <w:adjustRightInd w:val="0"/>
                    <w:snapToGrid w:val="0"/>
                    <w:spacing w:line="240" w:lineRule="auto"/>
                    <w:ind w:firstLine="0" w:firstLineChars="0"/>
                    <w:jc w:val="center"/>
                    <w:rPr>
                      <w:b/>
                      <w:bCs/>
                      <w:color w:val="000000"/>
                      <w:szCs w:val="21"/>
                    </w:rPr>
                  </w:pPr>
                  <w:r>
                    <w:rPr>
                      <w:b/>
                      <w:bCs/>
                      <w:color w:val="000000"/>
                      <w:szCs w:val="21"/>
                    </w:rPr>
                    <w:t>标准值（</w:t>
                  </w:r>
                  <w:r>
                    <w:rPr>
                      <w:b/>
                      <w:bCs/>
                      <w:color w:val="000000"/>
                      <w:szCs w:val="21"/>
                      <w:lang w:bidi="ar"/>
                    </w:rPr>
                    <w:t>ug/m</w:t>
                  </w:r>
                  <w:r>
                    <w:rPr>
                      <w:b/>
                      <w:bCs/>
                      <w:color w:val="000000"/>
                      <w:szCs w:val="21"/>
                      <w:vertAlign w:val="superscript"/>
                      <w:lang w:bidi="ar"/>
                    </w:rPr>
                    <w:t>3</w:t>
                  </w:r>
                  <w:r>
                    <w:rPr>
                      <w:b/>
                      <w:bCs/>
                      <w:color w:val="000000"/>
                      <w:szCs w:val="21"/>
                    </w:rPr>
                    <w:t>）</w:t>
                  </w:r>
                </w:p>
              </w:tc>
              <w:tc>
                <w:tcPr>
                  <w:tcW w:w="1016" w:type="dxa"/>
                  <w:vAlign w:val="center"/>
                </w:tcPr>
                <w:p>
                  <w:pPr>
                    <w:adjustRightInd w:val="0"/>
                    <w:snapToGrid w:val="0"/>
                    <w:spacing w:line="240" w:lineRule="auto"/>
                    <w:ind w:firstLine="0" w:firstLineChars="0"/>
                    <w:jc w:val="center"/>
                    <w:rPr>
                      <w:b/>
                      <w:bCs/>
                      <w:color w:val="000000"/>
                      <w:szCs w:val="21"/>
                    </w:rPr>
                  </w:pPr>
                  <w:r>
                    <w:rPr>
                      <w:b/>
                      <w:bCs/>
                      <w:color w:val="000000"/>
                      <w:szCs w:val="21"/>
                    </w:rPr>
                    <w:t>占标率/%</w:t>
                  </w:r>
                </w:p>
              </w:tc>
              <w:tc>
                <w:tcPr>
                  <w:tcW w:w="716" w:type="dxa"/>
                  <w:vAlign w:val="center"/>
                </w:tcPr>
                <w:p>
                  <w:pPr>
                    <w:adjustRightInd w:val="0"/>
                    <w:snapToGrid w:val="0"/>
                    <w:spacing w:line="240" w:lineRule="auto"/>
                    <w:ind w:firstLine="0" w:firstLineChars="0"/>
                    <w:jc w:val="left"/>
                    <w:rPr>
                      <w:b/>
                      <w:bCs/>
                      <w:color w:val="000000"/>
                      <w:szCs w:val="21"/>
                    </w:rPr>
                  </w:pPr>
                  <w:r>
                    <w:rPr>
                      <w:b/>
                      <w:bCs/>
                      <w:color w:val="000000"/>
                      <w:szCs w:val="21"/>
                    </w:rPr>
                    <w:t>达标情况</w:t>
                  </w:r>
                </w:p>
              </w:tc>
            </w:tr>
            <w:tr>
              <w:tblPrEx>
                <w:tblW w:w="8504" w:type="dxa"/>
                <w:jc w:val="center"/>
                <w:tblLayout w:type="fixed"/>
                <w:tblCellMar>
                  <w:top w:w="0" w:type="dxa"/>
                  <w:left w:w="108" w:type="dxa"/>
                  <w:bottom w:w="0" w:type="dxa"/>
                  <w:right w:w="108" w:type="dxa"/>
                </w:tblCellMar>
              </w:tblPrEx>
              <w:trPr>
                <w:trHeight w:val="239"/>
                <w:jc w:val="center"/>
              </w:trPr>
              <w:tc>
                <w:tcPr>
                  <w:tcW w:w="1000" w:type="dxa"/>
                  <w:vAlign w:val="center"/>
                </w:tcPr>
                <w:p>
                  <w:pPr>
                    <w:adjustRightInd w:val="0"/>
                    <w:snapToGrid w:val="0"/>
                    <w:spacing w:line="240" w:lineRule="auto"/>
                    <w:ind w:firstLine="0" w:firstLineChars="0"/>
                    <w:jc w:val="center"/>
                    <w:rPr>
                      <w:color w:val="000000"/>
                      <w:szCs w:val="21"/>
                    </w:rPr>
                  </w:pPr>
                  <w:r>
                    <w:rPr>
                      <w:bCs/>
                      <w:color w:val="000000"/>
                      <w:szCs w:val="21"/>
                      <w:lang w:bidi="ar"/>
                    </w:rPr>
                    <w:t>SO</w:t>
                  </w:r>
                  <w:r>
                    <w:rPr>
                      <w:bCs/>
                      <w:color w:val="000000"/>
                      <w:szCs w:val="21"/>
                      <w:vertAlign w:val="subscript"/>
                      <w:lang w:bidi="ar"/>
                    </w:rPr>
                    <w:t>2</w:t>
                  </w:r>
                </w:p>
              </w:tc>
              <w:tc>
                <w:tcPr>
                  <w:tcW w:w="2776" w:type="dxa"/>
                  <w:vAlign w:val="center"/>
                </w:tcPr>
                <w:p>
                  <w:pPr>
                    <w:adjustRightInd w:val="0"/>
                    <w:snapToGrid w:val="0"/>
                    <w:spacing w:line="240" w:lineRule="auto"/>
                    <w:ind w:firstLine="0" w:firstLineChars="0"/>
                    <w:jc w:val="center"/>
                    <w:rPr>
                      <w:color w:val="000000"/>
                      <w:szCs w:val="21"/>
                    </w:rPr>
                  </w:pPr>
                  <w:r>
                    <w:rPr>
                      <w:color w:val="000000"/>
                      <w:szCs w:val="21"/>
                    </w:rPr>
                    <w:t>年平均质量浓度</w:t>
                  </w:r>
                </w:p>
              </w:tc>
              <w:tc>
                <w:tcPr>
                  <w:tcW w:w="1348" w:type="dxa"/>
                  <w:vAlign w:val="center"/>
                </w:tcPr>
                <w:p>
                  <w:pPr>
                    <w:adjustRightInd w:val="0"/>
                    <w:snapToGrid w:val="0"/>
                    <w:spacing w:line="240" w:lineRule="auto"/>
                    <w:ind w:firstLine="0" w:firstLineChars="0"/>
                    <w:jc w:val="center"/>
                    <w:rPr>
                      <w:color w:val="000000"/>
                      <w:szCs w:val="21"/>
                    </w:rPr>
                  </w:pPr>
                  <w:r>
                    <w:rPr>
                      <w:rFonts w:hint="eastAsia"/>
                      <w:color w:val="000000"/>
                      <w:szCs w:val="21"/>
                    </w:rPr>
                    <w:t>4</w:t>
                  </w:r>
                </w:p>
              </w:tc>
              <w:tc>
                <w:tcPr>
                  <w:tcW w:w="1121" w:type="dxa"/>
                  <w:vAlign w:val="center"/>
                </w:tcPr>
                <w:p>
                  <w:pPr>
                    <w:adjustRightInd w:val="0"/>
                    <w:snapToGrid w:val="0"/>
                    <w:spacing w:line="240" w:lineRule="auto"/>
                    <w:ind w:firstLine="0" w:firstLineChars="0"/>
                    <w:jc w:val="center"/>
                    <w:rPr>
                      <w:color w:val="000000"/>
                      <w:szCs w:val="21"/>
                    </w:rPr>
                  </w:pPr>
                  <w:r>
                    <w:rPr>
                      <w:color w:val="000000"/>
                      <w:szCs w:val="21"/>
                    </w:rPr>
                    <w:t>60</w:t>
                  </w:r>
                </w:p>
              </w:tc>
              <w:tc>
                <w:tcPr>
                  <w:tcW w:w="1016" w:type="dxa"/>
                  <w:vAlign w:val="center"/>
                </w:tcPr>
                <w:p>
                  <w:pPr>
                    <w:widowControl/>
                    <w:adjustRightInd w:val="0"/>
                    <w:snapToGrid w:val="0"/>
                    <w:spacing w:line="240" w:lineRule="auto"/>
                    <w:ind w:firstLine="0" w:firstLineChars="0"/>
                    <w:jc w:val="center"/>
                    <w:textAlignment w:val="auto"/>
                    <w:rPr>
                      <w:color w:val="000000"/>
                      <w:szCs w:val="21"/>
                    </w:rPr>
                  </w:pPr>
                  <w:r>
                    <w:rPr>
                      <w:color w:val="000000"/>
                      <w:kern w:val="0"/>
                      <w:szCs w:val="21"/>
                      <w:lang w:bidi="ar"/>
                    </w:rPr>
                    <w:t>6.67</w:t>
                  </w:r>
                </w:p>
              </w:tc>
              <w:tc>
                <w:tcPr>
                  <w:tcW w:w="716" w:type="dxa"/>
                  <w:vMerge w:val="restart"/>
                  <w:vAlign w:val="center"/>
                </w:tcPr>
                <w:p>
                  <w:pPr>
                    <w:adjustRightInd w:val="0"/>
                    <w:snapToGrid w:val="0"/>
                    <w:spacing w:line="240" w:lineRule="auto"/>
                    <w:ind w:firstLine="0" w:firstLineChars="0"/>
                    <w:jc w:val="left"/>
                    <w:rPr>
                      <w:color w:val="000000"/>
                      <w:szCs w:val="21"/>
                    </w:rPr>
                  </w:pPr>
                  <w:r>
                    <w:rPr>
                      <w:color w:val="000000"/>
                      <w:szCs w:val="21"/>
                    </w:rPr>
                    <w:t>达标</w:t>
                  </w:r>
                </w:p>
              </w:tc>
            </w:tr>
            <w:tr>
              <w:tblPrEx>
                <w:tblW w:w="8504" w:type="dxa"/>
                <w:jc w:val="center"/>
                <w:tblLayout w:type="fixed"/>
                <w:tblCellMar>
                  <w:top w:w="0" w:type="dxa"/>
                  <w:left w:w="108" w:type="dxa"/>
                  <w:bottom w:w="0" w:type="dxa"/>
                  <w:right w:w="108" w:type="dxa"/>
                </w:tblCellMar>
              </w:tblPrEx>
              <w:trPr>
                <w:trHeight w:val="90"/>
                <w:jc w:val="center"/>
              </w:trPr>
              <w:tc>
                <w:tcPr>
                  <w:tcW w:w="1000" w:type="dxa"/>
                  <w:vAlign w:val="center"/>
                </w:tcPr>
                <w:p>
                  <w:pPr>
                    <w:adjustRightInd w:val="0"/>
                    <w:snapToGrid w:val="0"/>
                    <w:spacing w:line="240" w:lineRule="auto"/>
                    <w:ind w:firstLine="0" w:firstLineChars="0"/>
                    <w:jc w:val="center"/>
                    <w:rPr>
                      <w:color w:val="000000"/>
                      <w:szCs w:val="21"/>
                    </w:rPr>
                  </w:pPr>
                  <w:r>
                    <w:rPr>
                      <w:bCs/>
                      <w:color w:val="000000"/>
                      <w:szCs w:val="21"/>
                      <w:lang w:bidi="ar"/>
                    </w:rPr>
                    <w:t>NO</w:t>
                  </w:r>
                  <w:r>
                    <w:rPr>
                      <w:bCs/>
                      <w:color w:val="000000"/>
                      <w:szCs w:val="21"/>
                      <w:vertAlign w:val="subscript"/>
                      <w:lang w:bidi="ar"/>
                    </w:rPr>
                    <w:t>2</w:t>
                  </w:r>
                </w:p>
              </w:tc>
              <w:tc>
                <w:tcPr>
                  <w:tcW w:w="2776" w:type="dxa"/>
                  <w:vAlign w:val="center"/>
                </w:tcPr>
                <w:p>
                  <w:pPr>
                    <w:adjustRightInd w:val="0"/>
                    <w:snapToGrid w:val="0"/>
                    <w:spacing w:line="240" w:lineRule="auto"/>
                    <w:ind w:firstLine="0" w:firstLineChars="0"/>
                    <w:jc w:val="center"/>
                    <w:rPr>
                      <w:color w:val="000000"/>
                      <w:szCs w:val="21"/>
                    </w:rPr>
                  </w:pPr>
                  <w:r>
                    <w:rPr>
                      <w:color w:val="000000"/>
                      <w:szCs w:val="21"/>
                    </w:rPr>
                    <w:t>年平均质量浓度</w:t>
                  </w:r>
                </w:p>
              </w:tc>
              <w:tc>
                <w:tcPr>
                  <w:tcW w:w="1348" w:type="dxa"/>
                  <w:vAlign w:val="center"/>
                </w:tcPr>
                <w:p>
                  <w:pPr>
                    <w:adjustRightInd w:val="0"/>
                    <w:snapToGrid w:val="0"/>
                    <w:spacing w:line="240" w:lineRule="auto"/>
                    <w:ind w:firstLine="0" w:firstLineChars="0"/>
                    <w:jc w:val="center"/>
                    <w:rPr>
                      <w:color w:val="000000"/>
                      <w:szCs w:val="21"/>
                    </w:rPr>
                  </w:pPr>
                  <w:r>
                    <w:rPr>
                      <w:rFonts w:hint="eastAsia"/>
                      <w:color w:val="000000"/>
                      <w:szCs w:val="21"/>
                    </w:rPr>
                    <w:t>9</w:t>
                  </w:r>
                </w:p>
              </w:tc>
              <w:tc>
                <w:tcPr>
                  <w:tcW w:w="1121" w:type="dxa"/>
                  <w:vAlign w:val="center"/>
                </w:tcPr>
                <w:p>
                  <w:pPr>
                    <w:adjustRightInd w:val="0"/>
                    <w:snapToGrid w:val="0"/>
                    <w:spacing w:line="240" w:lineRule="auto"/>
                    <w:ind w:firstLine="0" w:firstLineChars="0"/>
                    <w:jc w:val="center"/>
                    <w:rPr>
                      <w:color w:val="000000"/>
                      <w:szCs w:val="21"/>
                    </w:rPr>
                  </w:pPr>
                  <w:r>
                    <w:rPr>
                      <w:color w:val="000000"/>
                      <w:szCs w:val="21"/>
                    </w:rPr>
                    <w:t>40</w:t>
                  </w:r>
                </w:p>
              </w:tc>
              <w:tc>
                <w:tcPr>
                  <w:tcW w:w="1016" w:type="dxa"/>
                  <w:vAlign w:val="center"/>
                </w:tcPr>
                <w:p>
                  <w:pPr>
                    <w:widowControl/>
                    <w:adjustRightInd w:val="0"/>
                    <w:snapToGrid w:val="0"/>
                    <w:spacing w:line="240" w:lineRule="auto"/>
                    <w:ind w:firstLine="0" w:firstLineChars="0"/>
                    <w:jc w:val="center"/>
                    <w:textAlignment w:val="auto"/>
                    <w:rPr>
                      <w:color w:val="000000"/>
                      <w:szCs w:val="21"/>
                    </w:rPr>
                  </w:pPr>
                  <w:r>
                    <w:rPr>
                      <w:color w:val="000000"/>
                      <w:kern w:val="0"/>
                      <w:szCs w:val="21"/>
                      <w:lang w:bidi="ar"/>
                    </w:rPr>
                    <w:t>22.50</w:t>
                  </w:r>
                </w:p>
              </w:tc>
              <w:tc>
                <w:tcPr>
                  <w:tcW w:w="716" w:type="dxa"/>
                  <w:vMerge/>
                  <w:vAlign w:val="center"/>
                </w:tcPr>
                <w:p>
                  <w:pPr>
                    <w:adjustRightInd w:val="0"/>
                    <w:snapToGrid w:val="0"/>
                    <w:spacing w:line="240" w:lineRule="auto"/>
                    <w:ind w:firstLine="0" w:firstLineChars="0"/>
                    <w:jc w:val="left"/>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vAlign w:val="center"/>
                </w:tcPr>
                <w:p>
                  <w:pPr>
                    <w:adjustRightInd w:val="0"/>
                    <w:snapToGrid w:val="0"/>
                    <w:spacing w:line="240" w:lineRule="auto"/>
                    <w:ind w:firstLine="0" w:firstLineChars="0"/>
                    <w:jc w:val="center"/>
                    <w:rPr>
                      <w:color w:val="000000"/>
                      <w:szCs w:val="21"/>
                    </w:rPr>
                  </w:pPr>
                  <w:r>
                    <w:rPr>
                      <w:bCs/>
                      <w:color w:val="000000"/>
                      <w:szCs w:val="21"/>
                      <w:lang w:bidi="ar"/>
                    </w:rPr>
                    <w:t>PM</w:t>
                  </w:r>
                  <w:r>
                    <w:rPr>
                      <w:bCs/>
                      <w:color w:val="000000"/>
                      <w:szCs w:val="21"/>
                      <w:vertAlign w:val="subscript"/>
                      <w:lang w:bidi="ar"/>
                    </w:rPr>
                    <w:t>10</w:t>
                  </w:r>
                </w:p>
              </w:tc>
              <w:tc>
                <w:tcPr>
                  <w:tcW w:w="2776" w:type="dxa"/>
                  <w:vAlign w:val="center"/>
                </w:tcPr>
                <w:p>
                  <w:pPr>
                    <w:adjustRightInd w:val="0"/>
                    <w:snapToGrid w:val="0"/>
                    <w:spacing w:line="240" w:lineRule="auto"/>
                    <w:ind w:firstLine="0" w:firstLineChars="0"/>
                    <w:jc w:val="center"/>
                    <w:rPr>
                      <w:color w:val="000000"/>
                      <w:szCs w:val="21"/>
                    </w:rPr>
                  </w:pPr>
                  <w:r>
                    <w:rPr>
                      <w:color w:val="000000"/>
                      <w:szCs w:val="21"/>
                    </w:rPr>
                    <w:t>年平均质量浓度</w:t>
                  </w:r>
                </w:p>
              </w:tc>
              <w:tc>
                <w:tcPr>
                  <w:tcW w:w="1348" w:type="dxa"/>
                  <w:vAlign w:val="center"/>
                </w:tcPr>
                <w:p>
                  <w:pPr>
                    <w:adjustRightInd w:val="0"/>
                    <w:snapToGrid w:val="0"/>
                    <w:spacing w:line="240" w:lineRule="auto"/>
                    <w:ind w:firstLine="0" w:firstLineChars="0"/>
                    <w:jc w:val="center"/>
                    <w:rPr>
                      <w:color w:val="000000"/>
                      <w:szCs w:val="21"/>
                    </w:rPr>
                  </w:pPr>
                  <w:r>
                    <w:rPr>
                      <w:rFonts w:hint="eastAsia"/>
                      <w:color w:val="000000"/>
                      <w:szCs w:val="21"/>
                    </w:rPr>
                    <w:t>27</w:t>
                  </w:r>
                </w:p>
              </w:tc>
              <w:tc>
                <w:tcPr>
                  <w:tcW w:w="1121" w:type="dxa"/>
                  <w:vAlign w:val="center"/>
                </w:tcPr>
                <w:p>
                  <w:pPr>
                    <w:adjustRightInd w:val="0"/>
                    <w:snapToGrid w:val="0"/>
                    <w:spacing w:line="240" w:lineRule="auto"/>
                    <w:ind w:firstLine="0" w:firstLineChars="0"/>
                    <w:jc w:val="center"/>
                    <w:rPr>
                      <w:color w:val="000000"/>
                      <w:szCs w:val="21"/>
                    </w:rPr>
                  </w:pPr>
                  <w:r>
                    <w:rPr>
                      <w:color w:val="000000"/>
                      <w:szCs w:val="21"/>
                    </w:rPr>
                    <w:t>70</w:t>
                  </w:r>
                </w:p>
              </w:tc>
              <w:tc>
                <w:tcPr>
                  <w:tcW w:w="1016" w:type="dxa"/>
                  <w:vAlign w:val="center"/>
                </w:tcPr>
                <w:p>
                  <w:pPr>
                    <w:widowControl/>
                    <w:adjustRightInd w:val="0"/>
                    <w:snapToGrid w:val="0"/>
                    <w:spacing w:line="240" w:lineRule="auto"/>
                    <w:ind w:firstLine="0" w:firstLineChars="0"/>
                    <w:jc w:val="center"/>
                    <w:textAlignment w:val="auto"/>
                    <w:rPr>
                      <w:color w:val="000000"/>
                      <w:szCs w:val="21"/>
                    </w:rPr>
                  </w:pPr>
                  <w:r>
                    <w:rPr>
                      <w:color w:val="000000"/>
                      <w:kern w:val="0"/>
                      <w:szCs w:val="21"/>
                      <w:lang w:bidi="ar"/>
                    </w:rPr>
                    <w:t>38.57</w:t>
                  </w:r>
                </w:p>
              </w:tc>
              <w:tc>
                <w:tcPr>
                  <w:tcW w:w="716" w:type="dxa"/>
                  <w:vMerge/>
                  <w:vAlign w:val="center"/>
                </w:tcPr>
                <w:p>
                  <w:pPr>
                    <w:adjustRightInd w:val="0"/>
                    <w:snapToGrid w:val="0"/>
                    <w:spacing w:line="240" w:lineRule="auto"/>
                    <w:ind w:firstLine="0" w:firstLineChars="0"/>
                    <w:jc w:val="left"/>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vAlign w:val="center"/>
                </w:tcPr>
                <w:p>
                  <w:pPr>
                    <w:adjustRightInd w:val="0"/>
                    <w:snapToGrid w:val="0"/>
                    <w:spacing w:line="240" w:lineRule="auto"/>
                    <w:ind w:firstLine="0" w:firstLineChars="0"/>
                    <w:jc w:val="center"/>
                    <w:rPr>
                      <w:color w:val="000000"/>
                      <w:szCs w:val="21"/>
                    </w:rPr>
                  </w:pPr>
                  <w:r>
                    <w:rPr>
                      <w:bCs/>
                      <w:color w:val="000000"/>
                      <w:szCs w:val="21"/>
                      <w:lang w:bidi="ar"/>
                    </w:rPr>
                    <w:t>PM</w:t>
                  </w:r>
                  <w:r>
                    <w:rPr>
                      <w:bCs/>
                      <w:color w:val="000000"/>
                      <w:szCs w:val="21"/>
                      <w:vertAlign w:val="subscript"/>
                      <w:lang w:bidi="ar"/>
                    </w:rPr>
                    <w:t>2.5</w:t>
                  </w:r>
                </w:p>
              </w:tc>
              <w:tc>
                <w:tcPr>
                  <w:tcW w:w="2776" w:type="dxa"/>
                  <w:vAlign w:val="center"/>
                </w:tcPr>
                <w:p>
                  <w:pPr>
                    <w:adjustRightInd w:val="0"/>
                    <w:snapToGrid w:val="0"/>
                    <w:spacing w:line="240" w:lineRule="auto"/>
                    <w:ind w:firstLine="0" w:firstLineChars="0"/>
                    <w:jc w:val="center"/>
                    <w:rPr>
                      <w:color w:val="000000"/>
                      <w:szCs w:val="21"/>
                    </w:rPr>
                  </w:pPr>
                  <w:r>
                    <w:rPr>
                      <w:color w:val="000000"/>
                      <w:szCs w:val="21"/>
                    </w:rPr>
                    <w:t>年平均质量浓度</w:t>
                  </w:r>
                </w:p>
              </w:tc>
              <w:tc>
                <w:tcPr>
                  <w:tcW w:w="1348" w:type="dxa"/>
                  <w:vAlign w:val="center"/>
                </w:tcPr>
                <w:p>
                  <w:pPr>
                    <w:adjustRightInd w:val="0"/>
                    <w:snapToGrid w:val="0"/>
                    <w:spacing w:line="240" w:lineRule="auto"/>
                    <w:ind w:firstLine="0" w:firstLineChars="0"/>
                    <w:jc w:val="center"/>
                    <w:rPr>
                      <w:color w:val="000000"/>
                      <w:szCs w:val="21"/>
                    </w:rPr>
                  </w:pPr>
                  <w:r>
                    <w:rPr>
                      <w:rFonts w:hint="eastAsia"/>
                      <w:color w:val="000000"/>
                      <w:szCs w:val="21"/>
                    </w:rPr>
                    <w:t>14</w:t>
                  </w:r>
                </w:p>
              </w:tc>
              <w:tc>
                <w:tcPr>
                  <w:tcW w:w="1121" w:type="dxa"/>
                  <w:vAlign w:val="center"/>
                </w:tcPr>
                <w:p>
                  <w:pPr>
                    <w:adjustRightInd w:val="0"/>
                    <w:snapToGrid w:val="0"/>
                    <w:spacing w:line="240" w:lineRule="auto"/>
                    <w:ind w:firstLine="0" w:firstLineChars="0"/>
                    <w:jc w:val="center"/>
                    <w:rPr>
                      <w:color w:val="000000"/>
                      <w:szCs w:val="21"/>
                    </w:rPr>
                  </w:pPr>
                  <w:r>
                    <w:rPr>
                      <w:color w:val="000000"/>
                      <w:szCs w:val="21"/>
                    </w:rPr>
                    <w:t>35</w:t>
                  </w:r>
                </w:p>
              </w:tc>
              <w:tc>
                <w:tcPr>
                  <w:tcW w:w="1016" w:type="dxa"/>
                  <w:vAlign w:val="center"/>
                </w:tcPr>
                <w:p>
                  <w:pPr>
                    <w:widowControl/>
                    <w:adjustRightInd w:val="0"/>
                    <w:snapToGrid w:val="0"/>
                    <w:spacing w:line="240" w:lineRule="auto"/>
                    <w:ind w:firstLine="0" w:firstLineChars="0"/>
                    <w:jc w:val="center"/>
                    <w:textAlignment w:val="auto"/>
                    <w:rPr>
                      <w:color w:val="000000"/>
                      <w:szCs w:val="21"/>
                    </w:rPr>
                  </w:pPr>
                  <w:r>
                    <w:rPr>
                      <w:color w:val="000000"/>
                      <w:kern w:val="0"/>
                      <w:szCs w:val="21"/>
                      <w:lang w:bidi="ar"/>
                    </w:rPr>
                    <w:t>40.00</w:t>
                  </w:r>
                </w:p>
              </w:tc>
              <w:tc>
                <w:tcPr>
                  <w:tcW w:w="716" w:type="dxa"/>
                  <w:vMerge/>
                  <w:vAlign w:val="center"/>
                </w:tcPr>
                <w:p>
                  <w:pPr>
                    <w:adjustRightInd w:val="0"/>
                    <w:snapToGrid w:val="0"/>
                    <w:spacing w:line="240" w:lineRule="auto"/>
                    <w:ind w:firstLine="0" w:firstLineChars="0"/>
                    <w:jc w:val="left"/>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vAlign w:val="center"/>
                </w:tcPr>
                <w:p>
                  <w:pPr>
                    <w:adjustRightInd w:val="0"/>
                    <w:snapToGrid w:val="0"/>
                    <w:spacing w:line="240" w:lineRule="auto"/>
                    <w:ind w:firstLine="0" w:firstLineChars="0"/>
                    <w:jc w:val="center"/>
                    <w:rPr>
                      <w:color w:val="000000"/>
                      <w:szCs w:val="21"/>
                    </w:rPr>
                  </w:pPr>
                  <w:r>
                    <w:rPr>
                      <w:bCs/>
                      <w:color w:val="000000"/>
                      <w:szCs w:val="21"/>
                      <w:lang w:bidi="ar"/>
                    </w:rPr>
                    <w:t>CO</w:t>
                  </w:r>
                </w:p>
              </w:tc>
              <w:tc>
                <w:tcPr>
                  <w:tcW w:w="2776" w:type="dxa"/>
                  <w:vAlign w:val="center"/>
                </w:tcPr>
                <w:p>
                  <w:pPr>
                    <w:adjustRightInd w:val="0"/>
                    <w:snapToGrid w:val="0"/>
                    <w:spacing w:line="240" w:lineRule="auto"/>
                    <w:ind w:firstLine="0" w:firstLineChars="0"/>
                    <w:jc w:val="center"/>
                    <w:rPr>
                      <w:color w:val="000000"/>
                      <w:szCs w:val="21"/>
                    </w:rPr>
                  </w:pPr>
                  <w:r>
                    <w:rPr>
                      <w:bCs/>
                      <w:color w:val="000000"/>
                      <w:szCs w:val="21"/>
                      <w:lang w:bidi="ar"/>
                    </w:rPr>
                    <w:t>24小时平均第95百分位数</w:t>
                  </w:r>
                </w:p>
              </w:tc>
              <w:tc>
                <w:tcPr>
                  <w:tcW w:w="1348" w:type="dxa"/>
                  <w:vAlign w:val="center"/>
                </w:tcPr>
                <w:p>
                  <w:pPr>
                    <w:adjustRightInd w:val="0"/>
                    <w:snapToGrid w:val="0"/>
                    <w:spacing w:line="240" w:lineRule="auto"/>
                    <w:ind w:firstLine="0" w:firstLineChars="0"/>
                    <w:jc w:val="center"/>
                    <w:rPr>
                      <w:color w:val="000000"/>
                      <w:szCs w:val="21"/>
                    </w:rPr>
                  </w:pPr>
                  <w:r>
                    <w:rPr>
                      <w:rFonts w:hint="eastAsia"/>
                      <w:bCs/>
                      <w:color w:val="000000"/>
                      <w:szCs w:val="21"/>
                      <w:lang w:val="en-US" w:eastAsia="zh-CN" w:bidi="ar"/>
                    </w:rPr>
                    <w:t>0.7</w:t>
                  </w:r>
                  <w:r>
                    <w:rPr>
                      <w:rFonts w:hint="eastAsia"/>
                      <w:bCs/>
                      <w:lang w:bidi="ar"/>
                    </w:rPr>
                    <w:t>m</w:t>
                  </w:r>
                  <w:r>
                    <w:rPr>
                      <w:bCs/>
                      <w:lang w:bidi="ar"/>
                    </w:rPr>
                    <w:t>g/m</w:t>
                  </w:r>
                  <w:r>
                    <w:rPr>
                      <w:bCs/>
                      <w:vertAlign w:val="superscript"/>
                      <w:lang w:bidi="ar"/>
                    </w:rPr>
                    <w:t>3</w:t>
                  </w:r>
                </w:p>
              </w:tc>
              <w:tc>
                <w:tcPr>
                  <w:tcW w:w="1121" w:type="dxa"/>
                  <w:vAlign w:val="center"/>
                </w:tcPr>
                <w:p>
                  <w:pPr>
                    <w:adjustRightInd w:val="0"/>
                    <w:snapToGrid w:val="0"/>
                    <w:spacing w:line="240" w:lineRule="auto"/>
                    <w:ind w:firstLine="0" w:firstLineChars="0"/>
                    <w:jc w:val="center"/>
                    <w:rPr>
                      <w:rFonts w:hint="eastAsia"/>
                      <w:color w:val="000000"/>
                      <w:szCs w:val="21"/>
                    </w:rPr>
                  </w:pPr>
                  <w:r>
                    <w:rPr>
                      <w:rFonts w:hint="eastAsia"/>
                      <w:bCs/>
                      <w:color w:val="000000"/>
                      <w:szCs w:val="21"/>
                      <w:lang w:val="en-US" w:eastAsia="zh-CN" w:bidi="ar"/>
                    </w:rPr>
                    <w:t>4</w:t>
                  </w:r>
                  <w:r>
                    <w:rPr>
                      <w:rFonts w:hint="eastAsia"/>
                      <w:bCs/>
                      <w:lang w:bidi="ar"/>
                    </w:rPr>
                    <w:t>m</w:t>
                  </w:r>
                  <w:r>
                    <w:rPr>
                      <w:bCs/>
                      <w:lang w:bidi="ar"/>
                    </w:rPr>
                    <w:t>g/m</w:t>
                  </w:r>
                  <w:r>
                    <w:rPr>
                      <w:bCs/>
                      <w:vertAlign w:val="superscript"/>
                      <w:lang w:bidi="ar"/>
                    </w:rPr>
                    <w:t>3</w:t>
                  </w:r>
                </w:p>
              </w:tc>
              <w:tc>
                <w:tcPr>
                  <w:tcW w:w="1016" w:type="dxa"/>
                  <w:vAlign w:val="center"/>
                </w:tcPr>
                <w:p>
                  <w:pPr>
                    <w:widowControl/>
                    <w:adjustRightInd w:val="0"/>
                    <w:snapToGrid w:val="0"/>
                    <w:spacing w:line="240" w:lineRule="auto"/>
                    <w:ind w:firstLine="0" w:firstLineChars="0"/>
                    <w:jc w:val="center"/>
                    <w:textAlignment w:val="auto"/>
                    <w:rPr>
                      <w:color w:val="000000"/>
                      <w:szCs w:val="21"/>
                    </w:rPr>
                  </w:pPr>
                  <w:r>
                    <w:rPr>
                      <w:color w:val="000000"/>
                      <w:kern w:val="0"/>
                      <w:szCs w:val="21"/>
                      <w:lang w:bidi="ar"/>
                    </w:rPr>
                    <w:t>17.50</w:t>
                  </w:r>
                </w:p>
              </w:tc>
              <w:tc>
                <w:tcPr>
                  <w:tcW w:w="716" w:type="dxa"/>
                  <w:vMerge/>
                  <w:vAlign w:val="center"/>
                </w:tcPr>
                <w:p>
                  <w:pPr>
                    <w:adjustRightInd w:val="0"/>
                    <w:snapToGrid w:val="0"/>
                    <w:spacing w:line="240" w:lineRule="auto"/>
                    <w:ind w:firstLine="0" w:firstLineChars="0"/>
                    <w:jc w:val="left"/>
                    <w:rPr>
                      <w:color w:val="000000"/>
                      <w:szCs w:val="21"/>
                    </w:rPr>
                  </w:pPr>
                </w:p>
              </w:tc>
            </w:tr>
            <w:tr>
              <w:tblPrEx>
                <w:tblW w:w="8504" w:type="dxa"/>
                <w:jc w:val="center"/>
                <w:tblLayout w:type="fixed"/>
                <w:tblCellMar>
                  <w:top w:w="0" w:type="dxa"/>
                  <w:left w:w="108" w:type="dxa"/>
                  <w:bottom w:w="0" w:type="dxa"/>
                  <w:right w:w="108" w:type="dxa"/>
                </w:tblCellMar>
              </w:tblPrEx>
              <w:trPr>
                <w:trHeight w:val="90"/>
                <w:jc w:val="center"/>
              </w:trPr>
              <w:tc>
                <w:tcPr>
                  <w:tcW w:w="1000" w:type="dxa"/>
                  <w:vAlign w:val="center"/>
                </w:tcPr>
                <w:p>
                  <w:pPr>
                    <w:adjustRightInd w:val="0"/>
                    <w:snapToGrid w:val="0"/>
                    <w:spacing w:line="240" w:lineRule="auto"/>
                    <w:ind w:firstLine="0" w:firstLineChars="0"/>
                    <w:jc w:val="center"/>
                    <w:rPr>
                      <w:color w:val="000000"/>
                      <w:szCs w:val="21"/>
                    </w:rPr>
                  </w:pPr>
                  <w:r>
                    <w:rPr>
                      <w:bCs/>
                      <w:color w:val="000000"/>
                      <w:szCs w:val="21"/>
                      <w:lang w:bidi="ar"/>
                    </w:rPr>
                    <w:t>O</w:t>
                  </w:r>
                  <w:r>
                    <w:rPr>
                      <w:bCs/>
                      <w:color w:val="000000"/>
                      <w:szCs w:val="21"/>
                      <w:vertAlign w:val="subscript"/>
                      <w:lang w:bidi="ar"/>
                    </w:rPr>
                    <w:t>3</w:t>
                  </w:r>
                </w:p>
              </w:tc>
              <w:tc>
                <w:tcPr>
                  <w:tcW w:w="2776" w:type="dxa"/>
                  <w:vAlign w:val="center"/>
                </w:tcPr>
                <w:p>
                  <w:pPr>
                    <w:adjustRightInd w:val="0"/>
                    <w:snapToGrid w:val="0"/>
                    <w:spacing w:line="240" w:lineRule="auto"/>
                    <w:ind w:firstLine="0" w:firstLineChars="0"/>
                    <w:jc w:val="center"/>
                    <w:rPr>
                      <w:color w:val="000000"/>
                      <w:szCs w:val="21"/>
                    </w:rPr>
                  </w:pPr>
                  <w:r>
                    <w:rPr>
                      <w:bCs/>
                      <w:color w:val="000000"/>
                      <w:szCs w:val="21"/>
                      <w:lang w:bidi="ar"/>
                    </w:rPr>
                    <w:t>8小时平均第90百分位数</w:t>
                  </w:r>
                </w:p>
              </w:tc>
              <w:tc>
                <w:tcPr>
                  <w:tcW w:w="1348" w:type="dxa"/>
                  <w:vAlign w:val="center"/>
                </w:tcPr>
                <w:p>
                  <w:pPr>
                    <w:adjustRightInd w:val="0"/>
                    <w:snapToGrid w:val="0"/>
                    <w:spacing w:line="240" w:lineRule="auto"/>
                    <w:ind w:firstLine="0" w:firstLineChars="0"/>
                    <w:jc w:val="center"/>
                    <w:rPr>
                      <w:color w:val="000000"/>
                      <w:szCs w:val="21"/>
                    </w:rPr>
                  </w:pPr>
                  <w:r>
                    <w:rPr>
                      <w:rFonts w:hint="eastAsia"/>
                      <w:color w:val="000000"/>
                      <w:szCs w:val="21"/>
                    </w:rPr>
                    <w:t>118</w:t>
                  </w:r>
                </w:p>
              </w:tc>
              <w:tc>
                <w:tcPr>
                  <w:tcW w:w="1121" w:type="dxa"/>
                  <w:vAlign w:val="center"/>
                </w:tcPr>
                <w:p>
                  <w:pPr>
                    <w:adjustRightInd w:val="0"/>
                    <w:snapToGrid w:val="0"/>
                    <w:spacing w:line="240" w:lineRule="auto"/>
                    <w:ind w:firstLine="0" w:firstLineChars="0"/>
                    <w:jc w:val="center"/>
                    <w:rPr>
                      <w:color w:val="000000"/>
                      <w:szCs w:val="21"/>
                    </w:rPr>
                  </w:pPr>
                  <w:r>
                    <w:rPr>
                      <w:color w:val="000000"/>
                      <w:szCs w:val="21"/>
                    </w:rPr>
                    <w:t>160</w:t>
                  </w:r>
                </w:p>
              </w:tc>
              <w:tc>
                <w:tcPr>
                  <w:tcW w:w="1016" w:type="dxa"/>
                  <w:vAlign w:val="center"/>
                </w:tcPr>
                <w:p>
                  <w:pPr>
                    <w:widowControl/>
                    <w:adjustRightInd w:val="0"/>
                    <w:snapToGrid w:val="0"/>
                    <w:spacing w:line="240" w:lineRule="auto"/>
                    <w:ind w:firstLine="0" w:firstLineChars="0"/>
                    <w:jc w:val="center"/>
                    <w:textAlignment w:val="auto"/>
                    <w:rPr>
                      <w:color w:val="000000"/>
                      <w:szCs w:val="21"/>
                    </w:rPr>
                  </w:pPr>
                  <w:r>
                    <w:rPr>
                      <w:color w:val="000000"/>
                      <w:kern w:val="0"/>
                      <w:szCs w:val="21"/>
                      <w:lang w:bidi="ar"/>
                    </w:rPr>
                    <w:t>73.75</w:t>
                  </w:r>
                </w:p>
              </w:tc>
              <w:tc>
                <w:tcPr>
                  <w:tcW w:w="716" w:type="dxa"/>
                  <w:vMerge/>
                  <w:vAlign w:val="center"/>
                </w:tcPr>
                <w:p>
                  <w:pPr>
                    <w:adjustRightInd w:val="0"/>
                    <w:snapToGrid w:val="0"/>
                    <w:spacing w:line="240" w:lineRule="auto"/>
                    <w:ind w:firstLine="0" w:firstLineChars="0"/>
                    <w:jc w:val="left"/>
                    <w:rPr>
                      <w:color w:val="000000"/>
                      <w:szCs w:val="21"/>
                    </w:rPr>
                  </w:pPr>
                </w:p>
              </w:tc>
            </w:tr>
          </w:tbl>
          <w:p>
            <w:pPr>
              <w:spacing w:line="540" w:lineRule="exact"/>
              <w:ind w:firstLine="480" w:firstLineChars="200"/>
              <w:rPr>
                <w:sz w:val="24"/>
              </w:rPr>
            </w:pPr>
            <w:r>
              <w:rPr>
                <w:rFonts w:ascii="Times New Roman" w:hAnsi="Times New Roman"/>
                <w:sz w:val="24"/>
              </w:rPr>
              <w:t>根据以上数据，项目所在区域空气环境质量达到《环境空气质量标准》（GB3095-2012）及修改单中二级标准。</w:t>
            </w:r>
          </w:p>
          <w:p>
            <w:pPr>
              <w:spacing w:line="540" w:lineRule="exact"/>
              <w:ind w:firstLine="480" w:firstLineChars="200"/>
              <w:rPr>
                <w:sz w:val="24"/>
              </w:rPr>
            </w:pPr>
            <w:r>
              <w:rPr>
                <w:rFonts w:ascii="Times New Roman" w:hAnsi="Times New Roman"/>
                <w:sz w:val="24"/>
              </w:rPr>
              <w:t>依据《环境影响评价技术导则大气环境》（HJ2.2-2018）要求城市环境空气质量达标情况评价指标为SO</w:t>
            </w:r>
            <w:r>
              <w:rPr>
                <w:rFonts w:ascii="Times New Roman" w:hAnsi="Times New Roman"/>
                <w:sz w:val="24"/>
                <w:vertAlign w:val="subscript"/>
              </w:rPr>
              <w:t>2</w:t>
            </w:r>
            <w:r>
              <w:rPr>
                <w:rFonts w:ascii="Times New Roman" w:hAnsi="Times New Roman"/>
                <w:sz w:val="24"/>
              </w:rPr>
              <w:t>、NO</w:t>
            </w:r>
            <w:r>
              <w:rPr>
                <w:rFonts w:ascii="Times New Roman" w:hAnsi="Times New Roman"/>
                <w:sz w:val="24"/>
                <w:vertAlign w:val="subscript"/>
              </w:rPr>
              <w:t>2</w:t>
            </w:r>
            <w:r>
              <w:rPr>
                <w:rFonts w:ascii="Times New Roman" w:hAnsi="Times New Roman"/>
                <w:sz w:val="24"/>
              </w:rPr>
              <w:t>、PM</w:t>
            </w:r>
            <w:r>
              <w:rPr>
                <w:rFonts w:ascii="Times New Roman" w:hAnsi="Times New Roman"/>
                <w:sz w:val="24"/>
                <w:vertAlign w:val="subscript"/>
              </w:rPr>
              <w:t>10</w:t>
            </w:r>
            <w:r>
              <w:rPr>
                <w:rFonts w:ascii="Times New Roman" w:hAnsi="Times New Roman"/>
                <w:sz w:val="24"/>
              </w:rPr>
              <w:t>、PM</w:t>
            </w:r>
            <w:r>
              <w:rPr>
                <w:rFonts w:ascii="Times New Roman" w:hAnsi="Times New Roman"/>
                <w:sz w:val="24"/>
                <w:vertAlign w:val="subscript"/>
              </w:rPr>
              <w:t>2.5</w:t>
            </w:r>
            <w:r>
              <w:rPr>
                <w:rFonts w:ascii="Times New Roman" w:hAnsi="Times New Roman"/>
                <w:sz w:val="24"/>
              </w:rPr>
              <w:t>、CO和O</w:t>
            </w:r>
            <w:r>
              <w:rPr>
                <w:rFonts w:ascii="Times New Roman" w:hAnsi="Times New Roman"/>
                <w:sz w:val="24"/>
                <w:vertAlign w:val="subscript"/>
              </w:rPr>
              <w:t>3</w:t>
            </w:r>
            <w:r>
              <w:rPr>
                <w:rFonts w:ascii="Times New Roman" w:hAnsi="Times New Roman"/>
                <w:sz w:val="24"/>
              </w:rPr>
              <w:t>六项污染物，全部达标即为城市环境空气质量达标，因此该区域属于达标区域。评价区域内大气环境质量现状良好。</w:t>
            </w:r>
          </w:p>
          <w:p>
            <w:pPr>
              <w:adjustRightInd w:val="0"/>
              <w:snapToGrid w:val="0"/>
              <w:spacing w:line="540" w:lineRule="exact"/>
              <w:ind w:firstLine="480" w:firstLineChars="200"/>
              <w:rPr>
                <w:b/>
                <w:bCs/>
                <w:kern w:val="0"/>
                <w:sz w:val="24"/>
              </w:rPr>
            </w:pPr>
            <w:r>
              <w:rPr>
                <w:b/>
                <w:bCs/>
                <w:kern w:val="0"/>
                <w:sz w:val="24"/>
              </w:rPr>
              <w:t>2、声环境质量现状</w:t>
            </w:r>
          </w:p>
          <w:p>
            <w:pPr>
              <w:adjustRightInd w:val="0"/>
              <w:snapToGrid w:val="0"/>
              <w:spacing w:line="540" w:lineRule="exact"/>
              <w:ind w:firstLine="480" w:firstLineChars="200"/>
              <w:rPr>
                <w:sz w:val="24"/>
              </w:rPr>
            </w:pPr>
            <w:r>
              <w:rPr>
                <w:sz w:val="24"/>
              </w:rPr>
              <w:t>为了解现状环境噪声情况，建设单位委托海南中科环境检测有限公司于2020年7月20日至21日对项目周边地块声环境质量现状进行监测。监测点位布置图、监测报告见附件</w:t>
            </w:r>
            <w:r>
              <w:rPr>
                <w:rFonts w:hint="eastAsia"/>
                <w:sz w:val="24"/>
              </w:rPr>
              <w:t>4</w:t>
            </w:r>
            <w:r>
              <w:rPr>
                <w:sz w:val="24"/>
              </w:rPr>
              <w:t>，车流量统计表见表</w:t>
            </w:r>
            <w:r>
              <w:rPr>
                <w:rFonts w:hint="eastAsia"/>
                <w:sz w:val="24"/>
              </w:rPr>
              <w:t>3</w:t>
            </w:r>
            <w:r>
              <w:rPr>
                <w:sz w:val="24"/>
              </w:rPr>
              <w:t>，监测结果见表</w:t>
            </w:r>
            <w:r>
              <w:rPr>
                <w:rFonts w:hint="eastAsia"/>
                <w:sz w:val="24"/>
              </w:rPr>
              <w:t>4</w:t>
            </w:r>
            <w:r>
              <w:rPr>
                <w:sz w:val="24"/>
              </w:rPr>
              <w:t>。</w:t>
            </w:r>
          </w:p>
        </w:tc>
      </w:tr>
    </w:tbl>
    <w:p>
      <w:pPr>
        <w:sectPr>
          <w:footerReference w:type="default" r:id="rId16"/>
          <w:pgSz w:w="11906" w:h="16838"/>
          <w:pgMar w:top="1440" w:right="1800" w:bottom="1440" w:left="1800" w:header="851" w:footer="992" w:gutter="0"/>
          <w:pgNumType w:fmt="decimal" w:start="9"/>
          <w:cols w:num="1" w:space="425"/>
          <w:docGrid w:type="lines" w:linePitch="312" w:charSpace="0"/>
        </w:sectPr>
      </w:pPr>
    </w:p>
    <w:tbl>
      <w:tblPr>
        <w:tblStyle w:val="TableGrid1"/>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789"/>
        </w:trPr>
        <w:tc>
          <w:tcPr>
            <w:tcW w:w="9540" w:type="dxa"/>
          </w:tcPr>
          <w:p>
            <w:pPr>
              <w:adjustRightInd w:val="0"/>
              <w:snapToGrid w:val="0"/>
              <w:spacing w:line="540" w:lineRule="exact"/>
              <w:ind w:firstLine="480" w:firstLineChars="200"/>
              <w:jc w:val="center"/>
              <w:rPr>
                <w:b/>
                <w:sz w:val="28"/>
              </w:rPr>
            </w:pPr>
            <w:r>
              <w:rPr>
                <w:b/>
                <w:sz w:val="24"/>
              </w:rPr>
              <w:t>表3 车流量统计表</w:t>
            </w:r>
          </w:p>
          <w:tbl>
            <w:tblPr>
              <w:tblStyle w:val="TableNormal"/>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703"/>
              <w:gridCol w:w="1663"/>
              <w:gridCol w:w="898"/>
              <w:gridCol w:w="1199"/>
              <w:gridCol w:w="1199"/>
              <w:gridCol w:w="1199"/>
              <w:gridCol w:w="1210"/>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298"/>
                <w:jc w:val="center"/>
              </w:trPr>
              <w:tc>
                <w:tcPr>
                  <w:tcW w:w="938" w:type="pct"/>
                  <w:vMerge w:val="restart"/>
                  <w:tcBorders>
                    <w:tl2br w:val="nil"/>
                    <w:tr2bl w:val="nil"/>
                  </w:tcBorders>
                  <w:vAlign w:val="center"/>
                </w:tcPr>
                <w:p>
                  <w:pPr>
                    <w:adjustRightInd w:val="0"/>
                    <w:snapToGrid w:val="0"/>
                    <w:spacing w:line="240" w:lineRule="auto"/>
                    <w:ind w:right="0" w:firstLine="0" w:rightChars="0" w:firstLineChars="0"/>
                    <w:jc w:val="center"/>
                    <w:outlineLvl w:val="9"/>
                    <w:rPr>
                      <w:b/>
                      <w:bCs/>
                      <w:spacing w:val="6"/>
                      <w:szCs w:val="21"/>
                    </w:rPr>
                  </w:pPr>
                  <w:r>
                    <w:rPr>
                      <w:b/>
                      <w:bCs/>
                      <w:szCs w:val="21"/>
                    </w:rPr>
                    <w:t>检测点/位置</w:t>
                  </w:r>
                </w:p>
              </w:tc>
              <w:tc>
                <w:tcPr>
                  <w:tcW w:w="1411" w:type="pct"/>
                  <w:gridSpan w:val="2"/>
                  <w:vMerge w:val="restart"/>
                  <w:tcBorders>
                    <w:tl2br w:val="nil"/>
                    <w:tr2bl w:val="nil"/>
                  </w:tcBorders>
                  <w:vAlign w:val="center"/>
                </w:tcPr>
                <w:p>
                  <w:pPr>
                    <w:adjustRightInd w:val="0"/>
                    <w:snapToGrid w:val="0"/>
                    <w:spacing w:line="240" w:lineRule="auto"/>
                    <w:ind w:right="0" w:firstLine="0" w:rightChars="0" w:firstLineChars="0"/>
                    <w:jc w:val="center"/>
                    <w:outlineLvl w:val="9"/>
                    <w:rPr>
                      <w:b/>
                      <w:bCs/>
                      <w:szCs w:val="21"/>
                    </w:rPr>
                  </w:pPr>
                  <w:r>
                    <w:rPr>
                      <w:b/>
                      <w:bCs/>
                      <w:szCs w:val="21"/>
                    </w:rPr>
                    <w:t>检测日期</w:t>
                  </w:r>
                </w:p>
              </w:tc>
              <w:tc>
                <w:tcPr>
                  <w:tcW w:w="2650" w:type="pct"/>
                  <w:gridSpan w:val="4"/>
                  <w:tcBorders>
                    <w:tl2br w:val="nil"/>
                    <w:tr2bl w:val="nil"/>
                  </w:tcBorders>
                  <w:vAlign w:val="center"/>
                </w:tcPr>
                <w:p>
                  <w:pPr>
                    <w:adjustRightInd w:val="0"/>
                    <w:snapToGrid w:val="0"/>
                    <w:spacing w:line="240" w:lineRule="auto"/>
                    <w:ind w:right="0" w:firstLine="0" w:rightChars="0" w:firstLineChars="0"/>
                    <w:jc w:val="center"/>
                    <w:outlineLvl w:val="9"/>
                    <w:rPr>
                      <w:b/>
                      <w:bCs/>
                      <w:szCs w:val="21"/>
                    </w:rPr>
                  </w:pPr>
                  <w:r>
                    <w:rPr>
                      <w:b/>
                      <w:bCs/>
                      <w:szCs w:val="21"/>
                    </w:rPr>
                    <w:t>车流量（辆/小时）</w:t>
                  </w:r>
                </w:p>
              </w:tc>
            </w:tr>
            <w:tr>
              <w:tblPrEx>
                <w:tblW w:w="9071" w:type="dxa"/>
                <w:jc w:val="center"/>
                <w:tblLayout w:type="fixed"/>
                <w:tblCellMar>
                  <w:top w:w="0" w:type="dxa"/>
                  <w:left w:w="108" w:type="dxa"/>
                  <w:bottom w:w="0" w:type="dxa"/>
                  <w:right w:w="108" w:type="dxa"/>
                </w:tblCellMar>
              </w:tblPrEx>
              <w:trPr>
                <w:trHeight w:val="251"/>
                <w:jc w:val="center"/>
              </w:trPr>
              <w:tc>
                <w:tcPr>
                  <w:tcW w:w="938" w:type="pct"/>
                  <w:vMerge/>
                  <w:tcBorders>
                    <w:tl2br w:val="nil"/>
                    <w:tr2bl w:val="nil"/>
                  </w:tcBorders>
                  <w:vAlign w:val="center"/>
                </w:tcPr>
                <w:p>
                  <w:pPr>
                    <w:widowControl/>
                    <w:adjustRightInd w:val="0"/>
                    <w:snapToGrid w:val="0"/>
                    <w:spacing w:line="240" w:lineRule="auto"/>
                    <w:ind w:firstLine="0" w:firstLineChars="0"/>
                    <w:jc w:val="center"/>
                    <w:rPr>
                      <w:spacing w:val="6"/>
                      <w:szCs w:val="21"/>
                    </w:rPr>
                  </w:pPr>
                </w:p>
              </w:tc>
              <w:tc>
                <w:tcPr>
                  <w:tcW w:w="1411" w:type="pct"/>
                  <w:gridSpan w:val="2"/>
                  <w:vMerge/>
                  <w:tcBorders>
                    <w:tl2br w:val="nil"/>
                    <w:tr2bl w:val="nil"/>
                  </w:tcBorders>
                  <w:vAlign w:val="center"/>
                </w:tcPr>
                <w:p>
                  <w:pPr>
                    <w:widowControl/>
                    <w:adjustRightInd w:val="0"/>
                    <w:snapToGrid w:val="0"/>
                    <w:spacing w:line="240" w:lineRule="auto"/>
                    <w:ind w:firstLine="0" w:firstLineChars="0"/>
                    <w:jc w:val="center"/>
                    <w:rPr>
                      <w:szCs w:val="21"/>
                    </w:rPr>
                  </w:pPr>
                </w:p>
              </w:tc>
              <w:tc>
                <w:tcPr>
                  <w:tcW w:w="661" w:type="pct"/>
                  <w:tcBorders>
                    <w:tl2br w:val="nil"/>
                    <w:tr2bl w:val="nil"/>
                  </w:tcBorders>
                  <w:vAlign w:val="center"/>
                </w:tcPr>
                <w:p>
                  <w:pPr>
                    <w:adjustRightInd w:val="0"/>
                    <w:snapToGrid w:val="0"/>
                    <w:spacing w:line="240" w:lineRule="auto"/>
                    <w:ind w:right="0" w:firstLine="0" w:rightChars="0" w:firstLineChars="0"/>
                    <w:jc w:val="center"/>
                    <w:outlineLvl w:val="9"/>
                    <w:rPr>
                      <w:b/>
                      <w:bCs/>
                      <w:szCs w:val="21"/>
                    </w:rPr>
                  </w:pPr>
                  <w:r>
                    <w:rPr>
                      <w:b/>
                      <w:bCs/>
                      <w:szCs w:val="21"/>
                    </w:rPr>
                    <w:t>大型</w:t>
                  </w:r>
                </w:p>
              </w:tc>
              <w:tc>
                <w:tcPr>
                  <w:tcW w:w="661" w:type="pct"/>
                  <w:tcBorders>
                    <w:tl2br w:val="nil"/>
                    <w:tr2bl w:val="nil"/>
                  </w:tcBorders>
                  <w:vAlign w:val="center"/>
                </w:tcPr>
                <w:p>
                  <w:pPr>
                    <w:adjustRightInd w:val="0"/>
                    <w:snapToGrid w:val="0"/>
                    <w:spacing w:line="240" w:lineRule="auto"/>
                    <w:ind w:right="0" w:firstLine="0" w:rightChars="0" w:firstLineChars="0"/>
                    <w:jc w:val="center"/>
                    <w:outlineLvl w:val="9"/>
                    <w:rPr>
                      <w:b/>
                      <w:bCs/>
                      <w:szCs w:val="21"/>
                    </w:rPr>
                  </w:pPr>
                  <w:r>
                    <w:rPr>
                      <w:b/>
                      <w:bCs/>
                      <w:szCs w:val="21"/>
                    </w:rPr>
                    <w:t>中型</w:t>
                  </w:r>
                </w:p>
              </w:tc>
              <w:tc>
                <w:tcPr>
                  <w:tcW w:w="661" w:type="pct"/>
                  <w:tcBorders>
                    <w:tl2br w:val="nil"/>
                    <w:tr2bl w:val="nil"/>
                  </w:tcBorders>
                  <w:vAlign w:val="center"/>
                </w:tcPr>
                <w:p>
                  <w:pPr>
                    <w:adjustRightInd w:val="0"/>
                    <w:snapToGrid w:val="0"/>
                    <w:spacing w:line="240" w:lineRule="auto"/>
                    <w:ind w:firstLine="0" w:firstLineChars="0"/>
                    <w:jc w:val="center"/>
                    <w:rPr>
                      <w:b/>
                      <w:bCs/>
                      <w:kern w:val="0"/>
                      <w:szCs w:val="21"/>
                    </w:rPr>
                  </w:pPr>
                  <w:r>
                    <w:rPr>
                      <w:b/>
                      <w:bCs/>
                      <w:szCs w:val="21"/>
                    </w:rPr>
                    <w:t>小型</w:t>
                  </w:r>
                </w:p>
              </w:tc>
              <w:tc>
                <w:tcPr>
                  <w:tcW w:w="664"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摩托车</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val="restar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1#管道起点处（水蛟路东侧）</w:t>
                  </w:r>
                </w:p>
                <w:p>
                  <w:pPr>
                    <w:adjustRightInd w:val="0"/>
                    <w:snapToGrid w:val="0"/>
                    <w:spacing w:line="240" w:lineRule="auto"/>
                    <w:ind w:firstLine="0" w:firstLineChars="0"/>
                    <w:jc w:val="center"/>
                    <w:rPr>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07月20日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22</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11</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183</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32</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6</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110</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12</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07月21日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21</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13</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178</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27</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105</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2#大恩村（</w:t>
                  </w:r>
                  <w:r>
                    <w:rPr>
                      <w:rFonts w:hint="eastAsia"/>
                      <w:szCs w:val="21"/>
                    </w:rPr>
                    <w:t>水蛟</w:t>
                  </w:r>
                  <w:r>
                    <w:rPr>
                      <w:szCs w:val="21"/>
                    </w:rPr>
                    <w:t>路</w:t>
                  </w:r>
                  <w:r>
                    <w:rPr>
                      <w:rFonts w:hint="eastAsia"/>
                      <w:szCs w:val="21"/>
                    </w:rPr>
                    <w:t>西</w:t>
                  </w:r>
                  <w:r>
                    <w:rPr>
                      <w:szCs w:val="21"/>
                    </w:rPr>
                    <w:t>侧）</w:t>
                  </w:r>
                </w:p>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07月20日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162</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24</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3</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85</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07月21日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15</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9</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171</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19</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82</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3#白超村（</w:t>
                  </w:r>
                  <w:r>
                    <w:rPr>
                      <w:rFonts w:hint="eastAsia"/>
                      <w:szCs w:val="21"/>
                    </w:rPr>
                    <w:t>水蛟</w:t>
                  </w:r>
                  <w:r>
                    <w:rPr>
                      <w:szCs w:val="21"/>
                    </w:rPr>
                    <w:t>路</w:t>
                  </w:r>
                  <w:r>
                    <w:rPr>
                      <w:rFonts w:hint="eastAsia"/>
                      <w:szCs w:val="21"/>
                    </w:rPr>
                    <w:t>东</w:t>
                  </w:r>
                  <w:r>
                    <w:rPr>
                      <w:szCs w:val="21"/>
                    </w:rPr>
                    <w:t>侧）</w:t>
                  </w:r>
                </w:p>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07月20日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15</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169</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20</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9</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82</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07月21日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164</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19</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6</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5</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86</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4#抱密村（</w:t>
                  </w:r>
                  <w:r>
                    <w:rPr>
                      <w:rFonts w:hint="eastAsia"/>
                      <w:szCs w:val="21"/>
                    </w:rPr>
                    <w:t>水蛟</w:t>
                  </w:r>
                  <w:r>
                    <w:rPr>
                      <w:szCs w:val="21"/>
                    </w:rPr>
                    <w:t>路</w:t>
                  </w:r>
                  <w:r>
                    <w:rPr>
                      <w:rFonts w:hint="eastAsia"/>
                      <w:szCs w:val="21"/>
                    </w:rPr>
                    <w:t>东</w:t>
                  </w:r>
                  <w:r>
                    <w:rPr>
                      <w:szCs w:val="21"/>
                    </w:rPr>
                    <w:t>侧）</w:t>
                  </w:r>
                </w:p>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07月20日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17</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5</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158</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21</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3</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80</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9</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07月21日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160</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17</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80</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9</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5#木棉村（</w:t>
                  </w:r>
                  <w:r>
                    <w:rPr>
                      <w:rFonts w:hint="eastAsia"/>
                      <w:szCs w:val="21"/>
                    </w:rPr>
                    <w:t>水蛟</w:t>
                  </w:r>
                  <w:r>
                    <w:rPr>
                      <w:szCs w:val="21"/>
                    </w:rPr>
                    <w:t>路</w:t>
                  </w:r>
                  <w:r>
                    <w:rPr>
                      <w:rFonts w:hint="eastAsia"/>
                      <w:szCs w:val="21"/>
                    </w:rPr>
                    <w:t>东</w:t>
                  </w:r>
                  <w:r>
                    <w:rPr>
                      <w:szCs w:val="21"/>
                    </w:rPr>
                    <w:t>侧）</w:t>
                  </w:r>
                </w:p>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07月20日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20</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152</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18</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77</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07月21日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16</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5</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165</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14</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7</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80</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val="restart"/>
                  <w:tcBorders>
                    <w:tl2br w:val="nil"/>
                    <w:tr2bl w:val="nil"/>
                  </w:tcBorders>
                  <w:vAlign w:val="center"/>
                </w:tcPr>
                <w:p>
                  <w:pPr>
                    <w:adjustRightInd w:val="0"/>
                    <w:snapToGrid w:val="0"/>
                    <w:spacing w:line="240" w:lineRule="auto"/>
                    <w:ind w:firstLine="0" w:firstLineChars="0"/>
                    <w:jc w:val="center"/>
                    <w:rPr>
                      <w:kern w:val="0"/>
                      <w:szCs w:val="21"/>
                    </w:rPr>
                  </w:pPr>
                  <w:r>
                    <w:rPr>
                      <w:rFonts w:hint="eastAsia"/>
                      <w:kern w:val="0"/>
                      <w:szCs w:val="21"/>
                    </w:rPr>
                    <w:t>6#管道终点处（水蛟路东侧）</w:t>
                  </w:r>
                </w:p>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07月20日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181</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28</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9</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4</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93</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10</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val="restart"/>
                  <w:tcBorders>
                    <w:tl2br w:val="nil"/>
                    <w:tr2bl w:val="nil"/>
                  </w:tcBorders>
                  <w:vAlign w:val="center"/>
                </w:tcPr>
                <w:p>
                  <w:pPr>
                    <w:adjustRightInd w:val="0"/>
                    <w:snapToGrid w:val="0"/>
                    <w:spacing w:line="240" w:lineRule="auto"/>
                    <w:ind w:firstLine="0" w:firstLineChars="0"/>
                    <w:jc w:val="center"/>
                    <w:rPr>
                      <w:szCs w:val="21"/>
                    </w:rPr>
                  </w:pPr>
                  <w:r>
                    <w:rPr>
                      <w:szCs w:val="21"/>
                    </w:rPr>
                    <w:t>07月21日</w:t>
                  </w: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昼间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17</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szCs w:val="21"/>
                    </w:rPr>
                    <w:t>12</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174</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19</w:t>
                  </w:r>
                </w:p>
              </w:tc>
            </w:tr>
            <w:tr>
              <w:tblPrEx>
                <w:tblW w:w="9071" w:type="dxa"/>
                <w:jc w:val="center"/>
                <w:tblLayout w:type="fixed"/>
                <w:tblCellMar>
                  <w:top w:w="0" w:type="dxa"/>
                  <w:left w:w="108" w:type="dxa"/>
                  <w:bottom w:w="0" w:type="dxa"/>
                  <w:right w:w="108" w:type="dxa"/>
                </w:tblCellMar>
              </w:tblPrEx>
              <w:trPr>
                <w:trHeight w:val="397"/>
                <w:jc w:val="center"/>
              </w:trPr>
              <w:tc>
                <w:tcPr>
                  <w:tcW w:w="938" w:type="pct"/>
                  <w:vMerge/>
                  <w:tcBorders>
                    <w:tl2br w:val="nil"/>
                    <w:tr2bl w:val="nil"/>
                  </w:tcBorders>
                  <w:vAlign w:val="center"/>
                </w:tcPr>
                <w:p>
                  <w:pPr>
                    <w:adjustRightInd w:val="0"/>
                    <w:snapToGrid w:val="0"/>
                    <w:spacing w:line="240" w:lineRule="auto"/>
                    <w:ind w:firstLine="0" w:firstLineChars="0"/>
                    <w:jc w:val="center"/>
                    <w:rPr>
                      <w:kern w:val="0"/>
                      <w:szCs w:val="21"/>
                    </w:rPr>
                  </w:pPr>
                </w:p>
              </w:tc>
              <w:tc>
                <w:tcPr>
                  <w:tcW w:w="916" w:type="pct"/>
                  <w:vMerge/>
                  <w:tcBorders>
                    <w:tl2br w:val="nil"/>
                    <w:tr2bl w:val="nil"/>
                  </w:tcBorders>
                  <w:vAlign w:val="center"/>
                </w:tcPr>
                <w:p>
                  <w:pPr>
                    <w:adjustRightInd w:val="0"/>
                    <w:snapToGrid w:val="0"/>
                    <w:spacing w:line="240" w:lineRule="auto"/>
                    <w:ind w:firstLine="0" w:firstLineChars="0"/>
                    <w:jc w:val="center"/>
                    <w:rPr>
                      <w:szCs w:val="21"/>
                    </w:rPr>
                  </w:pPr>
                </w:p>
              </w:tc>
              <w:tc>
                <w:tcPr>
                  <w:tcW w:w="494" w:type="pct"/>
                  <w:tcBorders>
                    <w:tl2br w:val="nil"/>
                    <w:tr2bl w:val="nil"/>
                  </w:tcBorders>
                  <w:vAlign w:val="center"/>
                </w:tcPr>
                <w:p>
                  <w:pPr>
                    <w:adjustRightInd w:val="0"/>
                    <w:snapToGrid w:val="0"/>
                    <w:spacing w:line="240" w:lineRule="auto"/>
                    <w:ind w:firstLine="0" w:firstLineChars="0"/>
                    <w:jc w:val="center"/>
                    <w:rPr>
                      <w:szCs w:val="21"/>
                    </w:rPr>
                  </w:pPr>
                  <w:r>
                    <w:rPr>
                      <w:szCs w:val="21"/>
                    </w:rPr>
                    <w:t>夜间</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6</w:t>
                  </w:r>
                </w:p>
              </w:tc>
              <w:tc>
                <w:tcPr>
                  <w:tcW w:w="661"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81</w:t>
                  </w:r>
                </w:p>
              </w:tc>
              <w:tc>
                <w:tcPr>
                  <w:tcW w:w="664" w:type="pct"/>
                  <w:tcBorders>
                    <w:tl2br w:val="nil"/>
                    <w:tr2bl w:val="nil"/>
                  </w:tcBorders>
                  <w:vAlign w:val="center"/>
                </w:tcPr>
                <w:p>
                  <w:pPr>
                    <w:adjustRightInd w:val="0"/>
                    <w:snapToGrid w:val="0"/>
                    <w:spacing w:line="240" w:lineRule="auto"/>
                    <w:ind w:firstLine="0" w:firstLineChars="0"/>
                    <w:jc w:val="center"/>
                    <w:rPr>
                      <w:szCs w:val="21"/>
                    </w:rPr>
                  </w:pPr>
                  <w:r>
                    <w:rPr>
                      <w:rFonts w:hint="eastAsia"/>
                      <w:szCs w:val="21"/>
                    </w:rPr>
                    <w:t>4</w:t>
                  </w:r>
                </w:p>
              </w:tc>
            </w:tr>
          </w:tbl>
          <w:p>
            <w:pPr>
              <w:adjustRightInd w:val="0"/>
              <w:snapToGrid w:val="0"/>
              <w:spacing w:line="540" w:lineRule="exact"/>
              <w:ind w:firstLine="480" w:firstLineChars="200"/>
              <w:jc w:val="left"/>
              <w:rPr>
                <w:sz w:val="18"/>
                <w:szCs w:val="18"/>
              </w:rPr>
            </w:pPr>
            <w:r>
              <w:rPr>
                <w:rFonts w:hint="eastAsia"/>
                <w:b/>
                <w:sz w:val="24"/>
              </w:rPr>
              <w:t xml:space="preserve">                           </w:t>
            </w:r>
            <w:r>
              <w:rPr>
                <w:b/>
                <w:sz w:val="24"/>
              </w:rPr>
              <w:t xml:space="preserve"> 表4 噪声检测结果一览表            单位：dB(A)</w:t>
            </w:r>
            <w:r>
              <w:rPr>
                <w:sz w:val="24"/>
              </w:rPr>
              <w:t xml:space="preserve">  </w:t>
            </w:r>
            <w:r>
              <w:rPr>
                <w:sz w:val="18"/>
                <w:szCs w:val="18"/>
              </w:rPr>
              <w:t xml:space="preserve">               </w:t>
            </w:r>
            <w:r>
              <w:rPr>
                <w:rFonts w:hint="eastAsia"/>
                <w:sz w:val="18"/>
                <w:szCs w:val="18"/>
              </w:rPr>
              <w:t xml:space="preserve">    </w:t>
            </w:r>
            <w:r>
              <w:rPr>
                <w:sz w:val="18"/>
                <w:szCs w:val="18"/>
              </w:rPr>
              <w:t xml:space="preserve"> </w:t>
            </w:r>
          </w:p>
        </w:tc>
      </w:tr>
    </w:tbl>
    <w:p>
      <w:pPr>
        <w:sectPr>
          <w:footerReference w:type="default" r:id="rId17"/>
          <w:type w:val="nextPage"/>
          <w:pgSz w:w="11906" w:h="16838"/>
          <w:pgMar w:top="1440" w:right="1800" w:bottom="1440" w:left="1800" w:header="851" w:footer="992" w:gutter="0"/>
          <w:pgNumType w:fmt="decimal" w:start="10"/>
          <w:cols w:num="1" w:space="425"/>
          <w:titlePg w:val="0"/>
          <w:docGrid w:type="lines" w:linePitch="312" w:charSpace="0"/>
        </w:sectPr>
      </w:pPr>
    </w:p>
    <w:tbl>
      <w:tblPr>
        <w:tblStyle w:val="TableGrid2"/>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789"/>
        </w:trPr>
        <w:tc>
          <w:tcPr>
            <w:tcW w:w="9540" w:type="dxa"/>
          </w:tcPr>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3170"/>
              <w:gridCol w:w="1530"/>
              <w:gridCol w:w="1532"/>
              <w:gridCol w:w="1530"/>
              <w:gridCol w:w="1532"/>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41"/>
                <w:tblHeader/>
                <w:jc w:val="center"/>
              </w:trPr>
              <w:tc>
                <w:tcPr>
                  <w:tcW w:w="1706" w:type="pct"/>
                  <w:vMerge w:val="restart"/>
                  <w:tcBorders>
                    <w:tl2br w:val="nil"/>
                    <w:tr2bl w:val="nil"/>
                  </w:tcBorders>
                  <w:vAlign w:val="center"/>
                </w:tcPr>
                <w:p>
                  <w:pPr>
                    <w:adjustRightInd w:val="0"/>
                    <w:snapToGrid w:val="0"/>
                    <w:spacing w:line="540" w:lineRule="exact"/>
                    <w:ind w:right="0" w:firstLine="420" w:rightChars="0" w:firstLineChars="200"/>
                    <w:jc w:val="center"/>
                    <w:rPr>
                      <w:b/>
                      <w:bCs/>
                      <w:szCs w:val="21"/>
                    </w:rPr>
                  </w:pPr>
                  <w:r>
                    <w:rPr>
                      <w:b/>
                      <w:bCs/>
                      <w:szCs w:val="21"/>
                    </w:rPr>
                    <w:t>检测点/位置</w:t>
                  </w:r>
                </w:p>
              </w:tc>
              <w:tc>
                <w:tcPr>
                  <w:tcW w:w="3294" w:type="pct"/>
                  <w:gridSpan w:val="4"/>
                  <w:tcBorders>
                    <w:tl2br w:val="nil"/>
                    <w:tr2bl w:val="nil"/>
                  </w:tcBorders>
                  <w:vAlign w:val="center"/>
                </w:tcPr>
                <w:p>
                  <w:pPr>
                    <w:adjustRightInd w:val="0"/>
                    <w:snapToGrid w:val="0"/>
                    <w:spacing w:line="540" w:lineRule="exact"/>
                    <w:ind w:right="0" w:firstLine="420" w:rightChars="0" w:firstLineChars="200"/>
                    <w:jc w:val="center"/>
                    <w:rPr>
                      <w:b/>
                      <w:bCs/>
                      <w:szCs w:val="21"/>
                    </w:rPr>
                  </w:pPr>
                  <w:r>
                    <w:rPr>
                      <w:b/>
                      <w:bCs/>
                      <w:szCs w:val="21"/>
                    </w:rPr>
                    <w:t>检 测 日 期 及 结 果</w:t>
                  </w:r>
                </w:p>
              </w:tc>
            </w:tr>
            <w:tr>
              <w:tblPrEx>
                <w:tblW w:w="5000" w:type="pct"/>
                <w:jc w:val="center"/>
                <w:tblLayout w:type="fixed"/>
                <w:tblCellMar>
                  <w:top w:w="0" w:type="dxa"/>
                  <w:left w:w="108" w:type="dxa"/>
                  <w:bottom w:w="0" w:type="dxa"/>
                  <w:right w:w="108" w:type="dxa"/>
                </w:tblCellMar>
              </w:tblPrEx>
              <w:trPr>
                <w:trHeight w:val="354"/>
                <w:tblHeader/>
                <w:jc w:val="center"/>
              </w:trPr>
              <w:tc>
                <w:tcPr>
                  <w:tcW w:w="1706" w:type="pct"/>
                  <w:vMerge/>
                  <w:tcBorders>
                    <w:tl2br w:val="nil"/>
                    <w:tr2bl w:val="nil"/>
                  </w:tcBorders>
                  <w:vAlign w:val="center"/>
                </w:tcPr>
                <w:p>
                  <w:pPr>
                    <w:adjustRightInd w:val="0"/>
                    <w:snapToGrid w:val="0"/>
                    <w:spacing w:line="540" w:lineRule="exact"/>
                    <w:ind w:right="0" w:firstLine="420" w:rightChars="0" w:firstLineChars="200"/>
                    <w:jc w:val="center"/>
                    <w:rPr>
                      <w:szCs w:val="21"/>
                    </w:rPr>
                  </w:pPr>
                </w:p>
              </w:tc>
              <w:tc>
                <w:tcPr>
                  <w:tcW w:w="1647" w:type="pct"/>
                  <w:gridSpan w:val="2"/>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07月20日</w:t>
                  </w:r>
                </w:p>
              </w:tc>
              <w:tc>
                <w:tcPr>
                  <w:tcW w:w="1647" w:type="pct"/>
                  <w:gridSpan w:val="2"/>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07月21日</w:t>
                  </w:r>
                </w:p>
              </w:tc>
            </w:tr>
            <w:tr>
              <w:tblPrEx>
                <w:tblW w:w="5000" w:type="pct"/>
                <w:jc w:val="center"/>
                <w:tblLayout w:type="fixed"/>
                <w:tblCellMar>
                  <w:top w:w="0" w:type="dxa"/>
                  <w:left w:w="108" w:type="dxa"/>
                  <w:bottom w:w="0" w:type="dxa"/>
                  <w:right w:w="108" w:type="dxa"/>
                </w:tblCellMar>
              </w:tblPrEx>
              <w:trPr>
                <w:trHeight w:val="329"/>
                <w:tblHeader/>
                <w:jc w:val="center"/>
              </w:trPr>
              <w:tc>
                <w:tcPr>
                  <w:tcW w:w="1706" w:type="pct"/>
                  <w:vMerge/>
                  <w:tcBorders>
                    <w:tl2br w:val="nil"/>
                    <w:tr2bl w:val="nil"/>
                  </w:tcBorders>
                  <w:vAlign w:val="center"/>
                </w:tcPr>
                <w:p>
                  <w:pPr>
                    <w:adjustRightInd w:val="0"/>
                    <w:snapToGrid w:val="0"/>
                    <w:spacing w:line="540" w:lineRule="exact"/>
                    <w:ind w:right="0" w:firstLine="420" w:rightChars="0" w:firstLineChars="200"/>
                    <w:jc w:val="center"/>
                    <w:rPr>
                      <w:szCs w:val="21"/>
                    </w:rPr>
                  </w:pPr>
                </w:p>
              </w:tc>
              <w:tc>
                <w:tcPr>
                  <w:tcW w:w="823"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昼间</w:t>
                  </w:r>
                </w:p>
              </w:tc>
              <w:tc>
                <w:tcPr>
                  <w:tcW w:w="824"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夜间</w:t>
                  </w:r>
                </w:p>
              </w:tc>
              <w:tc>
                <w:tcPr>
                  <w:tcW w:w="823"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昼间</w:t>
                  </w:r>
                </w:p>
              </w:tc>
              <w:tc>
                <w:tcPr>
                  <w:tcW w:w="824"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夜间</w:t>
                  </w:r>
                </w:p>
              </w:tc>
            </w:tr>
            <w:tr>
              <w:tblPrEx>
                <w:tblW w:w="5000" w:type="pct"/>
                <w:jc w:val="center"/>
                <w:tblLayout w:type="fixed"/>
                <w:tblCellMar>
                  <w:top w:w="0" w:type="dxa"/>
                  <w:left w:w="108" w:type="dxa"/>
                  <w:bottom w:w="0" w:type="dxa"/>
                  <w:right w:w="108" w:type="dxa"/>
                </w:tblCellMar>
              </w:tblPrEx>
              <w:trPr>
                <w:trHeight w:val="318"/>
                <w:jc w:val="center"/>
              </w:trPr>
              <w:tc>
                <w:tcPr>
                  <w:tcW w:w="1706" w:type="pct"/>
                  <w:tcBorders>
                    <w:tl2br w:val="nil"/>
                    <w:tr2bl w:val="nil"/>
                  </w:tcBorders>
                  <w:vAlign w:val="center"/>
                </w:tcPr>
                <w:p>
                  <w:pPr>
                    <w:adjustRightInd w:val="0"/>
                    <w:snapToGrid w:val="0"/>
                    <w:spacing w:line="540" w:lineRule="exact"/>
                    <w:ind w:right="0" w:firstLine="420" w:rightChars="0" w:firstLineChars="200"/>
                    <w:jc w:val="center"/>
                    <w:rPr>
                      <w:szCs w:val="21"/>
                    </w:rPr>
                  </w:pPr>
                  <w:r>
                    <w:rPr>
                      <w:rFonts w:hint="eastAsia"/>
                      <w:szCs w:val="21"/>
                    </w:rPr>
                    <w:t>1#</w:t>
                  </w:r>
                  <w:r>
                    <w:rPr>
                      <w:szCs w:val="21"/>
                    </w:rPr>
                    <w:t>管道起点处（</w:t>
                  </w:r>
                  <w:r>
                    <w:rPr>
                      <w:rFonts w:hint="eastAsia"/>
                      <w:szCs w:val="21"/>
                    </w:rPr>
                    <w:t>水蛟</w:t>
                  </w:r>
                  <w:r>
                    <w:rPr>
                      <w:szCs w:val="21"/>
                    </w:rPr>
                    <w:t>路</w:t>
                  </w:r>
                  <w:r>
                    <w:rPr>
                      <w:rFonts w:hint="eastAsia"/>
                      <w:szCs w:val="21"/>
                    </w:rPr>
                    <w:t>东</w:t>
                  </w:r>
                  <w:r>
                    <w:rPr>
                      <w:szCs w:val="21"/>
                    </w:rPr>
                    <w:t>侧）</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60</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53</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60</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53</w:t>
                  </w:r>
                </w:p>
              </w:tc>
            </w:tr>
            <w:tr>
              <w:tblPrEx>
                <w:tblW w:w="5000" w:type="pct"/>
                <w:jc w:val="center"/>
                <w:tblLayout w:type="fixed"/>
                <w:tblCellMar>
                  <w:top w:w="0" w:type="dxa"/>
                  <w:left w:w="108" w:type="dxa"/>
                  <w:bottom w:w="0" w:type="dxa"/>
                  <w:right w:w="108" w:type="dxa"/>
                </w:tblCellMar>
              </w:tblPrEx>
              <w:trPr>
                <w:trHeight w:val="477"/>
                <w:jc w:val="center"/>
              </w:trPr>
              <w:tc>
                <w:tcPr>
                  <w:tcW w:w="1706"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2#大恩村（</w:t>
                  </w:r>
                  <w:r>
                    <w:rPr>
                      <w:rFonts w:hint="eastAsia"/>
                      <w:szCs w:val="21"/>
                    </w:rPr>
                    <w:t>水蛟</w:t>
                  </w:r>
                  <w:r>
                    <w:rPr>
                      <w:szCs w:val="21"/>
                    </w:rPr>
                    <w:t>路</w:t>
                  </w:r>
                  <w:r>
                    <w:rPr>
                      <w:rFonts w:hint="eastAsia"/>
                      <w:szCs w:val="21"/>
                    </w:rPr>
                    <w:t>西</w:t>
                  </w:r>
                  <w:r>
                    <w:rPr>
                      <w:szCs w:val="21"/>
                    </w:rPr>
                    <w:t>侧）</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59</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52</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58</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51</w:t>
                  </w:r>
                </w:p>
              </w:tc>
            </w:tr>
            <w:tr>
              <w:tblPrEx>
                <w:tblW w:w="5000" w:type="pct"/>
                <w:jc w:val="center"/>
                <w:tblLayout w:type="fixed"/>
                <w:tblCellMar>
                  <w:top w:w="0" w:type="dxa"/>
                  <w:left w:w="108" w:type="dxa"/>
                  <w:bottom w:w="0" w:type="dxa"/>
                  <w:right w:w="108" w:type="dxa"/>
                </w:tblCellMar>
              </w:tblPrEx>
              <w:trPr>
                <w:trHeight w:val="303"/>
                <w:jc w:val="center"/>
              </w:trPr>
              <w:tc>
                <w:tcPr>
                  <w:tcW w:w="1706"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3#白超村（</w:t>
                  </w:r>
                  <w:r>
                    <w:rPr>
                      <w:rFonts w:hint="eastAsia"/>
                      <w:szCs w:val="21"/>
                    </w:rPr>
                    <w:t>水蛟</w:t>
                  </w:r>
                  <w:r>
                    <w:rPr>
                      <w:szCs w:val="21"/>
                    </w:rPr>
                    <w:t>路</w:t>
                  </w:r>
                  <w:r>
                    <w:rPr>
                      <w:rFonts w:hint="eastAsia"/>
                      <w:szCs w:val="21"/>
                    </w:rPr>
                    <w:t>东</w:t>
                  </w:r>
                  <w:r>
                    <w:rPr>
                      <w:szCs w:val="21"/>
                    </w:rPr>
                    <w:t>侧）</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57</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50</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58</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51</w:t>
                  </w:r>
                </w:p>
              </w:tc>
            </w:tr>
            <w:tr>
              <w:tblPrEx>
                <w:tblW w:w="5000" w:type="pct"/>
                <w:jc w:val="center"/>
                <w:tblLayout w:type="fixed"/>
                <w:tblCellMar>
                  <w:top w:w="0" w:type="dxa"/>
                  <w:left w:w="108" w:type="dxa"/>
                  <w:bottom w:w="0" w:type="dxa"/>
                  <w:right w:w="108" w:type="dxa"/>
                </w:tblCellMar>
              </w:tblPrEx>
              <w:trPr>
                <w:trHeight w:val="291"/>
                <w:jc w:val="center"/>
              </w:trPr>
              <w:tc>
                <w:tcPr>
                  <w:tcW w:w="1706"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4#抱密村（</w:t>
                  </w:r>
                  <w:r>
                    <w:rPr>
                      <w:rFonts w:hint="eastAsia"/>
                      <w:szCs w:val="21"/>
                    </w:rPr>
                    <w:t>水蛟</w:t>
                  </w:r>
                  <w:r>
                    <w:rPr>
                      <w:szCs w:val="21"/>
                    </w:rPr>
                    <w:t>路</w:t>
                  </w:r>
                  <w:r>
                    <w:rPr>
                      <w:rFonts w:hint="eastAsia"/>
                      <w:szCs w:val="21"/>
                    </w:rPr>
                    <w:t>东</w:t>
                  </w:r>
                  <w:r>
                    <w:rPr>
                      <w:szCs w:val="21"/>
                    </w:rPr>
                    <w:t>侧）</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58</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51</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59</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52</w:t>
                  </w:r>
                </w:p>
              </w:tc>
            </w:tr>
            <w:tr>
              <w:tblPrEx>
                <w:tblW w:w="5000" w:type="pct"/>
                <w:jc w:val="center"/>
                <w:tblLayout w:type="fixed"/>
                <w:tblCellMar>
                  <w:top w:w="0" w:type="dxa"/>
                  <w:left w:w="108" w:type="dxa"/>
                  <w:bottom w:w="0" w:type="dxa"/>
                  <w:right w:w="108" w:type="dxa"/>
                </w:tblCellMar>
              </w:tblPrEx>
              <w:trPr>
                <w:trHeight w:val="255"/>
                <w:jc w:val="center"/>
              </w:trPr>
              <w:tc>
                <w:tcPr>
                  <w:tcW w:w="1706"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5#木棉村（</w:t>
                  </w:r>
                  <w:r>
                    <w:rPr>
                      <w:rFonts w:hint="eastAsia"/>
                      <w:szCs w:val="21"/>
                    </w:rPr>
                    <w:t>水蛟</w:t>
                  </w:r>
                  <w:r>
                    <w:rPr>
                      <w:szCs w:val="21"/>
                    </w:rPr>
                    <w:t>路</w:t>
                  </w:r>
                  <w:r>
                    <w:rPr>
                      <w:rFonts w:hint="eastAsia"/>
                      <w:szCs w:val="21"/>
                    </w:rPr>
                    <w:t>东</w:t>
                  </w:r>
                  <w:r>
                    <w:rPr>
                      <w:szCs w:val="21"/>
                    </w:rPr>
                    <w:t>侧）</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59</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52</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57</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50</w:t>
                  </w:r>
                </w:p>
              </w:tc>
            </w:tr>
            <w:tr>
              <w:tblPrEx>
                <w:tblW w:w="5000" w:type="pct"/>
                <w:jc w:val="center"/>
                <w:tblLayout w:type="fixed"/>
                <w:tblCellMar>
                  <w:top w:w="0" w:type="dxa"/>
                  <w:left w:w="108" w:type="dxa"/>
                  <w:bottom w:w="0" w:type="dxa"/>
                  <w:right w:w="108" w:type="dxa"/>
                </w:tblCellMar>
              </w:tblPrEx>
              <w:trPr>
                <w:trHeight w:val="313"/>
                <w:jc w:val="center"/>
              </w:trPr>
              <w:tc>
                <w:tcPr>
                  <w:tcW w:w="1706" w:type="pct"/>
                  <w:tcBorders>
                    <w:tl2br w:val="nil"/>
                    <w:tr2bl w:val="nil"/>
                  </w:tcBorders>
                  <w:vAlign w:val="center"/>
                </w:tcPr>
                <w:p>
                  <w:pPr>
                    <w:adjustRightInd w:val="0"/>
                    <w:snapToGrid w:val="0"/>
                    <w:spacing w:line="540" w:lineRule="exact"/>
                    <w:ind w:right="0" w:firstLine="420" w:rightChars="0" w:firstLineChars="200"/>
                    <w:jc w:val="center"/>
                    <w:rPr>
                      <w:szCs w:val="21"/>
                    </w:rPr>
                  </w:pPr>
                  <w:r>
                    <w:rPr>
                      <w:szCs w:val="21"/>
                    </w:rPr>
                    <w:t>6#管道终点处（</w:t>
                  </w:r>
                  <w:r>
                    <w:rPr>
                      <w:rFonts w:hint="eastAsia"/>
                      <w:szCs w:val="21"/>
                    </w:rPr>
                    <w:t>水蛟</w:t>
                  </w:r>
                  <w:r>
                    <w:rPr>
                      <w:szCs w:val="21"/>
                    </w:rPr>
                    <w:t>路</w:t>
                  </w:r>
                  <w:r>
                    <w:rPr>
                      <w:rFonts w:hint="eastAsia"/>
                      <w:szCs w:val="21"/>
                    </w:rPr>
                    <w:t>东</w:t>
                  </w:r>
                  <w:r>
                    <w:rPr>
                      <w:szCs w:val="21"/>
                    </w:rPr>
                    <w:t>侧）</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60</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52</w:t>
                  </w:r>
                </w:p>
              </w:tc>
              <w:tc>
                <w:tcPr>
                  <w:tcW w:w="823"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60</w:t>
                  </w:r>
                </w:p>
              </w:tc>
              <w:tc>
                <w:tcPr>
                  <w:tcW w:w="824" w:type="pct"/>
                  <w:tcBorders>
                    <w:tl2br w:val="nil"/>
                    <w:tr2bl w:val="nil"/>
                  </w:tcBorders>
                  <w:vAlign w:val="center"/>
                </w:tcPr>
                <w:p>
                  <w:pPr>
                    <w:adjustRightInd w:val="0"/>
                    <w:snapToGrid w:val="0"/>
                    <w:spacing w:line="540" w:lineRule="exact"/>
                    <w:ind w:firstLine="420" w:firstLineChars="200"/>
                    <w:jc w:val="center"/>
                    <w:rPr>
                      <w:kern w:val="0"/>
                      <w:szCs w:val="21"/>
                    </w:rPr>
                  </w:pPr>
                  <w:r>
                    <w:rPr>
                      <w:rFonts w:hint="eastAsia"/>
                      <w:kern w:val="0"/>
                      <w:szCs w:val="21"/>
                    </w:rPr>
                    <w:t>53</w:t>
                  </w:r>
                </w:p>
              </w:tc>
            </w:tr>
          </w:tbl>
          <w:p>
            <w:pPr>
              <w:adjustRightInd w:val="0"/>
              <w:snapToGrid w:val="0"/>
              <w:spacing w:line="540" w:lineRule="exact"/>
              <w:ind w:firstLine="480" w:firstLineChars="200"/>
              <w:rPr>
                <w:rFonts w:hint="default"/>
                <w:sz w:val="24"/>
              </w:rPr>
            </w:pPr>
            <w:r>
              <w:rPr>
                <w:color w:val="000000"/>
                <w:sz w:val="24"/>
              </w:rPr>
              <w:t>根据上表噪声监测结果分析，噪声监测点位1#~6#临近水蛟路（</w:t>
            </w:r>
            <w:r>
              <w:rPr>
                <w:rFonts w:hint="eastAsia"/>
                <w:color w:val="000000"/>
                <w:sz w:val="24"/>
                <w:lang w:val="en-US" w:eastAsia="zh-CN"/>
              </w:rPr>
              <w:t>支路），</w:t>
            </w:r>
            <w:r>
              <w:rPr>
                <w:color w:val="000000"/>
                <w:sz w:val="24"/>
              </w:rPr>
              <w:t>声环境质量现状</w:t>
            </w:r>
            <w:r>
              <w:rPr>
                <w:rFonts w:hint="eastAsia"/>
                <w:color w:val="000000"/>
                <w:sz w:val="24"/>
                <w:lang w:val="en-US" w:eastAsia="zh-CN"/>
              </w:rPr>
              <w:t>昼间</w:t>
            </w:r>
            <w:r>
              <w:rPr>
                <w:color w:val="000000"/>
                <w:sz w:val="24"/>
              </w:rPr>
              <w:t>满足《声环境质量标准》（GB3096-2008）</w:t>
            </w:r>
            <w:r>
              <w:rPr>
                <w:rFonts w:hint="eastAsia"/>
                <w:color w:val="000000"/>
                <w:sz w:val="24"/>
                <w:lang w:val="en-US" w:eastAsia="zh-CN"/>
              </w:rPr>
              <w:t>2</w:t>
            </w:r>
            <w:r>
              <w:rPr>
                <w:color w:val="000000"/>
                <w:sz w:val="24"/>
              </w:rPr>
              <w:t>类标准（即昼间≤</w:t>
            </w:r>
            <w:r>
              <w:rPr>
                <w:rFonts w:hint="eastAsia"/>
                <w:color w:val="000000"/>
                <w:sz w:val="24"/>
                <w:lang w:val="en-US" w:eastAsia="zh-CN"/>
              </w:rPr>
              <w:t>6</w:t>
            </w:r>
            <w:r>
              <w:rPr>
                <w:color w:val="000000"/>
                <w:sz w:val="24"/>
              </w:rPr>
              <w:t>0dB(A)、夜间≤5</w:t>
            </w:r>
            <w:r>
              <w:rPr>
                <w:rFonts w:hint="eastAsia"/>
                <w:color w:val="000000"/>
                <w:sz w:val="24"/>
                <w:lang w:val="en-US" w:eastAsia="zh-CN"/>
              </w:rPr>
              <w:t>0</w:t>
            </w:r>
            <w:r>
              <w:rPr>
                <w:color w:val="000000"/>
                <w:sz w:val="24"/>
              </w:rPr>
              <w:t>dB(A)）</w:t>
            </w:r>
            <w:r>
              <w:rPr>
                <w:rFonts w:hint="eastAsia"/>
                <w:color w:val="000000"/>
                <w:sz w:val="24"/>
                <w:lang w:eastAsia="zh-CN"/>
              </w:rPr>
              <w:t>，</w:t>
            </w:r>
            <w:r>
              <w:rPr>
                <w:rFonts w:hint="eastAsia"/>
                <w:color w:val="000000"/>
                <w:sz w:val="24"/>
                <w:lang w:val="en-US" w:eastAsia="zh-CN"/>
              </w:rPr>
              <w:t>夜间均超出</w:t>
            </w:r>
            <w:r>
              <w:rPr>
                <w:color w:val="000000"/>
                <w:sz w:val="24"/>
              </w:rPr>
              <w:t>《声环境质量标准》（GB3096-2008）</w:t>
            </w:r>
            <w:r>
              <w:rPr>
                <w:rFonts w:hint="eastAsia"/>
                <w:color w:val="000000"/>
                <w:sz w:val="24"/>
                <w:lang w:val="en-US" w:eastAsia="zh-CN"/>
              </w:rPr>
              <w:t>2</w:t>
            </w:r>
            <w:r>
              <w:rPr>
                <w:color w:val="000000"/>
                <w:sz w:val="24"/>
              </w:rPr>
              <w:t>类标准</w:t>
            </w:r>
            <w:r>
              <w:rPr>
                <w:rFonts w:hint="eastAsia"/>
                <w:color w:val="000000"/>
                <w:sz w:val="24"/>
                <w:lang w:eastAsia="zh-CN"/>
              </w:rPr>
              <w:t>，</w:t>
            </w:r>
            <w:r>
              <w:rPr>
                <w:rFonts w:hint="eastAsia"/>
                <w:color w:val="000000"/>
                <w:sz w:val="24"/>
                <w:lang w:val="en-US" w:eastAsia="zh-CN"/>
              </w:rPr>
              <w:t>超标范围为1~3</w:t>
            </w:r>
            <w:r>
              <w:rPr>
                <w:color w:val="000000"/>
                <w:sz w:val="24"/>
              </w:rPr>
              <w:t>dB(A)</w:t>
            </w:r>
            <w:r>
              <w:rPr>
                <w:rFonts w:hint="eastAsia"/>
                <w:color w:val="000000"/>
                <w:sz w:val="24"/>
                <w:lang w:eastAsia="zh-CN"/>
              </w:rPr>
              <w:t>，</w:t>
            </w:r>
            <w:r>
              <w:rPr>
                <w:rFonts w:hint="eastAsia"/>
                <w:color w:val="000000"/>
                <w:sz w:val="24"/>
                <w:lang w:val="en-US" w:eastAsia="zh-CN"/>
              </w:rPr>
              <w:t>超标原因主要为监测点临近道路，受交通噪声影响。</w:t>
            </w:r>
          </w:p>
          <w:p>
            <w:pPr>
              <w:ind w:firstLine="480"/>
              <w:rPr>
                <w:b/>
                <w:bCs/>
                <w:kern w:val="0"/>
                <w:sz w:val="24"/>
                <w:szCs w:val="32"/>
              </w:rPr>
            </w:pPr>
            <w:r>
              <w:rPr>
                <w:rFonts w:ascii="Times New Roman" w:hAnsi="Times New Roman"/>
                <w:b/>
                <w:bCs/>
                <w:kern w:val="0"/>
                <w:sz w:val="24"/>
                <w:szCs w:val="32"/>
              </w:rPr>
              <w:t>3、地表水环境质量现状</w:t>
            </w:r>
          </w:p>
          <w:p>
            <w:pPr>
              <w:adjustRightInd w:val="0"/>
              <w:snapToGrid w:val="0"/>
              <w:spacing w:line="540" w:lineRule="exact"/>
              <w:ind w:firstLine="480" w:firstLineChars="200"/>
              <w:rPr>
                <w:b/>
                <w:sz w:val="24"/>
              </w:rPr>
            </w:pPr>
            <w:r>
              <w:rPr>
                <w:color w:val="000000"/>
                <w:sz w:val="24"/>
              </w:rPr>
              <w:t>为了解项目周边地表水环境质量现状，建设单位委托海南中科环境检测有限公司于2020年7月20日至21日对项目周边的水蛟溪进行监测。监测点位布置图、监测报告见附件</w:t>
            </w:r>
            <w:r>
              <w:rPr>
                <w:rFonts w:hint="eastAsia"/>
                <w:color w:val="000000"/>
                <w:sz w:val="24"/>
              </w:rPr>
              <w:t>4</w:t>
            </w:r>
            <w:r>
              <w:rPr>
                <w:color w:val="000000"/>
                <w:sz w:val="24"/>
              </w:rPr>
              <w:t>，监测结果见表</w:t>
            </w:r>
            <w:r>
              <w:rPr>
                <w:rFonts w:hint="eastAsia"/>
                <w:color w:val="000000"/>
                <w:sz w:val="24"/>
              </w:rPr>
              <w:t>5</w:t>
            </w:r>
            <w:r>
              <w:rPr>
                <w:color w:val="000000"/>
                <w:sz w:val="24"/>
              </w:rPr>
              <w:t>。</w:t>
            </w:r>
            <w:r>
              <w:rPr>
                <w:b/>
                <w:sz w:val="24"/>
              </w:rPr>
              <w:t xml:space="preserve">  </w:t>
            </w:r>
            <w:r>
              <w:rPr>
                <w:rFonts w:hint="eastAsia"/>
                <w:b/>
                <w:sz w:val="24"/>
              </w:rPr>
              <w:t xml:space="preserve">            </w:t>
            </w:r>
          </w:p>
          <w:p>
            <w:pPr>
              <w:adjustRightInd w:val="0"/>
              <w:snapToGrid w:val="0"/>
              <w:spacing w:line="540" w:lineRule="exact"/>
              <w:ind w:firstLine="480" w:firstLineChars="200"/>
              <w:jc w:val="left"/>
              <w:rPr>
                <w:sz w:val="18"/>
                <w:szCs w:val="40"/>
              </w:rPr>
            </w:pPr>
            <w:r>
              <w:rPr>
                <w:rFonts w:hint="eastAsia"/>
                <w:b/>
                <w:sz w:val="24"/>
              </w:rPr>
              <w:t xml:space="preserve">                 </w:t>
            </w:r>
            <w:r>
              <w:rPr>
                <w:b/>
                <w:sz w:val="24"/>
              </w:rPr>
              <w:t>表</w:t>
            </w:r>
            <w:r>
              <w:rPr>
                <w:rFonts w:hint="eastAsia"/>
                <w:b/>
                <w:sz w:val="24"/>
              </w:rPr>
              <w:t xml:space="preserve">5 </w:t>
            </w:r>
            <w:r>
              <w:rPr>
                <w:b/>
                <w:sz w:val="24"/>
              </w:rPr>
              <w:t>地表水检测结果一览表</w:t>
            </w:r>
            <w:r>
              <w:rPr>
                <w:rFonts w:hint="eastAsia"/>
                <w:b/>
                <w:sz w:val="24"/>
              </w:rPr>
              <w:t xml:space="preserve">    </w:t>
            </w:r>
            <w:r>
              <w:rPr>
                <w:b/>
                <w:sz w:val="24"/>
              </w:rPr>
              <w:t>单位：mg/L(pH及单独标注除外)</w:t>
            </w:r>
            <w:r>
              <w:rPr>
                <w:sz w:val="18"/>
              </w:rPr>
              <w:t xml:space="preserve">   </w:t>
            </w:r>
          </w:p>
          <w:tbl>
            <w:tblPr>
              <w:tblStyle w:val="TableNormal"/>
              <w:tblW w:w="9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373"/>
              <w:gridCol w:w="1198"/>
              <w:gridCol w:w="681"/>
              <w:gridCol w:w="805"/>
              <w:gridCol w:w="831"/>
              <w:gridCol w:w="1283"/>
              <w:gridCol w:w="1039"/>
              <w:gridCol w:w="1205"/>
              <w:gridCol w:w="881"/>
            </w:tblGrid>
            <w:tr>
              <w:tblPrEx>
                <w:tblW w:w="9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27"/>
                <w:tblHeader/>
                <w:jc w:val="center"/>
              </w:trPr>
              <w:tc>
                <w:tcPr>
                  <w:tcW w:w="738" w:type="pct"/>
                  <w:vMerge w:val="restar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采样</w:t>
                  </w:r>
                </w:p>
                <w:p>
                  <w:pPr>
                    <w:adjustRightInd w:val="0"/>
                    <w:snapToGrid w:val="0"/>
                    <w:spacing w:line="240" w:lineRule="auto"/>
                    <w:ind w:firstLine="0" w:firstLineChars="0"/>
                    <w:jc w:val="center"/>
                    <w:rPr>
                      <w:b/>
                      <w:bCs/>
                      <w:szCs w:val="21"/>
                    </w:rPr>
                  </w:pPr>
                  <w:r>
                    <w:rPr>
                      <w:b/>
                      <w:bCs/>
                      <w:szCs w:val="21"/>
                    </w:rPr>
                    <w:t>点位</w:t>
                  </w:r>
                </w:p>
              </w:tc>
              <w:tc>
                <w:tcPr>
                  <w:tcW w:w="644" w:type="pct"/>
                  <w:vMerge w:val="restar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采样</w:t>
                  </w:r>
                </w:p>
                <w:p>
                  <w:pPr>
                    <w:adjustRightInd w:val="0"/>
                    <w:snapToGrid w:val="0"/>
                    <w:spacing w:line="240" w:lineRule="auto"/>
                    <w:ind w:firstLine="0" w:firstLineChars="0"/>
                    <w:jc w:val="center"/>
                    <w:rPr>
                      <w:b/>
                      <w:bCs/>
                      <w:szCs w:val="21"/>
                    </w:rPr>
                  </w:pPr>
                  <w:r>
                    <w:rPr>
                      <w:b/>
                      <w:bCs/>
                      <w:szCs w:val="21"/>
                    </w:rPr>
                    <w:t>日期</w:t>
                  </w:r>
                </w:p>
              </w:tc>
              <w:tc>
                <w:tcPr>
                  <w:tcW w:w="3617" w:type="pct"/>
                  <w:gridSpan w:val="7"/>
                  <w:tcBorders>
                    <w:tl2br w:val="nil"/>
                    <w:tr2bl w:val="nil"/>
                  </w:tcBorders>
                  <w:vAlign w:val="center"/>
                </w:tcPr>
                <w:p>
                  <w:pPr>
                    <w:widowControl/>
                    <w:adjustRightInd w:val="0"/>
                    <w:snapToGrid w:val="0"/>
                    <w:spacing w:line="240" w:lineRule="auto"/>
                    <w:ind w:firstLine="0" w:firstLineChars="0"/>
                    <w:jc w:val="center"/>
                    <w:rPr>
                      <w:b/>
                      <w:bCs/>
                      <w:szCs w:val="21"/>
                    </w:rPr>
                  </w:pPr>
                  <w:r>
                    <w:rPr>
                      <w:b/>
                      <w:bCs/>
                      <w:szCs w:val="21"/>
                    </w:rPr>
                    <w:t>检 测 项 目 及 结 果</w:t>
                  </w:r>
                </w:p>
              </w:tc>
            </w:tr>
            <w:tr>
              <w:tblPrEx>
                <w:tblW w:w="9296" w:type="dxa"/>
                <w:jc w:val="center"/>
                <w:tblLayout w:type="fixed"/>
                <w:tblCellMar>
                  <w:top w:w="0" w:type="dxa"/>
                  <w:left w:w="108" w:type="dxa"/>
                  <w:bottom w:w="0" w:type="dxa"/>
                  <w:right w:w="108" w:type="dxa"/>
                </w:tblCellMar>
              </w:tblPrEx>
              <w:trPr>
                <w:cantSplit/>
                <w:trHeight w:val="609"/>
                <w:tblHeader/>
                <w:jc w:val="center"/>
              </w:trPr>
              <w:tc>
                <w:tcPr>
                  <w:tcW w:w="738" w:type="pct"/>
                  <w:vMerge/>
                  <w:tcBorders>
                    <w:tl2br w:val="nil"/>
                    <w:tr2bl w:val="nil"/>
                  </w:tcBorders>
                  <w:vAlign w:val="center"/>
                </w:tcPr>
                <w:p>
                  <w:pPr>
                    <w:adjustRightInd w:val="0"/>
                    <w:snapToGrid w:val="0"/>
                    <w:spacing w:line="240" w:lineRule="auto"/>
                    <w:ind w:firstLine="0" w:firstLineChars="0"/>
                    <w:jc w:val="center"/>
                    <w:rPr>
                      <w:b/>
                      <w:bCs/>
                      <w:szCs w:val="21"/>
                    </w:rPr>
                  </w:pPr>
                </w:p>
              </w:tc>
              <w:tc>
                <w:tcPr>
                  <w:tcW w:w="644" w:type="pct"/>
                  <w:vMerge/>
                  <w:tcBorders>
                    <w:tl2br w:val="nil"/>
                    <w:tr2bl w:val="nil"/>
                  </w:tcBorders>
                  <w:vAlign w:val="center"/>
                </w:tcPr>
                <w:p>
                  <w:pPr>
                    <w:adjustRightInd w:val="0"/>
                    <w:snapToGrid w:val="0"/>
                    <w:spacing w:line="240" w:lineRule="auto"/>
                    <w:ind w:firstLine="0" w:firstLineChars="0"/>
                    <w:jc w:val="center"/>
                    <w:rPr>
                      <w:b/>
                      <w:bCs/>
                      <w:szCs w:val="21"/>
                    </w:rPr>
                  </w:pPr>
                </w:p>
              </w:tc>
              <w:tc>
                <w:tcPr>
                  <w:tcW w:w="366"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pH</w:t>
                  </w:r>
                </w:p>
              </w:tc>
              <w:tc>
                <w:tcPr>
                  <w:tcW w:w="433"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氨氮</w:t>
                  </w:r>
                </w:p>
              </w:tc>
              <w:tc>
                <w:tcPr>
                  <w:tcW w:w="447"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总磷</w:t>
                  </w:r>
                </w:p>
              </w:tc>
              <w:tc>
                <w:tcPr>
                  <w:tcW w:w="690"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化学需氧量</w:t>
                  </w:r>
                </w:p>
              </w:tc>
              <w:tc>
                <w:tcPr>
                  <w:tcW w:w="559"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溶解氧</w:t>
                  </w:r>
                </w:p>
              </w:tc>
              <w:tc>
                <w:tcPr>
                  <w:tcW w:w="648"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五日生化</w:t>
                  </w:r>
                </w:p>
                <w:p>
                  <w:pPr>
                    <w:adjustRightInd w:val="0"/>
                    <w:snapToGrid w:val="0"/>
                    <w:spacing w:line="240" w:lineRule="auto"/>
                    <w:ind w:firstLine="0" w:firstLineChars="0"/>
                    <w:jc w:val="center"/>
                    <w:rPr>
                      <w:b/>
                      <w:bCs/>
                      <w:szCs w:val="21"/>
                    </w:rPr>
                  </w:pPr>
                  <w:r>
                    <w:rPr>
                      <w:b/>
                      <w:bCs/>
                      <w:szCs w:val="21"/>
                    </w:rPr>
                    <w:t>需氧量</w:t>
                  </w:r>
                </w:p>
              </w:tc>
              <w:tc>
                <w:tcPr>
                  <w:tcW w:w="471" w:type="pct"/>
                  <w:tcBorders>
                    <w:tl2br w:val="nil"/>
                    <w:tr2bl w:val="nil"/>
                  </w:tcBorders>
                  <w:vAlign w:val="center"/>
                </w:tcPr>
                <w:p>
                  <w:pPr>
                    <w:adjustRightInd w:val="0"/>
                    <w:snapToGrid w:val="0"/>
                    <w:spacing w:line="240" w:lineRule="auto"/>
                    <w:ind w:firstLine="0" w:firstLineChars="0"/>
                    <w:jc w:val="center"/>
                    <w:rPr>
                      <w:b/>
                      <w:bCs/>
                      <w:szCs w:val="21"/>
                    </w:rPr>
                  </w:pPr>
                  <w:r>
                    <w:rPr>
                      <w:b/>
                      <w:bCs/>
                      <w:szCs w:val="21"/>
                    </w:rPr>
                    <w:t>石油类</w:t>
                  </w:r>
                </w:p>
              </w:tc>
            </w:tr>
            <w:tr>
              <w:tblPrEx>
                <w:tblW w:w="9296" w:type="dxa"/>
                <w:jc w:val="center"/>
                <w:tblLayout w:type="fixed"/>
                <w:tblCellMar>
                  <w:top w:w="0" w:type="dxa"/>
                  <w:left w:w="108" w:type="dxa"/>
                  <w:bottom w:w="0" w:type="dxa"/>
                  <w:right w:w="108" w:type="dxa"/>
                </w:tblCellMar>
              </w:tblPrEx>
              <w:trPr>
                <w:cantSplit/>
                <w:trHeight w:hRule="exact" w:val="705"/>
                <w:jc w:val="center"/>
              </w:trPr>
              <w:tc>
                <w:tcPr>
                  <w:tcW w:w="738" w:type="pct"/>
                  <w:tcBorders>
                    <w:tl2br w:val="nil"/>
                    <w:tr2bl w:val="nil"/>
                  </w:tcBorders>
                  <w:vAlign w:val="center"/>
                </w:tcPr>
                <w:p>
                  <w:pPr>
                    <w:adjustRightInd w:val="0"/>
                    <w:snapToGrid w:val="0"/>
                    <w:spacing w:line="240" w:lineRule="auto"/>
                    <w:ind w:firstLine="0" w:firstLineChars="0"/>
                    <w:jc w:val="center"/>
                    <w:rPr>
                      <w:szCs w:val="21"/>
                    </w:rPr>
                  </w:pPr>
                  <w:r>
                    <w:rPr>
                      <w:szCs w:val="21"/>
                    </w:rPr>
                    <w:t>水蛟溪上游W1</w:t>
                  </w:r>
                </w:p>
              </w:tc>
              <w:tc>
                <w:tcPr>
                  <w:tcW w:w="644"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07月</w:t>
                  </w:r>
                </w:p>
                <w:p>
                  <w:pPr>
                    <w:widowControl/>
                    <w:adjustRightInd w:val="0"/>
                    <w:snapToGrid w:val="0"/>
                    <w:spacing w:line="240" w:lineRule="auto"/>
                    <w:ind w:firstLine="0" w:firstLineChars="0"/>
                    <w:jc w:val="center"/>
                    <w:rPr>
                      <w:kern w:val="0"/>
                      <w:szCs w:val="21"/>
                    </w:rPr>
                  </w:pPr>
                  <w:r>
                    <w:rPr>
                      <w:kern w:val="0"/>
                      <w:szCs w:val="21"/>
                    </w:rPr>
                    <w:t>20日</w:t>
                  </w:r>
                </w:p>
              </w:tc>
              <w:tc>
                <w:tcPr>
                  <w:tcW w:w="366"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7.89</w:t>
                  </w:r>
                </w:p>
              </w:tc>
              <w:tc>
                <w:tcPr>
                  <w:tcW w:w="433"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0.18</w:t>
                  </w:r>
                </w:p>
              </w:tc>
              <w:tc>
                <w:tcPr>
                  <w:tcW w:w="447"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0.01</w:t>
                  </w:r>
                </w:p>
              </w:tc>
              <w:tc>
                <w:tcPr>
                  <w:tcW w:w="690"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16</w:t>
                  </w:r>
                </w:p>
              </w:tc>
              <w:tc>
                <w:tcPr>
                  <w:tcW w:w="559"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5.7</w:t>
                  </w:r>
                </w:p>
              </w:tc>
              <w:tc>
                <w:tcPr>
                  <w:tcW w:w="648"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2.0</w:t>
                  </w:r>
                </w:p>
              </w:tc>
              <w:tc>
                <w:tcPr>
                  <w:tcW w:w="471"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0.04</w:t>
                  </w:r>
                </w:p>
              </w:tc>
            </w:tr>
            <w:tr>
              <w:tblPrEx>
                <w:tblW w:w="9296" w:type="dxa"/>
                <w:jc w:val="center"/>
                <w:tblLayout w:type="fixed"/>
                <w:tblCellMar>
                  <w:top w:w="0" w:type="dxa"/>
                  <w:left w:w="108" w:type="dxa"/>
                  <w:bottom w:w="0" w:type="dxa"/>
                  <w:right w:w="108" w:type="dxa"/>
                </w:tblCellMar>
              </w:tblPrEx>
              <w:trPr>
                <w:cantSplit/>
                <w:trHeight w:hRule="exact" w:val="705"/>
                <w:jc w:val="center"/>
              </w:trPr>
              <w:tc>
                <w:tcPr>
                  <w:tcW w:w="738" w:type="pct"/>
                  <w:tcBorders>
                    <w:tl2br w:val="nil"/>
                    <w:tr2bl w:val="nil"/>
                  </w:tcBorders>
                  <w:vAlign w:val="center"/>
                </w:tcPr>
                <w:p>
                  <w:pPr>
                    <w:adjustRightInd w:val="0"/>
                    <w:snapToGrid w:val="0"/>
                    <w:spacing w:line="240" w:lineRule="auto"/>
                    <w:ind w:firstLine="0" w:firstLineChars="0"/>
                    <w:jc w:val="center"/>
                    <w:rPr>
                      <w:szCs w:val="21"/>
                    </w:rPr>
                  </w:pPr>
                  <w:r>
                    <w:rPr>
                      <w:szCs w:val="21"/>
                    </w:rPr>
                    <w:t>水蛟溪下游W2</w:t>
                  </w:r>
                </w:p>
              </w:tc>
              <w:tc>
                <w:tcPr>
                  <w:tcW w:w="644"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07月</w:t>
                  </w:r>
                </w:p>
                <w:p>
                  <w:pPr>
                    <w:widowControl/>
                    <w:adjustRightInd w:val="0"/>
                    <w:snapToGrid w:val="0"/>
                    <w:spacing w:line="240" w:lineRule="auto"/>
                    <w:ind w:firstLine="0" w:firstLineChars="0"/>
                    <w:jc w:val="center"/>
                    <w:rPr>
                      <w:kern w:val="0"/>
                      <w:szCs w:val="21"/>
                    </w:rPr>
                  </w:pPr>
                  <w:r>
                    <w:rPr>
                      <w:kern w:val="0"/>
                      <w:szCs w:val="21"/>
                    </w:rPr>
                    <w:t>20日</w:t>
                  </w:r>
                </w:p>
              </w:tc>
              <w:tc>
                <w:tcPr>
                  <w:tcW w:w="366"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7.88</w:t>
                  </w:r>
                </w:p>
              </w:tc>
              <w:tc>
                <w:tcPr>
                  <w:tcW w:w="433"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0.07</w:t>
                  </w:r>
                </w:p>
              </w:tc>
              <w:tc>
                <w:tcPr>
                  <w:tcW w:w="447"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0.04</w:t>
                  </w:r>
                </w:p>
              </w:tc>
              <w:tc>
                <w:tcPr>
                  <w:tcW w:w="690"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18</w:t>
                  </w:r>
                </w:p>
              </w:tc>
              <w:tc>
                <w:tcPr>
                  <w:tcW w:w="559"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5.2</w:t>
                  </w:r>
                </w:p>
              </w:tc>
              <w:tc>
                <w:tcPr>
                  <w:tcW w:w="648"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3.1</w:t>
                  </w:r>
                </w:p>
              </w:tc>
              <w:tc>
                <w:tcPr>
                  <w:tcW w:w="471"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0.05</w:t>
                  </w:r>
                </w:p>
              </w:tc>
            </w:tr>
          </w:tbl>
          <w:p/>
        </w:tc>
      </w:tr>
    </w:tbl>
    <w:p>
      <w:pPr>
        <w:sectPr>
          <w:footerReference w:type="default" r:id="rId18"/>
          <w:type w:val="nextPage"/>
          <w:pgSz w:w="11906" w:h="16838"/>
          <w:pgMar w:top="1440" w:right="1800" w:bottom="1440" w:left="1800" w:header="851" w:footer="992" w:gutter="0"/>
          <w:pgNumType w:fmt="decimal" w:start="11"/>
          <w:cols w:num="1" w:space="425"/>
          <w:titlePg w:val="0"/>
          <w:docGrid w:type="lines" w:linePitch="312" w:charSpace="0"/>
        </w:sectPr>
      </w:pPr>
    </w:p>
    <w:tbl>
      <w:tblPr>
        <w:tblStyle w:val="TableGrid3"/>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789"/>
        </w:trPr>
        <w:tc>
          <w:tcPr>
            <w:tcW w:w="9540" w:type="dxa"/>
          </w:tcPr>
          <w:tbl>
            <w:tblPr>
              <w:tblStyle w:val="TableNormal"/>
              <w:tblW w:w="9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572"/>
              <w:gridCol w:w="681"/>
              <w:gridCol w:w="805"/>
              <w:gridCol w:w="831"/>
              <w:gridCol w:w="1285"/>
              <w:gridCol w:w="1039"/>
              <w:gridCol w:w="1207"/>
              <w:gridCol w:w="876"/>
            </w:tblGrid>
            <w:tr>
              <w:tblPrEx>
                <w:tblW w:w="92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hRule="exact" w:val="803"/>
                <w:jc w:val="center"/>
              </w:trPr>
              <w:tc>
                <w:tcPr>
                  <w:tcW w:w="1382" w:type="pct"/>
                  <w:tcBorders>
                    <w:tl2br w:val="nil"/>
                    <w:tr2bl w:val="nil"/>
                  </w:tcBorders>
                  <w:vAlign w:val="center"/>
                </w:tcPr>
                <w:p>
                  <w:pPr>
                    <w:widowControl/>
                    <w:adjustRightInd w:val="0"/>
                    <w:snapToGrid w:val="0"/>
                    <w:spacing w:line="240" w:lineRule="auto"/>
                    <w:ind w:firstLine="0" w:firstLineChars="0"/>
                    <w:jc w:val="center"/>
                    <w:rPr>
                      <w:kern w:val="0"/>
                      <w:szCs w:val="21"/>
                    </w:rPr>
                  </w:pPr>
                  <w:r>
                    <w:t>地表水环境质量》（GB3838-2002）中的Ⅲ类标准</w:t>
                  </w:r>
                </w:p>
              </w:tc>
              <w:tc>
                <w:tcPr>
                  <w:tcW w:w="366"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6~9</w:t>
                  </w:r>
                </w:p>
              </w:tc>
              <w:tc>
                <w:tcPr>
                  <w:tcW w:w="433"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1.0</w:t>
                  </w:r>
                </w:p>
              </w:tc>
              <w:tc>
                <w:tcPr>
                  <w:tcW w:w="447"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0.2</w:t>
                  </w:r>
                </w:p>
              </w:tc>
              <w:tc>
                <w:tcPr>
                  <w:tcW w:w="690"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20</w:t>
                  </w:r>
                </w:p>
              </w:tc>
              <w:tc>
                <w:tcPr>
                  <w:tcW w:w="559"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≥5</w:t>
                  </w:r>
                </w:p>
              </w:tc>
              <w:tc>
                <w:tcPr>
                  <w:tcW w:w="648"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4</w:t>
                  </w:r>
                </w:p>
              </w:tc>
              <w:tc>
                <w:tcPr>
                  <w:tcW w:w="471" w:type="pct"/>
                  <w:tcBorders>
                    <w:tl2br w:val="nil"/>
                    <w:tr2bl w:val="nil"/>
                  </w:tcBorders>
                  <w:vAlign w:val="center"/>
                </w:tcPr>
                <w:p>
                  <w:pPr>
                    <w:widowControl/>
                    <w:adjustRightInd w:val="0"/>
                    <w:snapToGrid w:val="0"/>
                    <w:spacing w:line="240" w:lineRule="auto"/>
                    <w:ind w:firstLine="0" w:firstLineChars="0"/>
                    <w:jc w:val="center"/>
                    <w:rPr>
                      <w:kern w:val="0"/>
                      <w:szCs w:val="21"/>
                    </w:rPr>
                  </w:pPr>
                  <w:r>
                    <w:rPr>
                      <w:kern w:val="0"/>
                      <w:szCs w:val="21"/>
                    </w:rPr>
                    <w:t>0.05</w:t>
                  </w:r>
                </w:p>
              </w:tc>
            </w:tr>
          </w:tbl>
          <w:p>
            <w:pPr>
              <w:adjustRightInd w:val="0"/>
              <w:snapToGrid w:val="0"/>
              <w:spacing w:line="540" w:lineRule="exact"/>
              <w:ind w:firstLine="480" w:firstLineChars="200"/>
              <w:rPr>
                <w:b/>
                <w:bCs/>
                <w:kern w:val="0"/>
                <w:sz w:val="24"/>
              </w:rPr>
            </w:pPr>
            <w:r>
              <w:rPr>
                <w:color w:val="000000"/>
                <w:spacing w:val="4"/>
                <w:sz w:val="24"/>
              </w:rPr>
              <w:t>根据以上监测结果显示，水蛟溪水质能满足《地表水环境质量标准》（GB3838-2002）</w:t>
            </w:r>
            <w:r>
              <w:rPr>
                <w:sz w:val="24"/>
              </w:rPr>
              <w:t>Ⅲ</w:t>
            </w:r>
            <w:r>
              <w:rPr>
                <w:color w:val="000000"/>
                <w:spacing w:val="4"/>
                <w:sz w:val="24"/>
              </w:rPr>
              <w:t>类标准。</w:t>
            </w:r>
          </w:p>
          <w:p>
            <w:pPr>
              <w:adjustRightInd w:val="0"/>
              <w:snapToGrid w:val="0"/>
              <w:spacing w:line="540" w:lineRule="exact"/>
              <w:ind w:firstLine="480" w:firstLineChars="200"/>
              <w:rPr>
                <w:b/>
                <w:bCs/>
                <w:kern w:val="0"/>
                <w:sz w:val="24"/>
              </w:rPr>
            </w:pPr>
            <w:r>
              <w:rPr>
                <w:b/>
                <w:bCs/>
                <w:kern w:val="0"/>
                <w:sz w:val="24"/>
              </w:rPr>
              <w:t>4、生态环境现状</w:t>
            </w:r>
          </w:p>
          <w:p>
            <w:pPr>
              <w:adjustRightInd w:val="0"/>
              <w:snapToGrid w:val="0"/>
              <w:spacing w:line="540" w:lineRule="exact"/>
              <w:ind w:firstLine="480" w:firstLineChars="200"/>
              <w:rPr>
                <w:rFonts w:ascii="宋体" w:cs="宋体"/>
                <w:color w:val="auto"/>
                <w:kern w:val="0"/>
                <w:sz w:val="20"/>
              </w:rPr>
            </w:pPr>
            <w:r>
              <w:rPr>
                <w:kern w:val="0"/>
                <w:sz w:val="24"/>
              </w:rPr>
              <w:t>根据现场调查，项目所在区域周边主要为村庄，植被类型较简单，主要包括芒果树、椰子树等，生物多样性较简单。</w:t>
            </w:r>
          </w:p>
        </w:tc>
      </w:tr>
    </w:tbl>
    <w:p>
      <w:pPr>
        <w:sectPr>
          <w:footerReference w:type="default" r:id="rId19"/>
          <w:type w:val="nextPage"/>
          <w:pgSz w:w="11906" w:h="16838"/>
          <w:pgMar w:top="1440" w:right="1800" w:bottom="1440" w:left="1800" w:header="851" w:footer="992" w:gutter="0"/>
          <w:pgNumType w:fmt="decimal" w:start="12"/>
          <w:cols w:num="1" w:space="425"/>
          <w:titlePg w:val="0"/>
          <w:docGrid w:type="lines" w:linePitch="312" w:charSpace="0"/>
        </w:sectPr>
      </w:pPr>
    </w:p>
    <w:tbl>
      <w:tblPr>
        <w:tblStyle w:val="TableGrid4"/>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9540" w:type="dxa"/>
          </w:tcPr>
          <w:p>
            <w:pPr>
              <w:snapToGrid w:val="0"/>
              <w:spacing w:line="360" w:lineRule="auto"/>
              <w:rPr>
                <w:rFonts w:eastAsiaTheme="minorEastAsia"/>
                <w:b/>
                <w:kern w:val="0"/>
                <w:sz w:val="28"/>
                <w:szCs w:val="28"/>
              </w:rPr>
            </w:pPr>
            <w:r>
              <w:rPr>
                <w:rFonts w:eastAsiaTheme="minorEastAsia"/>
                <w:b/>
                <w:kern w:val="0"/>
                <w:sz w:val="28"/>
                <w:szCs w:val="28"/>
              </w:rPr>
              <w:t>主要环境保护目标(列出名单及保护级别)：</w:t>
            </w:r>
          </w:p>
          <w:p>
            <w:pPr>
              <w:pStyle w:val="NormalIndent"/>
              <w:adjustRightInd w:val="0"/>
              <w:snapToGrid w:val="0"/>
              <w:spacing w:line="540" w:lineRule="exact"/>
              <w:ind w:firstLine="480"/>
              <w:rPr>
                <w:rFonts w:eastAsiaTheme="minorEastAsia"/>
                <w:kern w:val="0"/>
                <w:sz w:val="24"/>
              </w:rPr>
            </w:pPr>
            <w:r>
              <w:rPr>
                <w:rFonts w:hint="eastAsia"/>
                <w:sz w:val="24"/>
              </w:rPr>
              <w:t>项目所在的区域没有重要的名胜古迹、文化遗迹及特殊保护的动植物等。其周边环境保护目标见下表。</w:t>
            </w:r>
          </w:p>
          <w:p>
            <w:pPr>
              <w:tabs>
                <w:tab w:val="left" w:pos="4785"/>
              </w:tabs>
              <w:ind w:firstLine="480" w:firstLineChars="200"/>
              <w:jc w:val="center"/>
              <w:rPr>
                <w:b/>
                <w:bCs/>
                <w:kern w:val="0"/>
                <w:sz w:val="24"/>
              </w:rPr>
            </w:pPr>
            <w:r>
              <w:rPr>
                <w:rFonts w:hint="eastAsia"/>
                <w:b/>
                <w:bCs/>
                <w:kern w:val="0"/>
                <w:sz w:val="24"/>
              </w:rPr>
              <w:t xml:space="preserve">表6 </w:t>
            </w:r>
            <w:r>
              <w:rPr>
                <w:b/>
                <w:bCs/>
                <w:kern w:val="0"/>
                <w:sz w:val="24"/>
              </w:rPr>
              <w:t xml:space="preserve"> </w:t>
            </w:r>
            <w:r>
              <w:rPr>
                <w:rFonts w:hint="eastAsia"/>
                <w:b/>
                <w:bCs/>
                <w:kern w:val="0"/>
                <w:sz w:val="24"/>
              </w:rPr>
              <w:t>环境空气保护目标</w:t>
            </w:r>
          </w:p>
          <w:tbl>
            <w:tblPr>
              <w:tblStyle w:val="TableNormal"/>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03"/>
              <w:gridCol w:w="846"/>
              <w:gridCol w:w="1543"/>
              <w:gridCol w:w="1374"/>
              <w:gridCol w:w="803"/>
              <w:gridCol w:w="1317"/>
              <w:gridCol w:w="1651"/>
              <w:gridCol w:w="1134"/>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3" w:type="dxa"/>
                  <w:vMerge w:val="restart"/>
                  <w:tcBorders>
                    <w:tl2br w:val="nil"/>
                    <w:tr2bl w:val="nil"/>
                  </w:tcBorders>
                  <w:vAlign w:val="center"/>
                </w:tcPr>
                <w:p>
                  <w:pPr>
                    <w:jc w:val="center"/>
                    <w:rPr>
                      <w:b/>
                      <w:bCs/>
                      <w:szCs w:val="21"/>
                    </w:rPr>
                  </w:pPr>
                  <w:r>
                    <w:rPr>
                      <w:rFonts w:hint="eastAsia"/>
                      <w:b/>
                      <w:bCs/>
                    </w:rPr>
                    <w:t>序号</w:t>
                  </w:r>
                </w:p>
              </w:tc>
              <w:tc>
                <w:tcPr>
                  <w:tcW w:w="846" w:type="dxa"/>
                  <w:vMerge w:val="restart"/>
                  <w:tcBorders>
                    <w:tl2br w:val="nil"/>
                    <w:tr2bl w:val="nil"/>
                  </w:tcBorders>
                  <w:vAlign w:val="center"/>
                </w:tcPr>
                <w:p>
                  <w:pPr>
                    <w:jc w:val="center"/>
                    <w:rPr>
                      <w:b/>
                      <w:bCs/>
                      <w:szCs w:val="21"/>
                    </w:rPr>
                  </w:pPr>
                  <w:r>
                    <w:rPr>
                      <w:rFonts w:hint="eastAsia"/>
                      <w:b/>
                      <w:bCs/>
                    </w:rPr>
                    <w:t>名称</w:t>
                  </w:r>
                </w:p>
              </w:tc>
              <w:tc>
                <w:tcPr>
                  <w:tcW w:w="2917" w:type="dxa"/>
                  <w:gridSpan w:val="2"/>
                  <w:tcBorders>
                    <w:tl2br w:val="nil"/>
                    <w:tr2bl w:val="nil"/>
                  </w:tcBorders>
                  <w:vAlign w:val="center"/>
                </w:tcPr>
                <w:p>
                  <w:pPr>
                    <w:jc w:val="center"/>
                    <w:rPr>
                      <w:b/>
                      <w:bCs/>
                      <w:szCs w:val="21"/>
                    </w:rPr>
                  </w:pPr>
                  <w:r>
                    <w:rPr>
                      <w:rFonts w:hint="eastAsia"/>
                      <w:b/>
                      <w:bCs/>
                    </w:rPr>
                    <w:t>坐标</w:t>
                  </w:r>
                </w:p>
              </w:tc>
              <w:tc>
                <w:tcPr>
                  <w:tcW w:w="803" w:type="dxa"/>
                  <w:vMerge w:val="restart"/>
                  <w:tcBorders>
                    <w:tl2br w:val="nil"/>
                    <w:tr2bl w:val="nil"/>
                  </w:tcBorders>
                  <w:vAlign w:val="center"/>
                </w:tcPr>
                <w:p>
                  <w:pPr>
                    <w:jc w:val="center"/>
                    <w:rPr>
                      <w:b/>
                      <w:bCs/>
                      <w:szCs w:val="21"/>
                    </w:rPr>
                  </w:pPr>
                  <w:r>
                    <w:rPr>
                      <w:rFonts w:hint="eastAsia"/>
                      <w:b/>
                      <w:bCs/>
                    </w:rPr>
                    <w:t>保护对象</w:t>
                  </w:r>
                </w:p>
              </w:tc>
              <w:tc>
                <w:tcPr>
                  <w:tcW w:w="1317" w:type="dxa"/>
                  <w:vMerge w:val="restart"/>
                  <w:tcBorders>
                    <w:tl2br w:val="nil"/>
                    <w:tr2bl w:val="nil"/>
                  </w:tcBorders>
                  <w:vAlign w:val="center"/>
                </w:tcPr>
                <w:p>
                  <w:pPr>
                    <w:jc w:val="center"/>
                    <w:rPr>
                      <w:b/>
                      <w:bCs/>
                      <w:szCs w:val="21"/>
                    </w:rPr>
                  </w:pPr>
                  <w:r>
                    <w:rPr>
                      <w:rFonts w:hint="eastAsia"/>
                      <w:b/>
                      <w:bCs/>
                    </w:rPr>
                    <w:t>环境功能区</w:t>
                  </w:r>
                </w:p>
              </w:tc>
              <w:tc>
                <w:tcPr>
                  <w:tcW w:w="1651" w:type="dxa"/>
                  <w:vMerge w:val="restart"/>
                  <w:tcBorders>
                    <w:tl2br w:val="nil"/>
                    <w:tr2bl w:val="nil"/>
                  </w:tcBorders>
                  <w:vAlign w:val="center"/>
                </w:tcPr>
                <w:p>
                  <w:pPr>
                    <w:jc w:val="center"/>
                    <w:rPr>
                      <w:b/>
                      <w:bCs/>
                      <w:szCs w:val="21"/>
                    </w:rPr>
                  </w:pPr>
                  <w:r>
                    <w:rPr>
                      <w:rFonts w:hint="eastAsia"/>
                      <w:b/>
                      <w:bCs/>
                    </w:rPr>
                    <w:t>相对项目方位</w:t>
                  </w:r>
                </w:p>
              </w:tc>
              <w:tc>
                <w:tcPr>
                  <w:tcW w:w="1134" w:type="dxa"/>
                  <w:vMerge w:val="restart"/>
                  <w:tcBorders>
                    <w:tl2br w:val="nil"/>
                    <w:tr2bl w:val="nil"/>
                  </w:tcBorders>
                  <w:vAlign w:val="center"/>
                </w:tcPr>
                <w:p>
                  <w:pPr>
                    <w:jc w:val="center"/>
                    <w:rPr>
                      <w:b/>
                      <w:bCs/>
                      <w:szCs w:val="21"/>
                    </w:rPr>
                  </w:pPr>
                  <w:r>
                    <w:rPr>
                      <w:rFonts w:hint="eastAsia"/>
                      <w:b/>
                      <w:bCs/>
                    </w:rPr>
                    <w:t>相对项目距离</w:t>
                  </w:r>
                  <w:r>
                    <w:rPr>
                      <w:b/>
                      <w:bCs/>
                    </w:rPr>
                    <w:t>/m</w:t>
                  </w:r>
                </w:p>
              </w:tc>
            </w:tr>
            <w:tr>
              <w:tblPrEx>
                <w:tblW w:w="9071" w:type="dxa"/>
                <w:jc w:val="center"/>
                <w:tblLayout w:type="fixed"/>
                <w:tblCellMar>
                  <w:top w:w="0" w:type="dxa"/>
                  <w:left w:w="108" w:type="dxa"/>
                  <w:bottom w:w="0" w:type="dxa"/>
                  <w:right w:w="108" w:type="dxa"/>
                </w:tblCellMar>
              </w:tblPrEx>
              <w:trPr>
                <w:jc w:val="center"/>
              </w:trPr>
              <w:tc>
                <w:tcPr>
                  <w:tcW w:w="403" w:type="dxa"/>
                  <w:vMerge/>
                  <w:tcBorders>
                    <w:tl2br w:val="nil"/>
                    <w:tr2bl w:val="nil"/>
                  </w:tcBorders>
                  <w:vAlign w:val="center"/>
                </w:tcPr>
                <w:p>
                  <w:pPr>
                    <w:widowControl/>
                    <w:jc w:val="left"/>
                    <w:rPr>
                      <w:b/>
                      <w:bCs/>
                      <w:szCs w:val="21"/>
                    </w:rPr>
                  </w:pPr>
                </w:p>
              </w:tc>
              <w:tc>
                <w:tcPr>
                  <w:tcW w:w="846" w:type="dxa"/>
                  <w:vMerge/>
                  <w:tcBorders>
                    <w:tl2br w:val="nil"/>
                    <w:tr2bl w:val="nil"/>
                  </w:tcBorders>
                  <w:vAlign w:val="center"/>
                </w:tcPr>
                <w:p>
                  <w:pPr>
                    <w:widowControl/>
                    <w:jc w:val="left"/>
                    <w:rPr>
                      <w:b/>
                      <w:bCs/>
                      <w:szCs w:val="21"/>
                    </w:rPr>
                  </w:pPr>
                </w:p>
              </w:tc>
              <w:tc>
                <w:tcPr>
                  <w:tcW w:w="1543" w:type="dxa"/>
                  <w:tcBorders>
                    <w:tl2br w:val="nil"/>
                    <w:tr2bl w:val="nil"/>
                  </w:tcBorders>
                  <w:vAlign w:val="center"/>
                </w:tcPr>
                <w:p>
                  <w:pPr>
                    <w:jc w:val="center"/>
                    <w:rPr>
                      <w:b/>
                      <w:bCs/>
                      <w:szCs w:val="21"/>
                    </w:rPr>
                  </w:pPr>
                  <w:r>
                    <w:rPr>
                      <w:rFonts w:hint="eastAsia"/>
                      <w:b/>
                      <w:bCs/>
                    </w:rPr>
                    <w:t>经度</w:t>
                  </w:r>
                </w:p>
              </w:tc>
              <w:tc>
                <w:tcPr>
                  <w:tcW w:w="1374" w:type="dxa"/>
                  <w:tcBorders>
                    <w:tl2br w:val="nil"/>
                    <w:tr2bl w:val="nil"/>
                  </w:tcBorders>
                  <w:vAlign w:val="center"/>
                </w:tcPr>
                <w:p>
                  <w:pPr>
                    <w:jc w:val="center"/>
                    <w:rPr>
                      <w:b/>
                      <w:bCs/>
                      <w:szCs w:val="21"/>
                    </w:rPr>
                  </w:pPr>
                  <w:r>
                    <w:rPr>
                      <w:rFonts w:hint="eastAsia"/>
                      <w:b/>
                      <w:bCs/>
                    </w:rPr>
                    <w:t>纬度</w:t>
                  </w:r>
                </w:p>
              </w:tc>
              <w:tc>
                <w:tcPr>
                  <w:tcW w:w="803" w:type="dxa"/>
                  <w:vMerge/>
                  <w:tcBorders>
                    <w:tl2br w:val="nil"/>
                    <w:tr2bl w:val="nil"/>
                  </w:tcBorders>
                  <w:vAlign w:val="center"/>
                </w:tcPr>
                <w:p>
                  <w:pPr>
                    <w:widowControl/>
                    <w:jc w:val="left"/>
                    <w:rPr>
                      <w:b/>
                      <w:bCs/>
                      <w:szCs w:val="21"/>
                    </w:rPr>
                  </w:pPr>
                </w:p>
              </w:tc>
              <w:tc>
                <w:tcPr>
                  <w:tcW w:w="1317" w:type="dxa"/>
                  <w:vMerge/>
                  <w:tcBorders>
                    <w:tl2br w:val="nil"/>
                    <w:tr2bl w:val="nil"/>
                  </w:tcBorders>
                  <w:vAlign w:val="center"/>
                </w:tcPr>
                <w:p>
                  <w:pPr>
                    <w:widowControl/>
                    <w:jc w:val="left"/>
                    <w:rPr>
                      <w:b/>
                      <w:bCs/>
                      <w:szCs w:val="21"/>
                    </w:rPr>
                  </w:pPr>
                </w:p>
              </w:tc>
              <w:tc>
                <w:tcPr>
                  <w:tcW w:w="1651" w:type="dxa"/>
                  <w:vMerge/>
                  <w:tcBorders>
                    <w:tl2br w:val="nil"/>
                    <w:tr2bl w:val="nil"/>
                  </w:tcBorders>
                  <w:vAlign w:val="center"/>
                </w:tcPr>
                <w:p>
                  <w:pPr>
                    <w:widowControl/>
                    <w:jc w:val="left"/>
                    <w:rPr>
                      <w:b/>
                      <w:bCs/>
                      <w:szCs w:val="21"/>
                    </w:rPr>
                  </w:pPr>
                </w:p>
              </w:tc>
              <w:tc>
                <w:tcPr>
                  <w:tcW w:w="1134" w:type="dxa"/>
                  <w:vMerge/>
                  <w:tcBorders>
                    <w:tl2br w:val="nil"/>
                    <w:tr2bl w:val="nil"/>
                  </w:tcBorders>
                  <w:vAlign w:val="center"/>
                </w:tcPr>
                <w:p>
                  <w:pPr>
                    <w:widowControl/>
                    <w:jc w:val="left"/>
                    <w:rPr>
                      <w:b/>
                      <w:bCs/>
                      <w:szCs w:val="21"/>
                    </w:rPr>
                  </w:pPr>
                </w:p>
              </w:tc>
            </w:tr>
            <w:tr>
              <w:tblPrEx>
                <w:tblW w:w="9071" w:type="dxa"/>
                <w:jc w:val="center"/>
                <w:tblLayout w:type="fixed"/>
                <w:tblCellMar>
                  <w:top w:w="0" w:type="dxa"/>
                  <w:left w:w="108" w:type="dxa"/>
                  <w:bottom w:w="0" w:type="dxa"/>
                  <w:right w:w="108" w:type="dxa"/>
                </w:tblCellMar>
              </w:tblPrEx>
              <w:trPr>
                <w:jc w:val="center"/>
              </w:trPr>
              <w:tc>
                <w:tcPr>
                  <w:tcW w:w="403" w:type="dxa"/>
                  <w:tcBorders>
                    <w:tl2br w:val="nil"/>
                    <w:tr2bl w:val="nil"/>
                  </w:tcBorders>
                  <w:vAlign w:val="center"/>
                </w:tcPr>
                <w:p>
                  <w:pPr>
                    <w:widowControl/>
                    <w:jc w:val="center"/>
                    <w:textAlignment w:val="center"/>
                    <w:rPr>
                      <w:szCs w:val="21"/>
                    </w:rPr>
                  </w:pPr>
                  <w:r>
                    <w:rPr>
                      <w:kern w:val="0"/>
                    </w:rPr>
                    <w:t>1</w:t>
                  </w:r>
                </w:p>
              </w:tc>
              <w:tc>
                <w:tcPr>
                  <w:tcW w:w="846" w:type="dxa"/>
                  <w:tcBorders>
                    <w:tl2br w:val="nil"/>
                    <w:tr2bl w:val="nil"/>
                  </w:tcBorders>
                  <w:vAlign w:val="center"/>
                </w:tcPr>
                <w:p>
                  <w:pPr>
                    <w:jc w:val="center"/>
                    <w:rPr>
                      <w:szCs w:val="21"/>
                    </w:rPr>
                  </w:pPr>
                  <w:r>
                    <w:rPr>
                      <w:rFonts w:hint="eastAsia"/>
                    </w:rPr>
                    <w:t>木棉村</w:t>
                  </w:r>
                </w:p>
              </w:tc>
              <w:tc>
                <w:tcPr>
                  <w:tcW w:w="1543" w:type="dxa"/>
                  <w:tcBorders>
                    <w:tl2br w:val="nil"/>
                    <w:tr2bl w:val="nil"/>
                  </w:tcBorders>
                  <w:vAlign w:val="center"/>
                </w:tcPr>
                <w:p>
                  <w:pPr>
                    <w:jc w:val="center"/>
                    <w:rPr>
                      <w:szCs w:val="21"/>
                    </w:rPr>
                  </w:pPr>
                  <w:r>
                    <w:t>109°26′10.12″</w:t>
                  </w:r>
                </w:p>
              </w:tc>
              <w:tc>
                <w:tcPr>
                  <w:tcW w:w="1374" w:type="dxa"/>
                  <w:tcBorders>
                    <w:tl2br w:val="nil"/>
                    <w:tr2bl w:val="nil"/>
                  </w:tcBorders>
                  <w:vAlign w:val="center"/>
                </w:tcPr>
                <w:p>
                  <w:pPr>
                    <w:jc w:val="center"/>
                    <w:rPr>
                      <w:szCs w:val="21"/>
                    </w:rPr>
                  </w:pPr>
                  <w:r>
                    <w:t>18°20′58.85″</w:t>
                  </w:r>
                </w:p>
              </w:tc>
              <w:tc>
                <w:tcPr>
                  <w:tcW w:w="803" w:type="dxa"/>
                  <w:tcBorders>
                    <w:tl2br w:val="nil"/>
                    <w:tr2bl w:val="nil"/>
                  </w:tcBorders>
                  <w:vAlign w:val="center"/>
                </w:tcPr>
                <w:p>
                  <w:pPr>
                    <w:jc w:val="center"/>
                    <w:rPr>
                      <w:szCs w:val="21"/>
                    </w:rPr>
                  </w:pPr>
                  <w:r>
                    <w:rPr>
                      <w:rFonts w:ascii="宋体" w:hAnsi="宋体" w:cs="宋体" w:hint="eastAsia"/>
                      <w:szCs w:val="21"/>
                    </w:rPr>
                    <w:t>居住</w:t>
                  </w:r>
                </w:p>
              </w:tc>
              <w:tc>
                <w:tcPr>
                  <w:tcW w:w="1317" w:type="dxa"/>
                  <w:vMerge w:val="restart"/>
                  <w:tcBorders>
                    <w:tl2br w:val="nil"/>
                    <w:tr2bl w:val="nil"/>
                  </w:tcBorders>
                  <w:vAlign w:val="center"/>
                </w:tcPr>
                <w:p>
                  <w:pPr>
                    <w:jc w:val="center"/>
                    <w:rPr>
                      <w:szCs w:val="21"/>
                    </w:rPr>
                  </w:pPr>
                  <w:r>
                    <w:rPr>
                      <w:szCs w:val="21"/>
                    </w:rPr>
                    <w:t>《环境空气质量标准》（GB3095-2012）及修改单二类功能区</w:t>
                  </w:r>
                </w:p>
              </w:tc>
              <w:tc>
                <w:tcPr>
                  <w:tcW w:w="1651" w:type="dxa"/>
                  <w:tcBorders>
                    <w:tl2br w:val="nil"/>
                    <w:tr2bl w:val="nil"/>
                  </w:tcBorders>
                  <w:vAlign w:val="center"/>
                </w:tcPr>
                <w:p>
                  <w:pPr>
                    <w:pStyle w:val="CommentText"/>
                    <w:jc w:val="center"/>
                    <w:rPr>
                      <w:szCs w:val="21"/>
                    </w:rPr>
                  </w:pPr>
                  <w:r>
                    <w:rPr>
                      <w:rFonts w:hint="eastAsia"/>
                      <w:szCs w:val="21"/>
                    </w:rPr>
                    <w:t>水蛟路左侧K1+380-K1+800</w:t>
                  </w:r>
                </w:p>
              </w:tc>
              <w:tc>
                <w:tcPr>
                  <w:tcW w:w="1134" w:type="dxa"/>
                  <w:tcBorders>
                    <w:tl2br w:val="nil"/>
                    <w:tr2bl w:val="nil"/>
                  </w:tcBorders>
                  <w:vAlign w:val="center"/>
                </w:tcPr>
                <w:p>
                  <w:pPr>
                    <w:jc w:val="center"/>
                    <w:rPr>
                      <w:szCs w:val="21"/>
                    </w:rPr>
                  </w:pPr>
                  <w:r>
                    <w:rPr>
                      <w:rFonts w:hint="eastAsia"/>
                    </w:rPr>
                    <w:t>20</w:t>
                  </w:r>
                </w:p>
              </w:tc>
            </w:tr>
            <w:tr>
              <w:tblPrEx>
                <w:tblW w:w="9071" w:type="dxa"/>
                <w:jc w:val="center"/>
                <w:tblLayout w:type="fixed"/>
                <w:tblCellMar>
                  <w:top w:w="0" w:type="dxa"/>
                  <w:left w:w="108" w:type="dxa"/>
                  <w:bottom w:w="0" w:type="dxa"/>
                  <w:right w:w="108" w:type="dxa"/>
                </w:tblCellMar>
              </w:tblPrEx>
              <w:trPr>
                <w:trHeight w:val="358"/>
                <w:jc w:val="center"/>
              </w:trPr>
              <w:tc>
                <w:tcPr>
                  <w:tcW w:w="403" w:type="dxa"/>
                  <w:tcBorders>
                    <w:tl2br w:val="nil"/>
                    <w:tr2bl w:val="nil"/>
                  </w:tcBorders>
                  <w:vAlign w:val="center"/>
                </w:tcPr>
                <w:p>
                  <w:pPr>
                    <w:widowControl/>
                    <w:jc w:val="center"/>
                    <w:textAlignment w:val="center"/>
                    <w:rPr>
                      <w:rFonts w:hint="eastAsia"/>
                      <w:szCs w:val="21"/>
                    </w:rPr>
                  </w:pPr>
                  <w:r>
                    <w:rPr>
                      <w:rFonts w:hint="eastAsia"/>
                      <w:kern w:val="0"/>
                      <w:lang w:val="en-US" w:eastAsia="zh-CN"/>
                    </w:rPr>
                    <w:t>2</w:t>
                  </w:r>
                </w:p>
              </w:tc>
              <w:tc>
                <w:tcPr>
                  <w:tcW w:w="846" w:type="dxa"/>
                  <w:tcBorders>
                    <w:tl2br w:val="nil"/>
                    <w:tr2bl w:val="nil"/>
                  </w:tcBorders>
                  <w:vAlign w:val="center"/>
                </w:tcPr>
                <w:p>
                  <w:pPr>
                    <w:jc w:val="center"/>
                    <w:rPr>
                      <w:szCs w:val="21"/>
                    </w:rPr>
                  </w:pPr>
                  <w:r>
                    <w:rPr>
                      <w:rFonts w:hint="eastAsia"/>
                    </w:rPr>
                    <w:t>抱密村</w:t>
                  </w:r>
                </w:p>
              </w:tc>
              <w:tc>
                <w:tcPr>
                  <w:tcW w:w="1543" w:type="dxa"/>
                  <w:tcBorders>
                    <w:tl2br w:val="nil"/>
                    <w:tr2bl w:val="nil"/>
                  </w:tcBorders>
                  <w:vAlign w:val="center"/>
                </w:tcPr>
                <w:p>
                  <w:pPr>
                    <w:jc w:val="center"/>
                    <w:rPr>
                      <w:szCs w:val="21"/>
                    </w:rPr>
                  </w:pPr>
                  <w:r>
                    <w:t>109°26′20.</w:t>
                  </w:r>
                  <w:r>
                    <w:rPr>
                      <w:rFonts w:hint="eastAsia"/>
                    </w:rPr>
                    <w:t>8</w:t>
                  </w:r>
                  <w:r>
                    <w:t>2″</w:t>
                  </w:r>
                </w:p>
              </w:tc>
              <w:tc>
                <w:tcPr>
                  <w:tcW w:w="1374" w:type="dxa"/>
                  <w:tcBorders>
                    <w:tl2br w:val="nil"/>
                    <w:tr2bl w:val="nil"/>
                  </w:tcBorders>
                  <w:vAlign w:val="center"/>
                </w:tcPr>
                <w:p>
                  <w:pPr>
                    <w:jc w:val="center"/>
                    <w:rPr>
                      <w:szCs w:val="21"/>
                    </w:rPr>
                  </w:pPr>
                  <w:r>
                    <w:t>18°20′40.</w:t>
                  </w:r>
                  <w:r>
                    <w:rPr>
                      <w:rFonts w:hint="eastAsia"/>
                    </w:rPr>
                    <w:t>8</w:t>
                  </w:r>
                  <w:r>
                    <w:t>7″</w:t>
                  </w:r>
                </w:p>
              </w:tc>
              <w:tc>
                <w:tcPr>
                  <w:tcW w:w="803" w:type="dxa"/>
                  <w:tcBorders>
                    <w:tl2br w:val="nil"/>
                    <w:tr2bl w:val="nil"/>
                  </w:tcBorders>
                  <w:vAlign w:val="center"/>
                </w:tcPr>
                <w:p>
                  <w:pPr>
                    <w:jc w:val="center"/>
                    <w:rPr>
                      <w:szCs w:val="21"/>
                    </w:rPr>
                  </w:pPr>
                  <w:r>
                    <w:rPr>
                      <w:rFonts w:ascii="宋体" w:hAnsi="宋体" w:cs="宋体" w:hint="eastAsia"/>
                      <w:szCs w:val="21"/>
                    </w:rPr>
                    <w:t>居住</w:t>
                  </w:r>
                </w:p>
              </w:tc>
              <w:tc>
                <w:tcPr>
                  <w:tcW w:w="1317" w:type="dxa"/>
                  <w:vMerge/>
                  <w:tcBorders>
                    <w:tl2br w:val="nil"/>
                    <w:tr2bl w:val="nil"/>
                  </w:tcBorders>
                  <w:vAlign w:val="center"/>
                </w:tcPr>
                <w:p>
                  <w:pPr>
                    <w:widowControl/>
                    <w:jc w:val="left"/>
                    <w:rPr>
                      <w:szCs w:val="21"/>
                    </w:rPr>
                  </w:pPr>
                </w:p>
              </w:tc>
              <w:tc>
                <w:tcPr>
                  <w:tcW w:w="1651" w:type="dxa"/>
                  <w:tcBorders>
                    <w:tl2br w:val="nil"/>
                    <w:tr2bl w:val="nil"/>
                  </w:tcBorders>
                  <w:vAlign w:val="center"/>
                </w:tcPr>
                <w:p>
                  <w:pPr>
                    <w:pStyle w:val="CommentText"/>
                    <w:jc w:val="center"/>
                    <w:rPr>
                      <w:szCs w:val="21"/>
                    </w:rPr>
                  </w:pPr>
                  <w:r>
                    <w:rPr>
                      <w:rFonts w:hint="eastAsia"/>
                      <w:szCs w:val="21"/>
                    </w:rPr>
                    <w:t>水蛟路右侧K0+620-K1+240</w:t>
                  </w:r>
                </w:p>
              </w:tc>
              <w:tc>
                <w:tcPr>
                  <w:tcW w:w="1134" w:type="dxa"/>
                  <w:tcBorders>
                    <w:tl2br w:val="nil"/>
                    <w:tr2bl w:val="nil"/>
                  </w:tcBorders>
                  <w:vAlign w:val="center"/>
                </w:tcPr>
                <w:p>
                  <w:pPr>
                    <w:jc w:val="center"/>
                    <w:rPr>
                      <w:szCs w:val="21"/>
                    </w:rPr>
                  </w:pPr>
                  <w:r>
                    <w:rPr>
                      <w:rFonts w:hint="eastAsia"/>
                    </w:rPr>
                    <w:t>50</w:t>
                  </w:r>
                </w:p>
              </w:tc>
            </w:tr>
            <w:tr>
              <w:tblPrEx>
                <w:tblW w:w="9071" w:type="dxa"/>
                <w:jc w:val="center"/>
                <w:tblLayout w:type="fixed"/>
                <w:tblCellMar>
                  <w:top w:w="0" w:type="dxa"/>
                  <w:left w:w="108" w:type="dxa"/>
                  <w:bottom w:w="0" w:type="dxa"/>
                  <w:right w:w="108" w:type="dxa"/>
                </w:tblCellMar>
              </w:tblPrEx>
              <w:trPr>
                <w:trHeight w:val="537"/>
                <w:jc w:val="center"/>
              </w:trPr>
              <w:tc>
                <w:tcPr>
                  <w:tcW w:w="403" w:type="dxa"/>
                  <w:tcBorders>
                    <w:tl2br w:val="nil"/>
                    <w:tr2bl w:val="nil"/>
                  </w:tcBorders>
                  <w:vAlign w:val="center"/>
                </w:tcPr>
                <w:p>
                  <w:pPr>
                    <w:widowControl/>
                    <w:jc w:val="center"/>
                    <w:textAlignment w:val="center"/>
                    <w:rPr>
                      <w:rFonts w:hint="eastAsia"/>
                      <w:kern w:val="0"/>
                    </w:rPr>
                  </w:pPr>
                  <w:r>
                    <w:rPr>
                      <w:rFonts w:hint="eastAsia"/>
                      <w:kern w:val="0"/>
                      <w:lang w:val="en-US" w:eastAsia="zh-CN"/>
                    </w:rPr>
                    <w:t>3</w:t>
                  </w:r>
                </w:p>
              </w:tc>
              <w:tc>
                <w:tcPr>
                  <w:tcW w:w="846" w:type="dxa"/>
                  <w:tcBorders>
                    <w:tl2br w:val="nil"/>
                    <w:tr2bl w:val="nil"/>
                  </w:tcBorders>
                  <w:vAlign w:val="center"/>
                </w:tcPr>
                <w:p>
                  <w:pPr>
                    <w:jc w:val="center"/>
                    <w:rPr>
                      <w:szCs w:val="21"/>
                    </w:rPr>
                  </w:pPr>
                  <w:r>
                    <w:rPr>
                      <w:rFonts w:hint="eastAsia"/>
                    </w:rPr>
                    <w:t>白超村</w:t>
                  </w:r>
                </w:p>
              </w:tc>
              <w:tc>
                <w:tcPr>
                  <w:tcW w:w="1543" w:type="dxa"/>
                  <w:tcBorders>
                    <w:tl2br w:val="nil"/>
                    <w:tr2bl w:val="nil"/>
                  </w:tcBorders>
                  <w:vAlign w:val="center"/>
                </w:tcPr>
                <w:p>
                  <w:pPr>
                    <w:jc w:val="center"/>
                    <w:rPr>
                      <w:szCs w:val="21"/>
                    </w:rPr>
                  </w:pPr>
                  <w:r>
                    <w:rPr>
                      <w:szCs w:val="21"/>
                    </w:rPr>
                    <w:t>109°26′20.52″</w:t>
                  </w:r>
                </w:p>
              </w:tc>
              <w:tc>
                <w:tcPr>
                  <w:tcW w:w="1374" w:type="dxa"/>
                  <w:tcBorders>
                    <w:tl2br w:val="nil"/>
                    <w:tr2bl w:val="nil"/>
                  </w:tcBorders>
                  <w:vAlign w:val="center"/>
                </w:tcPr>
                <w:p>
                  <w:pPr>
                    <w:jc w:val="center"/>
                    <w:rPr>
                      <w:szCs w:val="21"/>
                    </w:rPr>
                  </w:pPr>
                  <w:r>
                    <w:rPr>
                      <w:szCs w:val="21"/>
                    </w:rPr>
                    <w:t>18°20′15.97″</w:t>
                  </w:r>
                </w:p>
              </w:tc>
              <w:tc>
                <w:tcPr>
                  <w:tcW w:w="803" w:type="dxa"/>
                  <w:tcBorders>
                    <w:tl2br w:val="nil"/>
                    <w:tr2bl w:val="nil"/>
                  </w:tcBorders>
                  <w:vAlign w:val="center"/>
                </w:tcPr>
                <w:p>
                  <w:pPr>
                    <w:jc w:val="center"/>
                    <w:rPr>
                      <w:szCs w:val="21"/>
                    </w:rPr>
                  </w:pPr>
                  <w:r>
                    <w:rPr>
                      <w:rFonts w:ascii="宋体" w:hAnsi="宋体" w:cs="宋体" w:hint="eastAsia"/>
                      <w:szCs w:val="21"/>
                    </w:rPr>
                    <w:t>居住</w:t>
                  </w:r>
                </w:p>
              </w:tc>
              <w:tc>
                <w:tcPr>
                  <w:tcW w:w="1317" w:type="dxa"/>
                  <w:vMerge/>
                  <w:tcBorders>
                    <w:tl2br w:val="nil"/>
                    <w:tr2bl w:val="nil"/>
                  </w:tcBorders>
                  <w:vAlign w:val="center"/>
                </w:tcPr>
                <w:p>
                  <w:pPr>
                    <w:widowControl/>
                    <w:jc w:val="left"/>
                    <w:rPr>
                      <w:szCs w:val="21"/>
                    </w:rPr>
                  </w:pPr>
                </w:p>
              </w:tc>
              <w:tc>
                <w:tcPr>
                  <w:tcW w:w="1651" w:type="dxa"/>
                  <w:tcBorders>
                    <w:tl2br w:val="nil"/>
                    <w:tr2bl w:val="nil"/>
                  </w:tcBorders>
                  <w:vAlign w:val="center"/>
                </w:tcPr>
                <w:p>
                  <w:pPr>
                    <w:pStyle w:val="CommentText"/>
                    <w:jc w:val="center"/>
                    <w:rPr>
                      <w:szCs w:val="21"/>
                    </w:rPr>
                  </w:pPr>
                  <w:r>
                    <w:rPr>
                      <w:rFonts w:hint="eastAsia"/>
                      <w:szCs w:val="21"/>
                    </w:rPr>
                    <w:t>水蛟路南侧K0+000</w:t>
                  </w:r>
                </w:p>
              </w:tc>
              <w:tc>
                <w:tcPr>
                  <w:tcW w:w="1134" w:type="dxa"/>
                  <w:tcBorders>
                    <w:tl2br w:val="nil"/>
                    <w:tr2bl w:val="nil"/>
                  </w:tcBorders>
                  <w:vAlign w:val="center"/>
                </w:tcPr>
                <w:p>
                  <w:pPr>
                    <w:jc w:val="center"/>
                    <w:rPr>
                      <w:szCs w:val="21"/>
                    </w:rPr>
                  </w:pPr>
                  <w:r>
                    <w:rPr>
                      <w:rFonts w:hint="eastAsia"/>
                    </w:rPr>
                    <w:t>20</w:t>
                  </w:r>
                </w:p>
              </w:tc>
            </w:tr>
          </w:tbl>
          <w:p>
            <w:pPr>
              <w:tabs>
                <w:tab w:val="left" w:pos="4785"/>
              </w:tabs>
              <w:jc w:val="center"/>
              <w:rPr>
                <w:b/>
                <w:bCs/>
                <w:kern w:val="0"/>
                <w:sz w:val="24"/>
              </w:rPr>
            </w:pPr>
            <w:r>
              <w:rPr>
                <w:rFonts w:hint="eastAsia"/>
                <w:b/>
                <w:bCs/>
                <w:kern w:val="0"/>
                <w:sz w:val="24"/>
              </w:rPr>
              <w:t>表7 声环境保护对象</w:t>
            </w:r>
          </w:p>
          <w:tbl>
            <w:tblPr>
              <w:tblStyle w:val="TableGrid4"/>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46"/>
              <w:gridCol w:w="1524"/>
              <w:gridCol w:w="2443"/>
              <w:gridCol w:w="1184"/>
              <w:gridCol w:w="1198"/>
              <w:gridCol w:w="2176"/>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38"/>
                <w:jc w:val="center"/>
              </w:trPr>
              <w:tc>
                <w:tcPr>
                  <w:tcW w:w="546" w:type="dxa"/>
                  <w:tcBorders>
                    <w:tl2br w:val="nil"/>
                    <w:tr2bl w:val="nil"/>
                  </w:tcBorders>
                  <w:vAlign w:val="center"/>
                </w:tcPr>
                <w:p>
                  <w:pPr>
                    <w:pStyle w:val="List"/>
                    <w:ind w:left="0" w:firstLine="0" w:firstLineChars="0"/>
                    <w:jc w:val="center"/>
                    <w:rPr>
                      <w:b/>
                      <w:bCs/>
                      <w:szCs w:val="21"/>
                    </w:rPr>
                  </w:pPr>
                  <w:r>
                    <w:rPr>
                      <w:rFonts w:hint="eastAsia"/>
                      <w:b/>
                      <w:bCs/>
                      <w:szCs w:val="21"/>
                    </w:rPr>
                    <w:t>序号</w:t>
                  </w:r>
                </w:p>
              </w:tc>
              <w:tc>
                <w:tcPr>
                  <w:tcW w:w="1524" w:type="dxa"/>
                  <w:tcBorders>
                    <w:tl2br w:val="nil"/>
                    <w:tr2bl w:val="nil"/>
                  </w:tcBorders>
                  <w:vAlign w:val="center"/>
                </w:tcPr>
                <w:p>
                  <w:pPr>
                    <w:pStyle w:val="List"/>
                    <w:ind w:left="0" w:firstLine="0" w:firstLineChars="0"/>
                    <w:jc w:val="center"/>
                    <w:rPr>
                      <w:szCs w:val="21"/>
                    </w:rPr>
                  </w:pPr>
                  <w:r>
                    <w:rPr>
                      <w:rFonts w:hint="eastAsia"/>
                      <w:b/>
                      <w:bCs/>
                      <w:szCs w:val="21"/>
                    </w:rPr>
                    <w:t>环境保护目标</w:t>
                  </w:r>
                </w:p>
              </w:tc>
              <w:tc>
                <w:tcPr>
                  <w:tcW w:w="2443" w:type="dxa"/>
                  <w:tcBorders>
                    <w:tl2br w:val="nil"/>
                    <w:tr2bl w:val="nil"/>
                  </w:tcBorders>
                  <w:vAlign w:val="center"/>
                </w:tcPr>
                <w:p>
                  <w:pPr>
                    <w:pStyle w:val="List"/>
                    <w:ind w:left="0" w:firstLine="0" w:firstLineChars="0"/>
                    <w:jc w:val="center"/>
                    <w:rPr>
                      <w:szCs w:val="21"/>
                    </w:rPr>
                  </w:pPr>
                  <w:r>
                    <w:rPr>
                      <w:rFonts w:hint="eastAsia"/>
                      <w:b/>
                      <w:bCs/>
                      <w:szCs w:val="21"/>
                    </w:rPr>
                    <w:t>相对项目方位</w:t>
                  </w:r>
                </w:p>
              </w:tc>
              <w:tc>
                <w:tcPr>
                  <w:tcW w:w="1184" w:type="dxa"/>
                  <w:tcBorders>
                    <w:tl2br w:val="nil"/>
                    <w:tr2bl w:val="nil"/>
                  </w:tcBorders>
                  <w:vAlign w:val="center"/>
                </w:tcPr>
                <w:p>
                  <w:pPr>
                    <w:pStyle w:val="List"/>
                    <w:ind w:left="0" w:firstLine="0" w:firstLineChars="0"/>
                    <w:jc w:val="center"/>
                    <w:rPr>
                      <w:szCs w:val="21"/>
                    </w:rPr>
                  </w:pPr>
                  <w:r>
                    <w:rPr>
                      <w:rFonts w:hint="eastAsia"/>
                      <w:b/>
                      <w:bCs/>
                    </w:rPr>
                    <w:t>相对项目距离</w:t>
                  </w:r>
                  <w:r>
                    <w:rPr>
                      <w:rFonts w:hint="eastAsia"/>
                      <w:b/>
                      <w:bCs/>
                      <w:szCs w:val="21"/>
                    </w:rPr>
                    <w:t>(</w:t>
                  </w:r>
                  <w:r>
                    <w:rPr>
                      <w:b/>
                      <w:bCs/>
                      <w:szCs w:val="21"/>
                    </w:rPr>
                    <w:t>m)</w:t>
                  </w:r>
                </w:p>
              </w:tc>
              <w:tc>
                <w:tcPr>
                  <w:tcW w:w="1198" w:type="dxa"/>
                  <w:tcBorders>
                    <w:tl2br w:val="nil"/>
                    <w:tr2bl w:val="nil"/>
                  </w:tcBorders>
                  <w:vAlign w:val="center"/>
                </w:tcPr>
                <w:p>
                  <w:pPr>
                    <w:pStyle w:val="List"/>
                    <w:ind w:left="0" w:firstLine="0" w:firstLineChars="0"/>
                    <w:jc w:val="center"/>
                    <w:rPr>
                      <w:b/>
                      <w:bCs/>
                      <w:szCs w:val="21"/>
                    </w:rPr>
                  </w:pPr>
                  <w:r>
                    <w:rPr>
                      <w:rFonts w:hint="eastAsia"/>
                      <w:b/>
                      <w:bCs/>
                      <w:szCs w:val="21"/>
                    </w:rPr>
                    <w:t>环境</w:t>
                  </w:r>
                </w:p>
                <w:p>
                  <w:pPr>
                    <w:pStyle w:val="List"/>
                    <w:ind w:left="0" w:firstLine="0" w:firstLineChars="0"/>
                    <w:jc w:val="center"/>
                    <w:rPr>
                      <w:szCs w:val="21"/>
                    </w:rPr>
                  </w:pPr>
                  <w:r>
                    <w:rPr>
                      <w:rFonts w:hint="eastAsia"/>
                      <w:b/>
                      <w:bCs/>
                      <w:szCs w:val="21"/>
                    </w:rPr>
                    <w:t>功能</w:t>
                  </w:r>
                </w:p>
              </w:tc>
              <w:tc>
                <w:tcPr>
                  <w:tcW w:w="2176" w:type="dxa"/>
                  <w:tcBorders>
                    <w:tl2br w:val="nil"/>
                    <w:tr2bl w:val="nil"/>
                  </w:tcBorders>
                  <w:vAlign w:val="center"/>
                </w:tcPr>
                <w:p>
                  <w:pPr>
                    <w:pStyle w:val="List"/>
                    <w:ind w:left="0" w:firstLine="0" w:firstLineChars="0"/>
                    <w:jc w:val="center"/>
                    <w:rPr>
                      <w:szCs w:val="21"/>
                    </w:rPr>
                  </w:pPr>
                  <w:r>
                    <w:rPr>
                      <w:rFonts w:hint="eastAsia"/>
                      <w:b/>
                      <w:bCs/>
                      <w:szCs w:val="21"/>
                    </w:rPr>
                    <w:t>保护等级</w:t>
                  </w:r>
                </w:p>
              </w:tc>
            </w:tr>
            <w:tr>
              <w:tblPrEx>
                <w:tblW w:w="9071" w:type="dxa"/>
                <w:jc w:val="center"/>
                <w:tblLayout w:type="fixed"/>
                <w:tblCellMar>
                  <w:top w:w="0" w:type="dxa"/>
                  <w:left w:w="108" w:type="dxa"/>
                  <w:bottom w:w="0" w:type="dxa"/>
                  <w:right w:w="108" w:type="dxa"/>
                </w:tblCellMar>
              </w:tblPrEx>
              <w:trPr>
                <w:trHeight w:val="457"/>
                <w:jc w:val="center"/>
              </w:trPr>
              <w:tc>
                <w:tcPr>
                  <w:tcW w:w="546"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524" w:type="dxa"/>
                  <w:tcBorders>
                    <w:tl2br w:val="nil"/>
                    <w:tr2bl w:val="nil"/>
                  </w:tcBorders>
                  <w:vAlign w:val="center"/>
                </w:tcPr>
                <w:p>
                  <w:pPr>
                    <w:jc w:val="center"/>
                    <w:rPr>
                      <w:szCs w:val="21"/>
                    </w:rPr>
                  </w:pPr>
                  <w:r>
                    <w:rPr>
                      <w:rFonts w:hint="eastAsia"/>
                    </w:rPr>
                    <w:t>木棉村</w:t>
                  </w:r>
                </w:p>
              </w:tc>
              <w:tc>
                <w:tcPr>
                  <w:tcW w:w="2443" w:type="dxa"/>
                  <w:tcBorders>
                    <w:tl2br w:val="nil"/>
                    <w:tr2bl w:val="nil"/>
                  </w:tcBorders>
                  <w:vAlign w:val="center"/>
                </w:tcPr>
                <w:p>
                  <w:pPr>
                    <w:pStyle w:val="CommentText"/>
                    <w:jc w:val="center"/>
                    <w:rPr>
                      <w:szCs w:val="21"/>
                    </w:rPr>
                  </w:pPr>
                  <w:r>
                    <w:rPr>
                      <w:rFonts w:hint="eastAsia"/>
                      <w:szCs w:val="21"/>
                    </w:rPr>
                    <w:t>水蛟路左侧K1+380-K1+800</w:t>
                  </w:r>
                </w:p>
              </w:tc>
              <w:tc>
                <w:tcPr>
                  <w:tcW w:w="1184" w:type="dxa"/>
                  <w:tcBorders>
                    <w:tl2br w:val="nil"/>
                    <w:tr2bl w:val="nil"/>
                  </w:tcBorders>
                  <w:vAlign w:val="center"/>
                </w:tcPr>
                <w:p>
                  <w:pPr>
                    <w:jc w:val="center"/>
                    <w:rPr>
                      <w:szCs w:val="21"/>
                    </w:rPr>
                  </w:pPr>
                  <w:r>
                    <w:rPr>
                      <w:rFonts w:hint="eastAsia"/>
                    </w:rPr>
                    <w:t>20</w:t>
                  </w:r>
                </w:p>
              </w:tc>
              <w:tc>
                <w:tcPr>
                  <w:tcW w:w="1198" w:type="dxa"/>
                  <w:tcBorders>
                    <w:tl2br w:val="nil"/>
                    <w:tr2bl w:val="nil"/>
                  </w:tcBorders>
                  <w:vAlign w:val="center"/>
                </w:tcPr>
                <w:p>
                  <w:pPr>
                    <w:jc w:val="center"/>
                    <w:rPr>
                      <w:szCs w:val="21"/>
                    </w:rPr>
                  </w:pPr>
                  <w:r>
                    <w:rPr>
                      <w:rFonts w:ascii="宋体" w:hAnsi="宋体" w:cs="宋体" w:hint="eastAsia"/>
                      <w:szCs w:val="21"/>
                    </w:rPr>
                    <w:t>居住</w:t>
                  </w:r>
                </w:p>
              </w:tc>
              <w:tc>
                <w:tcPr>
                  <w:tcW w:w="2176" w:type="dxa"/>
                  <w:vMerge w:val="restart"/>
                  <w:tcBorders>
                    <w:tl2br w:val="nil"/>
                    <w:tr2bl w:val="nil"/>
                  </w:tcBorders>
                  <w:vAlign w:val="center"/>
                </w:tcPr>
                <w:p>
                  <w:pPr>
                    <w:jc w:val="center"/>
                    <w:rPr>
                      <w:szCs w:val="21"/>
                    </w:rPr>
                  </w:pPr>
                  <w:r>
                    <w:rPr>
                      <w:lang w:bidi="ar"/>
                    </w:rPr>
                    <w:t>《声环境质量标准》（GB3096-2008）2类标准</w:t>
                  </w:r>
                </w:p>
              </w:tc>
            </w:tr>
            <w:tr>
              <w:tblPrEx>
                <w:tblW w:w="9071" w:type="dxa"/>
                <w:jc w:val="center"/>
                <w:tblLayout w:type="fixed"/>
                <w:tblCellMar>
                  <w:top w:w="0" w:type="dxa"/>
                  <w:left w:w="108" w:type="dxa"/>
                  <w:bottom w:w="0" w:type="dxa"/>
                  <w:right w:w="108" w:type="dxa"/>
                </w:tblCellMar>
              </w:tblPrEx>
              <w:trPr>
                <w:trHeight w:val="90"/>
                <w:jc w:val="center"/>
              </w:trPr>
              <w:tc>
                <w:tcPr>
                  <w:tcW w:w="546" w:type="dxa"/>
                  <w:tcBorders>
                    <w:tl2br w:val="nil"/>
                    <w:tr2bl w:val="nil"/>
                  </w:tcBorders>
                  <w:vAlign w:val="center"/>
                </w:tcPr>
                <w:p>
                  <w:pPr>
                    <w:pStyle w:val="a6"/>
                    <w:spacing w:line="240" w:lineRule="auto"/>
                    <w:jc w:val="center"/>
                    <w:rPr>
                      <w:rFonts w:ascii="Times New Roman" w:eastAsia="宋体" w:hAnsi="Times New Roman" w:cs="Times New Roman" w:hint="eastAsia"/>
                      <w:sz w:val="21"/>
                      <w:szCs w:val="21"/>
                      <w:lang w:eastAsia="zh-CN"/>
                    </w:rPr>
                  </w:pPr>
                  <w:r>
                    <w:rPr>
                      <w:rFonts w:ascii="Times New Roman" w:eastAsia="宋体" w:hAnsi="Times New Roman" w:cs="Times New Roman" w:hint="eastAsia"/>
                      <w:sz w:val="21"/>
                      <w:szCs w:val="21"/>
                      <w:lang w:val="en-US" w:eastAsia="zh-CN"/>
                    </w:rPr>
                    <w:t>2</w:t>
                  </w:r>
                </w:p>
              </w:tc>
              <w:tc>
                <w:tcPr>
                  <w:tcW w:w="1524" w:type="dxa"/>
                  <w:tcBorders>
                    <w:tl2br w:val="nil"/>
                    <w:tr2bl w:val="nil"/>
                  </w:tcBorders>
                  <w:vAlign w:val="center"/>
                </w:tcPr>
                <w:p>
                  <w:pPr>
                    <w:jc w:val="center"/>
                    <w:rPr>
                      <w:szCs w:val="21"/>
                    </w:rPr>
                  </w:pPr>
                  <w:r>
                    <w:rPr>
                      <w:rFonts w:hint="eastAsia"/>
                    </w:rPr>
                    <w:t>抱密村</w:t>
                  </w:r>
                </w:p>
              </w:tc>
              <w:tc>
                <w:tcPr>
                  <w:tcW w:w="2443" w:type="dxa"/>
                  <w:tcBorders>
                    <w:tl2br w:val="nil"/>
                    <w:tr2bl w:val="nil"/>
                  </w:tcBorders>
                  <w:vAlign w:val="center"/>
                </w:tcPr>
                <w:p>
                  <w:pPr>
                    <w:pStyle w:val="CommentText"/>
                    <w:jc w:val="center"/>
                    <w:rPr>
                      <w:szCs w:val="21"/>
                    </w:rPr>
                  </w:pPr>
                  <w:r>
                    <w:rPr>
                      <w:rFonts w:hint="eastAsia"/>
                      <w:szCs w:val="21"/>
                    </w:rPr>
                    <w:t>水蛟路右侧K0+620-K1+240</w:t>
                  </w:r>
                </w:p>
              </w:tc>
              <w:tc>
                <w:tcPr>
                  <w:tcW w:w="1184" w:type="dxa"/>
                  <w:tcBorders>
                    <w:tl2br w:val="nil"/>
                    <w:tr2bl w:val="nil"/>
                  </w:tcBorders>
                  <w:vAlign w:val="center"/>
                </w:tcPr>
                <w:p>
                  <w:pPr>
                    <w:jc w:val="center"/>
                    <w:rPr>
                      <w:szCs w:val="21"/>
                    </w:rPr>
                  </w:pPr>
                  <w:r>
                    <w:rPr>
                      <w:rFonts w:hint="eastAsia"/>
                    </w:rPr>
                    <w:t>50</w:t>
                  </w:r>
                </w:p>
              </w:tc>
              <w:tc>
                <w:tcPr>
                  <w:tcW w:w="1198" w:type="dxa"/>
                  <w:tcBorders>
                    <w:tl2br w:val="nil"/>
                    <w:tr2bl w:val="nil"/>
                  </w:tcBorders>
                  <w:vAlign w:val="center"/>
                </w:tcPr>
                <w:p>
                  <w:pPr>
                    <w:jc w:val="center"/>
                    <w:rPr>
                      <w:szCs w:val="21"/>
                    </w:rPr>
                  </w:pPr>
                  <w:r>
                    <w:rPr>
                      <w:rFonts w:ascii="宋体" w:hAnsi="宋体" w:cs="宋体" w:hint="eastAsia"/>
                      <w:szCs w:val="21"/>
                    </w:rPr>
                    <w:t>居住</w:t>
                  </w:r>
                </w:p>
              </w:tc>
              <w:tc>
                <w:tcPr>
                  <w:tcW w:w="2176" w:type="dxa"/>
                  <w:vMerge/>
                  <w:tcBorders>
                    <w:tl2br w:val="nil"/>
                    <w:tr2bl w:val="nil"/>
                  </w:tcBorders>
                  <w:vAlign w:val="center"/>
                </w:tcPr>
                <w:p>
                  <w:pPr>
                    <w:pStyle w:val="a6"/>
                    <w:spacing w:line="240" w:lineRule="auto"/>
                    <w:jc w:val="center"/>
                    <w:rPr>
                      <w:rFonts w:ascii="Times New Roman" w:eastAsia="宋体" w:hAnsi="Times New Roman" w:cs="Times New Roman"/>
                      <w:sz w:val="21"/>
                      <w:szCs w:val="21"/>
                    </w:rPr>
                  </w:pPr>
                </w:p>
              </w:tc>
            </w:tr>
            <w:tr>
              <w:tblPrEx>
                <w:tblW w:w="9071" w:type="dxa"/>
                <w:jc w:val="center"/>
                <w:tblLayout w:type="fixed"/>
                <w:tblCellMar>
                  <w:top w:w="0" w:type="dxa"/>
                  <w:left w:w="108" w:type="dxa"/>
                  <w:bottom w:w="0" w:type="dxa"/>
                  <w:right w:w="108" w:type="dxa"/>
                </w:tblCellMar>
              </w:tblPrEx>
              <w:trPr>
                <w:trHeight w:val="90"/>
                <w:jc w:val="center"/>
              </w:trPr>
              <w:tc>
                <w:tcPr>
                  <w:tcW w:w="546" w:type="dxa"/>
                  <w:tcBorders>
                    <w:tl2br w:val="nil"/>
                    <w:tr2bl w:val="nil"/>
                  </w:tcBorders>
                  <w:vAlign w:val="center"/>
                </w:tcPr>
                <w:p>
                  <w:pPr>
                    <w:pStyle w:val="a6"/>
                    <w:spacing w:line="240" w:lineRule="auto"/>
                    <w:jc w:val="center"/>
                    <w:rPr>
                      <w:rFonts w:ascii="Times New Roman" w:eastAsia="宋体" w:hAnsi="Times New Roman" w:cs="Times New Roman" w:hint="eastAsia"/>
                      <w:sz w:val="21"/>
                      <w:szCs w:val="21"/>
                      <w:lang w:eastAsia="zh-CN"/>
                    </w:rPr>
                  </w:pPr>
                  <w:r>
                    <w:rPr>
                      <w:rFonts w:ascii="Times New Roman" w:eastAsia="宋体" w:hAnsi="Times New Roman" w:cs="Times New Roman" w:hint="eastAsia"/>
                      <w:sz w:val="21"/>
                      <w:szCs w:val="21"/>
                      <w:lang w:val="en-US" w:eastAsia="zh-CN"/>
                    </w:rPr>
                    <w:t>3</w:t>
                  </w:r>
                </w:p>
              </w:tc>
              <w:tc>
                <w:tcPr>
                  <w:tcW w:w="1524" w:type="dxa"/>
                  <w:tcBorders>
                    <w:tl2br w:val="nil"/>
                    <w:tr2bl w:val="nil"/>
                  </w:tcBorders>
                  <w:vAlign w:val="center"/>
                </w:tcPr>
                <w:p>
                  <w:pPr>
                    <w:jc w:val="center"/>
                    <w:rPr>
                      <w:rFonts w:ascii="宋体" w:hAnsi="宋体" w:cs="宋体"/>
                      <w:szCs w:val="21"/>
                    </w:rPr>
                  </w:pPr>
                  <w:r>
                    <w:rPr>
                      <w:rFonts w:hint="eastAsia"/>
                    </w:rPr>
                    <w:t>白超村</w:t>
                  </w:r>
                </w:p>
              </w:tc>
              <w:tc>
                <w:tcPr>
                  <w:tcW w:w="2443" w:type="dxa"/>
                  <w:tcBorders>
                    <w:tl2br w:val="nil"/>
                    <w:tr2bl w:val="nil"/>
                  </w:tcBorders>
                  <w:vAlign w:val="center"/>
                </w:tcPr>
                <w:p>
                  <w:pPr>
                    <w:pStyle w:val="CommentText"/>
                    <w:jc w:val="center"/>
                    <w:rPr>
                      <w:szCs w:val="21"/>
                    </w:rPr>
                  </w:pPr>
                  <w:r>
                    <w:rPr>
                      <w:rFonts w:hint="eastAsia"/>
                      <w:szCs w:val="21"/>
                    </w:rPr>
                    <w:t>水蛟路南侧K0+000</w:t>
                  </w:r>
                </w:p>
              </w:tc>
              <w:tc>
                <w:tcPr>
                  <w:tcW w:w="1184" w:type="dxa"/>
                  <w:tcBorders>
                    <w:tl2br w:val="nil"/>
                    <w:tr2bl w:val="nil"/>
                  </w:tcBorders>
                  <w:vAlign w:val="center"/>
                </w:tcPr>
                <w:p>
                  <w:pPr>
                    <w:jc w:val="center"/>
                    <w:rPr>
                      <w:szCs w:val="21"/>
                    </w:rPr>
                  </w:pPr>
                  <w:r>
                    <w:rPr>
                      <w:rFonts w:hint="eastAsia"/>
                    </w:rPr>
                    <w:t>20</w:t>
                  </w:r>
                </w:p>
              </w:tc>
              <w:tc>
                <w:tcPr>
                  <w:tcW w:w="1198" w:type="dxa"/>
                  <w:tcBorders>
                    <w:tl2br w:val="nil"/>
                    <w:tr2bl w:val="nil"/>
                  </w:tcBorders>
                  <w:vAlign w:val="center"/>
                </w:tcPr>
                <w:p>
                  <w:pPr>
                    <w:jc w:val="center"/>
                    <w:rPr>
                      <w:rFonts w:eastAsia="仿宋_GB2312"/>
                      <w:szCs w:val="21"/>
                    </w:rPr>
                  </w:pPr>
                  <w:r>
                    <w:rPr>
                      <w:rFonts w:ascii="宋体" w:hAnsi="宋体" w:cs="宋体" w:hint="eastAsia"/>
                      <w:szCs w:val="21"/>
                    </w:rPr>
                    <w:t>居住</w:t>
                  </w:r>
                </w:p>
              </w:tc>
              <w:tc>
                <w:tcPr>
                  <w:tcW w:w="2176" w:type="dxa"/>
                  <w:vMerge/>
                  <w:tcBorders>
                    <w:tl2br w:val="nil"/>
                    <w:tr2bl w:val="nil"/>
                  </w:tcBorders>
                  <w:vAlign w:val="center"/>
                </w:tcPr>
                <w:p>
                  <w:pPr>
                    <w:jc w:val="center"/>
                    <w:rPr>
                      <w:szCs w:val="21"/>
                    </w:rPr>
                  </w:pPr>
                </w:p>
              </w:tc>
            </w:tr>
          </w:tbl>
          <w:p>
            <w:pPr>
              <w:pStyle w:val="BodyTextFirstIndent2"/>
              <w:spacing w:after="0"/>
              <w:ind w:left="0" w:firstLine="0" w:leftChars="0"/>
              <w:jc w:val="center"/>
              <w:rPr>
                <w:rFonts w:hAnsi="Times New Roman"/>
                <w:b/>
                <w:bCs/>
                <w:color w:val="auto"/>
                <w:kern w:val="0"/>
                <w:sz w:val="24"/>
              </w:rPr>
            </w:pPr>
            <w:r>
              <w:rPr>
                <w:rFonts w:hAnsi="Times New Roman" w:hint="eastAsia"/>
                <w:b/>
                <w:bCs/>
                <w:color w:val="auto"/>
                <w:kern w:val="0"/>
                <w:sz w:val="24"/>
              </w:rPr>
              <w:t>表8 水环境保护目标</w:t>
            </w:r>
          </w:p>
          <w:tbl>
            <w:tblPr>
              <w:tblStyle w:val="TableNormal"/>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68"/>
              <w:gridCol w:w="1286"/>
              <w:gridCol w:w="1291"/>
              <w:gridCol w:w="2158"/>
              <w:gridCol w:w="1203"/>
              <w:gridCol w:w="2465"/>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26" w:type="dxa"/>
                  <w:vAlign w:val="center"/>
                </w:tcPr>
                <w:p>
                  <w:pPr>
                    <w:jc w:val="center"/>
                    <w:rPr>
                      <w:b/>
                      <w:bCs/>
                    </w:rPr>
                  </w:pPr>
                  <w:r>
                    <w:rPr>
                      <w:b/>
                      <w:bCs/>
                    </w:rPr>
                    <w:t>序号</w:t>
                  </w:r>
                </w:p>
              </w:tc>
              <w:tc>
                <w:tcPr>
                  <w:tcW w:w="1206" w:type="dxa"/>
                  <w:vAlign w:val="center"/>
                </w:tcPr>
                <w:p>
                  <w:pPr>
                    <w:jc w:val="center"/>
                    <w:rPr>
                      <w:b/>
                      <w:bCs/>
                    </w:rPr>
                  </w:pPr>
                  <w:r>
                    <w:rPr>
                      <w:b/>
                      <w:bCs/>
                    </w:rPr>
                    <w:t>保护对象</w:t>
                  </w:r>
                </w:p>
              </w:tc>
              <w:tc>
                <w:tcPr>
                  <w:tcW w:w="1210" w:type="dxa"/>
                  <w:vAlign w:val="center"/>
                </w:tcPr>
                <w:p>
                  <w:pPr>
                    <w:jc w:val="center"/>
                    <w:rPr>
                      <w:b/>
                      <w:bCs/>
                    </w:rPr>
                  </w:pPr>
                  <w:r>
                    <w:rPr>
                      <w:b/>
                      <w:bCs/>
                    </w:rPr>
                    <w:t>相对方位</w:t>
                  </w:r>
                </w:p>
              </w:tc>
              <w:tc>
                <w:tcPr>
                  <w:tcW w:w="2023" w:type="dxa"/>
                  <w:vAlign w:val="center"/>
                </w:tcPr>
                <w:p>
                  <w:pPr>
                    <w:jc w:val="center"/>
                    <w:rPr>
                      <w:b/>
                      <w:bCs/>
                    </w:rPr>
                  </w:pPr>
                  <w:r>
                    <w:rPr>
                      <w:b/>
                      <w:bCs/>
                    </w:rPr>
                    <w:t>距离项目距离（m）</w:t>
                  </w:r>
                </w:p>
              </w:tc>
              <w:tc>
                <w:tcPr>
                  <w:tcW w:w="1128" w:type="dxa"/>
                  <w:vAlign w:val="center"/>
                </w:tcPr>
                <w:p>
                  <w:pPr>
                    <w:jc w:val="center"/>
                    <w:rPr>
                      <w:b/>
                      <w:bCs/>
                    </w:rPr>
                  </w:pPr>
                  <w:r>
                    <w:rPr>
                      <w:b/>
                      <w:bCs/>
                    </w:rPr>
                    <w:t>环境特征</w:t>
                  </w:r>
                </w:p>
              </w:tc>
              <w:tc>
                <w:tcPr>
                  <w:tcW w:w="2311" w:type="dxa"/>
                  <w:vAlign w:val="center"/>
                </w:tcPr>
                <w:p>
                  <w:pPr>
                    <w:jc w:val="center"/>
                    <w:rPr>
                      <w:b/>
                      <w:bCs/>
                    </w:rPr>
                  </w:pPr>
                  <w:r>
                    <w:rPr>
                      <w:b/>
                      <w:bCs/>
                    </w:rPr>
                    <w:t>保护级别</w:t>
                  </w:r>
                </w:p>
              </w:tc>
            </w:tr>
            <w:tr>
              <w:tblPrEx>
                <w:tblW w:w="9071" w:type="dxa"/>
                <w:jc w:val="center"/>
                <w:tblLayout w:type="fixed"/>
                <w:tblCellMar>
                  <w:top w:w="0" w:type="dxa"/>
                  <w:left w:w="108" w:type="dxa"/>
                  <w:bottom w:w="0" w:type="dxa"/>
                  <w:right w:w="108" w:type="dxa"/>
                </w:tblCellMar>
              </w:tblPrEx>
              <w:trPr>
                <w:jc w:val="center"/>
              </w:trPr>
              <w:tc>
                <w:tcPr>
                  <w:tcW w:w="626" w:type="dxa"/>
                  <w:vAlign w:val="center"/>
                </w:tcPr>
                <w:p>
                  <w:pPr>
                    <w:jc w:val="center"/>
                  </w:pPr>
                  <w:r>
                    <w:t>1</w:t>
                  </w:r>
                </w:p>
              </w:tc>
              <w:tc>
                <w:tcPr>
                  <w:tcW w:w="1206" w:type="dxa"/>
                  <w:vAlign w:val="center"/>
                </w:tcPr>
                <w:p>
                  <w:pPr>
                    <w:jc w:val="center"/>
                  </w:pPr>
                  <w:r>
                    <w:rPr>
                      <w:rFonts w:hint="eastAsia"/>
                    </w:rPr>
                    <w:t>水蛟溪</w:t>
                  </w:r>
                </w:p>
              </w:tc>
              <w:tc>
                <w:tcPr>
                  <w:tcW w:w="1210" w:type="dxa"/>
                  <w:vAlign w:val="center"/>
                </w:tcPr>
                <w:p>
                  <w:pPr>
                    <w:jc w:val="center"/>
                  </w:pPr>
                  <w:r>
                    <w:t>东西侧</w:t>
                  </w:r>
                </w:p>
              </w:tc>
              <w:tc>
                <w:tcPr>
                  <w:tcW w:w="2023" w:type="dxa"/>
                  <w:vAlign w:val="center"/>
                </w:tcPr>
                <w:p>
                  <w:pPr>
                    <w:jc w:val="center"/>
                  </w:pPr>
                  <w:r>
                    <w:rPr>
                      <w:rFonts w:hint="eastAsia"/>
                    </w:rPr>
                    <w:t>相邻</w:t>
                  </w:r>
                </w:p>
              </w:tc>
              <w:tc>
                <w:tcPr>
                  <w:tcW w:w="1128" w:type="dxa"/>
                  <w:vAlign w:val="center"/>
                </w:tcPr>
                <w:p>
                  <w:pPr>
                    <w:jc w:val="center"/>
                  </w:pPr>
                  <w:r>
                    <w:t>/</w:t>
                  </w:r>
                </w:p>
              </w:tc>
              <w:tc>
                <w:tcPr>
                  <w:tcW w:w="2311" w:type="dxa"/>
                  <w:vAlign w:val="center"/>
                </w:tcPr>
                <w:p>
                  <w:r>
                    <w:rPr>
                      <w:color w:val="000000"/>
                    </w:rPr>
                    <w:t>《地表水环境质量标准》（GB3838-2002）中III类标准</w:t>
                  </w:r>
                </w:p>
              </w:tc>
            </w:tr>
          </w:tbl>
          <w:p>
            <w:pPr>
              <w:pStyle w:val="BodyTextFirstIndent2"/>
              <w:spacing w:after="0"/>
              <w:ind w:left="0" w:firstLine="0" w:leftChars="0"/>
              <w:jc w:val="center"/>
              <w:rPr>
                <w:rFonts w:hAnsi="Times New Roman"/>
                <w:b/>
                <w:bCs/>
                <w:color w:val="auto"/>
                <w:kern w:val="0"/>
                <w:sz w:val="24"/>
              </w:rPr>
            </w:pPr>
          </w:p>
          <w:p>
            <w:pPr>
              <w:pStyle w:val="BodyTextFirstIndent2"/>
              <w:spacing w:after="0"/>
              <w:ind w:left="0" w:firstLine="0" w:leftChars="0"/>
              <w:rPr>
                <w:color w:val="auto"/>
                <w:kern w:val="0"/>
                <w:sz w:val="20"/>
              </w:rPr>
            </w:pPr>
          </w:p>
        </w:tc>
      </w:tr>
    </w:tbl>
    <w:p>
      <w:pPr>
        <w:pStyle w:val="BodyTextFirstIndent2"/>
        <w:spacing w:after="0"/>
        <w:ind w:left="0" w:firstLine="0" w:leftChars="0"/>
        <w:rPr>
          <w:color w:val="auto"/>
        </w:rPr>
      </w:pPr>
    </w:p>
    <w:p>
      <w:pPr>
        <w:spacing w:line="360" w:lineRule="auto"/>
        <w:outlineLvl w:val="0"/>
        <w:rPr>
          <w:b/>
          <w:sz w:val="30"/>
          <w:szCs w:val="30"/>
        </w:rPr>
        <w:sectPr>
          <w:footerReference w:type="default" r:id="rId20"/>
          <w:type w:val="nextPage"/>
          <w:pgSz w:w="11906" w:h="16838"/>
          <w:pgMar w:top="1440" w:right="1800" w:bottom="1440" w:left="1800" w:header="851" w:footer="992" w:gutter="0"/>
          <w:pgNumType w:fmt="decimal" w:start="13"/>
          <w:cols w:num="1" w:space="425"/>
          <w:titlePg w:val="0"/>
          <w:docGrid w:type="lines" w:linePitch="312" w:charSpace="0"/>
        </w:sectPr>
      </w:pPr>
    </w:p>
    <w:p>
      <w:pPr>
        <w:keepNext/>
        <w:outlineLvl w:val="0"/>
        <w:rPr>
          <w:b/>
          <w:color w:val="0D0D0D"/>
          <w:spacing w:val="20"/>
          <w:kern w:val="0"/>
          <w:sz w:val="28"/>
          <w:szCs w:val="28"/>
        </w:rPr>
      </w:pPr>
      <w:r>
        <w:rPr>
          <w:b/>
          <w:color w:val="0D0D0D"/>
          <w:spacing w:val="20"/>
          <w:kern w:val="0"/>
          <w:sz w:val="28"/>
          <w:szCs w:val="28"/>
        </w:rPr>
        <w:t>评价适用标准</w:t>
      </w: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7"/>
        <w:gridCol w:w="847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12940"/>
          <w:jc w:val="center"/>
        </w:trPr>
        <w:tc>
          <w:tcPr>
            <w:tcW w:w="817" w:type="dxa"/>
            <w:vAlign w:val="center"/>
          </w:tcPr>
          <w:p>
            <w:pPr>
              <w:spacing w:line="360" w:lineRule="auto"/>
              <w:jc w:val="center"/>
              <w:rPr>
                <w:b/>
                <w:bCs/>
                <w:color w:val="0D0D0D"/>
                <w:sz w:val="28"/>
                <w:szCs w:val="20"/>
              </w:rPr>
            </w:pPr>
            <w:r>
              <w:rPr>
                <w:b/>
                <w:bCs/>
                <w:color w:val="0D0D0D"/>
                <w:sz w:val="28"/>
                <w:szCs w:val="20"/>
              </w:rPr>
              <w:t>环</w:t>
            </w:r>
          </w:p>
          <w:p>
            <w:pPr>
              <w:spacing w:line="360" w:lineRule="auto"/>
              <w:jc w:val="center"/>
              <w:rPr>
                <w:b/>
                <w:bCs/>
                <w:color w:val="0D0D0D"/>
                <w:sz w:val="28"/>
                <w:szCs w:val="20"/>
              </w:rPr>
            </w:pPr>
            <w:r>
              <w:rPr>
                <w:b/>
                <w:bCs/>
                <w:color w:val="0D0D0D"/>
                <w:sz w:val="28"/>
                <w:szCs w:val="20"/>
              </w:rPr>
              <w:t>境</w:t>
            </w:r>
          </w:p>
          <w:p>
            <w:pPr>
              <w:spacing w:line="360" w:lineRule="auto"/>
              <w:jc w:val="center"/>
              <w:rPr>
                <w:b/>
                <w:bCs/>
                <w:color w:val="0D0D0D"/>
                <w:sz w:val="28"/>
                <w:szCs w:val="20"/>
              </w:rPr>
            </w:pPr>
            <w:r>
              <w:rPr>
                <w:b/>
                <w:bCs/>
                <w:color w:val="0D0D0D"/>
                <w:sz w:val="28"/>
                <w:szCs w:val="20"/>
              </w:rPr>
              <w:t>质</w:t>
            </w:r>
          </w:p>
          <w:p>
            <w:pPr>
              <w:spacing w:line="360" w:lineRule="auto"/>
              <w:jc w:val="center"/>
              <w:rPr>
                <w:b/>
                <w:bCs/>
                <w:color w:val="0D0D0D"/>
                <w:sz w:val="28"/>
                <w:szCs w:val="20"/>
              </w:rPr>
            </w:pPr>
            <w:r>
              <w:rPr>
                <w:b/>
                <w:bCs/>
                <w:color w:val="0D0D0D"/>
                <w:sz w:val="28"/>
                <w:szCs w:val="20"/>
              </w:rPr>
              <w:t>量</w:t>
            </w:r>
          </w:p>
          <w:p>
            <w:pPr>
              <w:spacing w:line="360" w:lineRule="auto"/>
              <w:jc w:val="center"/>
              <w:rPr>
                <w:b/>
                <w:bCs/>
                <w:color w:val="0D0D0D"/>
                <w:sz w:val="28"/>
                <w:szCs w:val="20"/>
              </w:rPr>
            </w:pPr>
            <w:r>
              <w:rPr>
                <w:b/>
                <w:bCs/>
                <w:color w:val="0D0D0D"/>
                <w:sz w:val="28"/>
                <w:szCs w:val="20"/>
              </w:rPr>
              <w:t>标</w:t>
            </w:r>
          </w:p>
          <w:p>
            <w:pPr>
              <w:spacing w:line="360" w:lineRule="auto"/>
              <w:jc w:val="center"/>
              <w:rPr>
                <w:color w:val="0D0D0D"/>
                <w:sz w:val="28"/>
                <w:szCs w:val="20"/>
              </w:rPr>
            </w:pPr>
            <w:r>
              <w:rPr>
                <w:b/>
                <w:bCs/>
                <w:color w:val="0D0D0D"/>
                <w:sz w:val="28"/>
                <w:szCs w:val="20"/>
              </w:rPr>
              <w:t>准</w:t>
            </w:r>
          </w:p>
        </w:tc>
        <w:tc>
          <w:tcPr>
            <w:tcW w:w="8470" w:type="dxa"/>
          </w:tcPr>
          <w:p>
            <w:pPr>
              <w:keepNext/>
              <w:keepLines/>
              <w:adjustRightInd w:val="0"/>
              <w:snapToGrid w:val="0"/>
              <w:spacing w:line="540" w:lineRule="exact"/>
              <w:ind w:firstLine="560" w:firstLineChars="200"/>
              <w:outlineLvl w:val="2"/>
              <w:rPr>
                <w:b/>
                <w:bCs/>
                <w:color w:val="0D0D0D"/>
                <w:sz w:val="24"/>
                <w:szCs w:val="32"/>
              </w:rPr>
            </w:pPr>
            <w:bookmarkStart w:id="2" w:name="_Toc193465017"/>
            <w:bookmarkStart w:id="3" w:name="_Toc212838161"/>
            <w:bookmarkStart w:id="4" w:name="_Toc394051028"/>
            <w:bookmarkStart w:id="5" w:name="_Toc216263786"/>
            <w:bookmarkStart w:id="6" w:name="_Toc133319621"/>
            <w:r>
              <w:rPr>
                <w:b/>
                <w:bCs/>
                <w:color w:val="0D0D0D"/>
                <w:sz w:val="28"/>
                <w:szCs w:val="32"/>
              </w:rPr>
              <w:t>1、环境质量标准</w:t>
            </w:r>
            <w:bookmarkEnd w:id="2"/>
            <w:bookmarkEnd w:id="3"/>
            <w:bookmarkEnd w:id="4"/>
            <w:bookmarkEnd w:id="5"/>
            <w:bookmarkEnd w:id="6"/>
          </w:p>
          <w:p>
            <w:pPr>
              <w:adjustRightInd w:val="0"/>
              <w:snapToGrid w:val="0"/>
              <w:spacing w:line="540" w:lineRule="exact"/>
              <w:ind w:firstLine="480" w:firstLineChars="200"/>
              <w:rPr>
                <w:b/>
                <w:bCs/>
                <w:sz w:val="24"/>
              </w:rPr>
            </w:pPr>
            <w:r>
              <w:rPr>
                <w:rFonts w:hint="eastAsia"/>
                <w:b/>
                <w:bCs/>
                <w:sz w:val="24"/>
              </w:rPr>
              <w:t>（1）环境空气</w:t>
            </w:r>
          </w:p>
          <w:p>
            <w:pPr>
              <w:adjustRightInd w:val="0"/>
              <w:snapToGrid w:val="0"/>
              <w:spacing w:line="540" w:lineRule="exact"/>
              <w:ind w:firstLine="480" w:firstLineChars="200"/>
              <w:rPr>
                <w:sz w:val="24"/>
              </w:rPr>
            </w:pPr>
            <w:r>
              <w:rPr>
                <w:rFonts w:hint="eastAsia"/>
                <w:sz w:val="24"/>
              </w:rPr>
              <w:t>项目区域环境空气质量执行《环境空气质量标准》(GB3095-2012)及2018年修改单中的二级标准。具体限值见表9。</w:t>
            </w:r>
          </w:p>
          <w:p>
            <w:pPr>
              <w:jc w:val="center"/>
              <w:rPr>
                <w:b/>
                <w:color w:val="000000"/>
                <w:sz w:val="24"/>
              </w:rPr>
            </w:pPr>
            <w:r>
              <w:rPr>
                <w:rFonts w:hint="eastAsia"/>
                <w:b/>
                <w:color w:val="000000"/>
                <w:sz w:val="24"/>
              </w:rPr>
              <w:t xml:space="preserve"> </w:t>
            </w:r>
            <w:r>
              <w:rPr>
                <w:b/>
                <w:color w:val="000000"/>
                <w:sz w:val="24"/>
              </w:rPr>
              <w:t>表</w:t>
            </w:r>
            <w:r>
              <w:rPr>
                <w:rFonts w:hint="eastAsia"/>
                <w:b/>
                <w:color w:val="000000"/>
                <w:sz w:val="24"/>
              </w:rPr>
              <w:t xml:space="preserve">9 </w:t>
            </w:r>
            <w:r>
              <w:rPr>
                <w:b/>
                <w:color w:val="000000"/>
                <w:sz w:val="24"/>
              </w:rPr>
              <w:t>各项污染物浓度限值（GB3095－2012）（摘录）</w:t>
            </w:r>
          </w:p>
          <w:tbl>
            <w:tblPr>
              <w:tblStyle w:val="TableNormal"/>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989"/>
              <w:gridCol w:w="1709"/>
              <w:gridCol w:w="1271"/>
              <w:gridCol w:w="1271"/>
              <w:gridCol w:w="1697"/>
            </w:tblGrid>
            <w:tr>
              <w:tblPrEx>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299"/>
                <w:jc w:val="center"/>
              </w:trPr>
              <w:tc>
                <w:tcPr>
                  <w:tcW w:w="2152" w:type="dxa"/>
                  <w:vMerge w:val="restart"/>
                  <w:tcBorders>
                    <w:tl2br w:val="nil"/>
                    <w:tr2bl w:val="nil"/>
                  </w:tcBorders>
                  <w:vAlign w:val="center"/>
                </w:tcPr>
                <w:p>
                  <w:pPr>
                    <w:adjustRightInd w:val="0"/>
                    <w:jc w:val="center"/>
                    <w:rPr>
                      <w:b/>
                      <w:bCs/>
                      <w:color w:val="000000"/>
                    </w:rPr>
                  </w:pPr>
                  <w:r>
                    <w:rPr>
                      <w:b/>
                      <w:bCs/>
                      <w:color w:val="000000"/>
                    </w:rPr>
                    <w:t>污染物名称</w:t>
                  </w:r>
                </w:p>
              </w:tc>
              <w:tc>
                <w:tcPr>
                  <w:tcW w:w="1847" w:type="dxa"/>
                  <w:vMerge w:val="restart"/>
                  <w:tcBorders>
                    <w:tl2br w:val="nil"/>
                    <w:tr2bl w:val="nil"/>
                  </w:tcBorders>
                  <w:vAlign w:val="center"/>
                </w:tcPr>
                <w:p>
                  <w:pPr>
                    <w:adjustRightInd w:val="0"/>
                    <w:jc w:val="center"/>
                    <w:rPr>
                      <w:b/>
                      <w:bCs/>
                      <w:color w:val="000000"/>
                    </w:rPr>
                  </w:pPr>
                  <w:r>
                    <w:rPr>
                      <w:b/>
                      <w:bCs/>
                      <w:color w:val="000000"/>
                    </w:rPr>
                    <w:t>取值时间</w:t>
                  </w:r>
                </w:p>
              </w:tc>
              <w:tc>
                <w:tcPr>
                  <w:tcW w:w="2736" w:type="dxa"/>
                  <w:gridSpan w:val="2"/>
                  <w:tcBorders>
                    <w:tl2br w:val="nil"/>
                    <w:tr2bl w:val="nil"/>
                  </w:tcBorders>
                  <w:vAlign w:val="center"/>
                </w:tcPr>
                <w:p>
                  <w:pPr>
                    <w:adjustRightInd w:val="0"/>
                    <w:jc w:val="center"/>
                    <w:rPr>
                      <w:b/>
                      <w:bCs/>
                      <w:color w:val="000000"/>
                    </w:rPr>
                  </w:pPr>
                  <w:r>
                    <w:rPr>
                      <w:b/>
                      <w:bCs/>
                      <w:color w:val="000000"/>
                    </w:rPr>
                    <w:t>浓度限值</w:t>
                  </w:r>
                </w:p>
              </w:tc>
              <w:tc>
                <w:tcPr>
                  <w:tcW w:w="1834" w:type="dxa"/>
                  <w:vMerge w:val="restart"/>
                  <w:tcBorders>
                    <w:tl2br w:val="nil"/>
                    <w:tr2bl w:val="nil"/>
                  </w:tcBorders>
                  <w:vAlign w:val="center"/>
                </w:tcPr>
                <w:p>
                  <w:pPr>
                    <w:adjustRightInd w:val="0"/>
                    <w:jc w:val="center"/>
                    <w:rPr>
                      <w:b/>
                      <w:bCs/>
                      <w:color w:val="000000"/>
                    </w:rPr>
                  </w:pPr>
                  <w:r>
                    <w:rPr>
                      <w:b/>
                      <w:bCs/>
                      <w:color w:val="000000"/>
                    </w:rPr>
                    <w:t>浓度单位</w:t>
                  </w:r>
                </w:p>
              </w:tc>
            </w:tr>
            <w:tr>
              <w:tblPrEx>
                <w:tblW w:w="7937" w:type="dxa"/>
                <w:jc w:val="center"/>
                <w:tblLayout w:type="fixed"/>
                <w:tblCellMar>
                  <w:top w:w="0" w:type="dxa"/>
                  <w:left w:w="108" w:type="dxa"/>
                  <w:bottom w:w="0" w:type="dxa"/>
                  <w:right w:w="108" w:type="dxa"/>
                </w:tblCellMar>
              </w:tblPrEx>
              <w:trPr>
                <w:trHeight w:hRule="exact" w:val="320"/>
                <w:jc w:val="center"/>
              </w:trPr>
              <w:tc>
                <w:tcPr>
                  <w:tcW w:w="2152" w:type="dxa"/>
                  <w:vMerge/>
                  <w:tcBorders>
                    <w:tl2br w:val="nil"/>
                    <w:tr2bl w:val="nil"/>
                  </w:tcBorders>
                  <w:vAlign w:val="center"/>
                </w:tcPr>
                <w:p>
                  <w:pPr>
                    <w:adjustRightInd w:val="0"/>
                    <w:jc w:val="center"/>
                    <w:rPr>
                      <w:color w:val="000000"/>
                    </w:rPr>
                  </w:pPr>
                </w:p>
              </w:tc>
              <w:tc>
                <w:tcPr>
                  <w:tcW w:w="1847" w:type="dxa"/>
                  <w:vMerge/>
                  <w:tcBorders>
                    <w:tl2br w:val="nil"/>
                    <w:tr2bl w:val="nil"/>
                  </w:tcBorders>
                  <w:vAlign w:val="center"/>
                </w:tcPr>
                <w:p>
                  <w:pPr>
                    <w:adjustRightInd w:val="0"/>
                    <w:jc w:val="center"/>
                    <w:rPr>
                      <w:color w:val="000000"/>
                    </w:rPr>
                  </w:pPr>
                </w:p>
              </w:tc>
              <w:tc>
                <w:tcPr>
                  <w:tcW w:w="1368" w:type="dxa"/>
                  <w:tcBorders>
                    <w:tl2br w:val="nil"/>
                    <w:tr2bl w:val="nil"/>
                  </w:tcBorders>
                  <w:vAlign w:val="center"/>
                </w:tcPr>
                <w:p>
                  <w:pPr>
                    <w:adjustRightInd w:val="0"/>
                    <w:jc w:val="center"/>
                    <w:rPr>
                      <w:b/>
                      <w:bCs/>
                      <w:color w:val="000000"/>
                    </w:rPr>
                  </w:pPr>
                  <w:r>
                    <w:rPr>
                      <w:b/>
                      <w:bCs/>
                      <w:color w:val="000000"/>
                    </w:rPr>
                    <w:t>一级标准</w:t>
                  </w:r>
                </w:p>
              </w:tc>
              <w:tc>
                <w:tcPr>
                  <w:tcW w:w="1368" w:type="dxa"/>
                  <w:tcBorders>
                    <w:tl2br w:val="nil"/>
                    <w:tr2bl w:val="nil"/>
                  </w:tcBorders>
                  <w:shd w:val="clear" w:color="auto" w:fill="A5A5A5"/>
                  <w:vAlign w:val="center"/>
                </w:tcPr>
                <w:p>
                  <w:pPr>
                    <w:adjustRightInd w:val="0"/>
                    <w:jc w:val="center"/>
                    <w:rPr>
                      <w:b/>
                      <w:bCs/>
                      <w:color w:val="000000"/>
                    </w:rPr>
                  </w:pPr>
                  <w:r>
                    <w:rPr>
                      <w:b/>
                      <w:bCs/>
                      <w:color w:val="000000"/>
                    </w:rPr>
                    <w:t>二级标准</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二氧化硫</w:t>
                  </w:r>
                </w:p>
                <w:p>
                  <w:pPr>
                    <w:adjustRightInd w:val="0"/>
                    <w:jc w:val="center"/>
                    <w:rPr>
                      <w:color w:val="000000"/>
                    </w:rPr>
                  </w:pPr>
                  <w:r>
                    <w:rPr>
                      <w:color w:val="000000"/>
                    </w:rPr>
                    <w:t>SO</w:t>
                  </w:r>
                  <w:r>
                    <w:rPr>
                      <w:color w:val="000000"/>
                      <w:vertAlign w:val="subscript"/>
                    </w:rPr>
                    <w:t>2</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20</w:t>
                  </w:r>
                </w:p>
              </w:tc>
              <w:tc>
                <w:tcPr>
                  <w:tcW w:w="1368" w:type="dxa"/>
                  <w:tcBorders>
                    <w:tl2br w:val="nil"/>
                    <w:tr2bl w:val="nil"/>
                  </w:tcBorders>
                  <w:shd w:val="clear" w:color="auto" w:fill="A5A5A5"/>
                  <w:vAlign w:val="center"/>
                </w:tcPr>
                <w:p>
                  <w:pPr>
                    <w:adjustRightInd w:val="0"/>
                    <w:jc w:val="center"/>
                    <w:rPr>
                      <w:color w:val="000000"/>
                    </w:rPr>
                  </w:pPr>
                  <w:r>
                    <w:rPr>
                      <w:color w:val="000000"/>
                    </w:rPr>
                    <w:t>60</w:t>
                  </w:r>
                </w:p>
              </w:tc>
              <w:tc>
                <w:tcPr>
                  <w:tcW w:w="1834" w:type="dxa"/>
                  <w:vMerge w:val="restart"/>
                  <w:tcBorders>
                    <w:tl2br w:val="nil"/>
                    <w:tr2bl w:val="nil"/>
                  </w:tcBorders>
                  <w:vAlign w:val="center"/>
                </w:tcPr>
                <w:p>
                  <w:pPr>
                    <w:adjustRightInd w:val="0"/>
                    <w:jc w:val="center"/>
                    <w:rPr>
                      <w:color w:val="000000"/>
                    </w:rPr>
                  </w:pPr>
                  <w:r>
                    <w:rPr>
                      <w:color w:val="000000"/>
                    </w:rPr>
                    <w:t>μg/m</w:t>
                  </w:r>
                  <w:r>
                    <w:rPr>
                      <w:color w:val="000000"/>
                      <w:vertAlign w:val="superscript"/>
                    </w:rPr>
                    <w:t>3</w:t>
                  </w: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50</w:t>
                  </w:r>
                </w:p>
              </w:tc>
              <w:tc>
                <w:tcPr>
                  <w:tcW w:w="1368" w:type="dxa"/>
                  <w:tcBorders>
                    <w:tl2br w:val="nil"/>
                    <w:tr2bl w:val="nil"/>
                  </w:tcBorders>
                  <w:shd w:val="clear" w:color="auto" w:fill="A5A5A5"/>
                  <w:vAlign w:val="center"/>
                </w:tcPr>
                <w:p>
                  <w:pPr>
                    <w:adjustRightInd w:val="0"/>
                    <w:jc w:val="center"/>
                    <w:rPr>
                      <w:color w:val="000000"/>
                    </w:rPr>
                  </w:pPr>
                  <w:r>
                    <w:rPr>
                      <w:color w:val="000000"/>
                    </w:rPr>
                    <w:t>150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1小时平均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150</w:t>
                  </w:r>
                </w:p>
              </w:tc>
              <w:tc>
                <w:tcPr>
                  <w:tcW w:w="1368" w:type="dxa"/>
                  <w:tcBorders>
                    <w:tl2br w:val="nil"/>
                    <w:tr2bl w:val="nil"/>
                  </w:tcBorders>
                  <w:shd w:val="clear" w:color="auto" w:fill="A5A5A5"/>
                  <w:vAlign w:val="center"/>
                </w:tcPr>
                <w:p>
                  <w:pPr>
                    <w:adjustRightInd w:val="0"/>
                    <w:jc w:val="center"/>
                    <w:rPr>
                      <w:color w:val="000000"/>
                    </w:rPr>
                  </w:pPr>
                  <w:r>
                    <w:rPr>
                      <w:color w:val="000000"/>
                    </w:rPr>
                    <w:t>500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jc w:val="center"/>
                    <w:rPr>
                      <w:color w:val="000000"/>
                    </w:rPr>
                  </w:pPr>
                  <w:r>
                    <w:rPr>
                      <w:color w:val="000000"/>
                    </w:rPr>
                    <w:t>总悬浮颗粒</w:t>
                  </w:r>
                </w:p>
                <w:p>
                  <w:pPr>
                    <w:jc w:val="center"/>
                    <w:rPr>
                      <w:color w:val="000000"/>
                    </w:rPr>
                  </w:pPr>
                  <w:r>
                    <w:rPr>
                      <w:color w:val="000000"/>
                    </w:rPr>
                    <w:t>物TSP</w:t>
                  </w:r>
                </w:p>
              </w:tc>
              <w:tc>
                <w:tcPr>
                  <w:tcW w:w="1847" w:type="dxa"/>
                  <w:tcBorders>
                    <w:tl2br w:val="nil"/>
                    <w:tr2bl w:val="nil"/>
                  </w:tcBorders>
                  <w:shd w:val="clear" w:color="auto" w:fill="auto"/>
                  <w:vAlign w:val="center"/>
                </w:tcPr>
                <w:p>
                  <w:pPr>
                    <w:jc w:val="center"/>
                    <w:rPr>
                      <w:color w:val="000000"/>
                    </w:rPr>
                  </w:pPr>
                  <w:r>
                    <w:rPr>
                      <w:color w:val="000000"/>
                    </w:rPr>
                    <w:t>年平均</w:t>
                  </w:r>
                </w:p>
              </w:tc>
              <w:tc>
                <w:tcPr>
                  <w:tcW w:w="1368" w:type="dxa"/>
                  <w:tcBorders>
                    <w:tl2br w:val="nil"/>
                    <w:tr2bl w:val="nil"/>
                  </w:tcBorders>
                  <w:shd w:val="clear" w:color="auto" w:fill="FFFFFF"/>
                  <w:vAlign w:val="center"/>
                </w:tcPr>
                <w:p>
                  <w:pPr>
                    <w:jc w:val="center"/>
                    <w:rPr>
                      <w:color w:val="000000"/>
                    </w:rPr>
                  </w:pPr>
                  <w:r>
                    <w:rPr>
                      <w:color w:val="000000"/>
                    </w:rPr>
                    <w:t>80</w:t>
                  </w:r>
                </w:p>
              </w:tc>
              <w:tc>
                <w:tcPr>
                  <w:tcW w:w="1368" w:type="dxa"/>
                  <w:tcBorders>
                    <w:tl2br w:val="nil"/>
                    <w:tr2bl w:val="nil"/>
                  </w:tcBorders>
                  <w:shd w:val="clear" w:color="auto" w:fill="A5A5A5"/>
                  <w:vAlign w:val="center"/>
                </w:tcPr>
                <w:p>
                  <w:pPr>
                    <w:jc w:val="center"/>
                    <w:rPr>
                      <w:color w:val="000000"/>
                    </w:rPr>
                  </w:pPr>
                  <w:r>
                    <w:rPr>
                      <w:color w:val="000000"/>
                    </w:rPr>
                    <w:t>200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120</w:t>
                  </w:r>
                </w:p>
              </w:tc>
              <w:tc>
                <w:tcPr>
                  <w:tcW w:w="1368" w:type="dxa"/>
                  <w:tcBorders>
                    <w:tl2br w:val="nil"/>
                    <w:tr2bl w:val="nil"/>
                  </w:tcBorders>
                  <w:shd w:val="clear" w:color="auto" w:fill="A5A5A5"/>
                  <w:vAlign w:val="center"/>
                </w:tcPr>
                <w:p>
                  <w:pPr>
                    <w:adjustRightInd w:val="0"/>
                    <w:jc w:val="center"/>
                    <w:rPr>
                      <w:color w:val="000000"/>
                    </w:rPr>
                  </w:pPr>
                  <w:r>
                    <w:rPr>
                      <w:color w:val="000000"/>
                    </w:rPr>
                    <w:t>300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二氧化氮</w:t>
                  </w:r>
                </w:p>
                <w:p>
                  <w:pPr>
                    <w:adjustRightInd w:val="0"/>
                    <w:jc w:val="center"/>
                    <w:rPr>
                      <w:color w:val="000000"/>
                    </w:rPr>
                  </w:pPr>
                  <w:r>
                    <w:rPr>
                      <w:color w:val="000000"/>
                    </w:rPr>
                    <w:t>NO</w:t>
                  </w:r>
                  <w:r>
                    <w:rPr>
                      <w:color w:val="000000"/>
                      <w:vertAlign w:val="subscript"/>
                    </w:rPr>
                    <w:t>2</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40</w:t>
                  </w:r>
                </w:p>
              </w:tc>
              <w:tc>
                <w:tcPr>
                  <w:tcW w:w="1368" w:type="dxa"/>
                  <w:tcBorders>
                    <w:tl2br w:val="nil"/>
                    <w:tr2bl w:val="nil"/>
                  </w:tcBorders>
                  <w:shd w:val="clear" w:color="auto" w:fill="A5A5A5"/>
                  <w:vAlign w:val="center"/>
                </w:tcPr>
                <w:p>
                  <w:pPr>
                    <w:adjustRightInd w:val="0"/>
                    <w:jc w:val="center"/>
                    <w:rPr>
                      <w:color w:val="000000"/>
                    </w:rPr>
                  </w:pPr>
                  <w:r>
                    <w:rPr>
                      <w:color w:val="000000"/>
                    </w:rPr>
                    <w:t>40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80</w:t>
                  </w:r>
                </w:p>
              </w:tc>
              <w:tc>
                <w:tcPr>
                  <w:tcW w:w="1368" w:type="dxa"/>
                  <w:tcBorders>
                    <w:tl2br w:val="nil"/>
                    <w:tr2bl w:val="nil"/>
                  </w:tcBorders>
                  <w:shd w:val="clear" w:color="auto" w:fill="A5A5A5"/>
                  <w:vAlign w:val="center"/>
                </w:tcPr>
                <w:p>
                  <w:pPr>
                    <w:adjustRightInd w:val="0"/>
                    <w:jc w:val="center"/>
                    <w:rPr>
                      <w:color w:val="000000"/>
                    </w:rPr>
                  </w:pPr>
                  <w:r>
                    <w:rPr>
                      <w:color w:val="000000"/>
                    </w:rPr>
                    <w:t>80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1小时平均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200</w:t>
                  </w:r>
                </w:p>
              </w:tc>
              <w:tc>
                <w:tcPr>
                  <w:tcW w:w="1368" w:type="dxa"/>
                  <w:tcBorders>
                    <w:tl2br w:val="nil"/>
                    <w:tr2bl w:val="nil"/>
                  </w:tcBorders>
                  <w:shd w:val="clear" w:color="auto" w:fill="A5A5A5"/>
                  <w:vAlign w:val="center"/>
                </w:tcPr>
                <w:p>
                  <w:pPr>
                    <w:adjustRightInd w:val="0"/>
                    <w:jc w:val="center"/>
                    <w:rPr>
                      <w:color w:val="000000"/>
                    </w:rPr>
                  </w:pPr>
                  <w:r>
                    <w:rPr>
                      <w:color w:val="000000"/>
                    </w:rPr>
                    <w:t>200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一氧化碳（CO）</w:t>
                  </w: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4</w:t>
                  </w:r>
                </w:p>
              </w:tc>
              <w:tc>
                <w:tcPr>
                  <w:tcW w:w="1368" w:type="dxa"/>
                  <w:tcBorders>
                    <w:tl2br w:val="nil"/>
                    <w:tr2bl w:val="nil"/>
                  </w:tcBorders>
                  <w:shd w:val="clear" w:color="auto" w:fill="A5A5A5"/>
                  <w:vAlign w:val="center"/>
                </w:tcPr>
                <w:p>
                  <w:pPr>
                    <w:adjustRightInd w:val="0"/>
                    <w:jc w:val="center"/>
                    <w:rPr>
                      <w:color w:val="000000"/>
                    </w:rPr>
                  </w:pPr>
                  <w:r>
                    <w:rPr>
                      <w:color w:val="000000"/>
                    </w:rPr>
                    <w:t>4</w:t>
                  </w:r>
                </w:p>
              </w:tc>
              <w:tc>
                <w:tcPr>
                  <w:tcW w:w="1834" w:type="dxa"/>
                  <w:vMerge w:val="restart"/>
                  <w:tcBorders>
                    <w:tl2br w:val="nil"/>
                    <w:tr2bl w:val="nil"/>
                  </w:tcBorders>
                  <w:vAlign w:val="center"/>
                </w:tcPr>
                <w:p>
                  <w:pPr>
                    <w:adjustRightInd w:val="0"/>
                    <w:jc w:val="center"/>
                    <w:rPr>
                      <w:color w:val="000000"/>
                    </w:rPr>
                  </w:pPr>
                  <w:r>
                    <w:rPr>
                      <w:color w:val="000000"/>
                    </w:rPr>
                    <w:t>mg/m</w:t>
                  </w:r>
                  <w:r>
                    <w:rPr>
                      <w:color w:val="000000"/>
                      <w:vertAlign w:val="superscript"/>
                    </w:rPr>
                    <w:t>3</w:t>
                  </w:r>
                </w:p>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1小时平均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10</w:t>
                  </w:r>
                </w:p>
              </w:tc>
              <w:tc>
                <w:tcPr>
                  <w:tcW w:w="1368" w:type="dxa"/>
                  <w:tcBorders>
                    <w:tl2br w:val="nil"/>
                    <w:tr2bl w:val="nil"/>
                  </w:tcBorders>
                  <w:shd w:val="clear" w:color="auto" w:fill="A5A5A5"/>
                  <w:vAlign w:val="center"/>
                </w:tcPr>
                <w:p>
                  <w:pPr>
                    <w:adjustRightInd w:val="0"/>
                    <w:jc w:val="center"/>
                    <w:rPr>
                      <w:color w:val="000000"/>
                    </w:rPr>
                  </w:pPr>
                  <w:r>
                    <w:rPr>
                      <w:color w:val="000000"/>
                    </w:rPr>
                    <w:t>10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颗粒物PM</w:t>
                  </w:r>
                  <w:r>
                    <w:rPr>
                      <w:color w:val="000000"/>
                      <w:vertAlign w:val="subscript"/>
                    </w:rPr>
                    <w:t>10</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40</w:t>
                  </w:r>
                </w:p>
              </w:tc>
              <w:tc>
                <w:tcPr>
                  <w:tcW w:w="1368" w:type="dxa"/>
                  <w:tcBorders>
                    <w:tl2br w:val="nil"/>
                    <w:tr2bl w:val="nil"/>
                  </w:tcBorders>
                  <w:shd w:val="clear" w:color="auto" w:fill="A5A5A5"/>
                  <w:vAlign w:val="center"/>
                </w:tcPr>
                <w:p>
                  <w:pPr>
                    <w:adjustRightInd w:val="0"/>
                    <w:jc w:val="center"/>
                    <w:rPr>
                      <w:color w:val="000000"/>
                    </w:rPr>
                  </w:pPr>
                  <w:r>
                    <w:rPr>
                      <w:color w:val="000000"/>
                    </w:rPr>
                    <w:t>70</w:t>
                  </w:r>
                </w:p>
              </w:tc>
              <w:tc>
                <w:tcPr>
                  <w:tcW w:w="1834" w:type="dxa"/>
                  <w:vMerge w:val="restart"/>
                  <w:tcBorders>
                    <w:tl2br w:val="nil"/>
                    <w:tr2bl w:val="nil"/>
                  </w:tcBorders>
                  <w:vAlign w:val="center"/>
                </w:tcPr>
                <w:p>
                  <w:pPr>
                    <w:adjustRightInd w:val="0"/>
                    <w:jc w:val="center"/>
                    <w:rPr>
                      <w:color w:val="000000"/>
                    </w:rPr>
                  </w:pPr>
                  <w:r>
                    <w:rPr>
                      <w:color w:val="000000"/>
                    </w:rPr>
                    <w:t>μg/m</w:t>
                  </w:r>
                  <w:r>
                    <w:rPr>
                      <w:color w:val="000000"/>
                      <w:vertAlign w:val="superscript"/>
                    </w:rPr>
                    <w:t>3</w:t>
                  </w: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50</w:t>
                  </w:r>
                </w:p>
              </w:tc>
              <w:tc>
                <w:tcPr>
                  <w:tcW w:w="1368" w:type="dxa"/>
                  <w:tcBorders>
                    <w:tl2br w:val="nil"/>
                    <w:tr2bl w:val="nil"/>
                  </w:tcBorders>
                  <w:shd w:val="clear" w:color="auto" w:fill="A5A5A5"/>
                  <w:vAlign w:val="center"/>
                </w:tcPr>
                <w:p>
                  <w:pPr>
                    <w:adjustRightInd w:val="0"/>
                    <w:jc w:val="center"/>
                    <w:rPr>
                      <w:color w:val="000000"/>
                    </w:rPr>
                  </w:pPr>
                  <w:r>
                    <w:rPr>
                      <w:color w:val="000000"/>
                    </w:rPr>
                    <w:t>150</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val="restart"/>
                  <w:tcBorders>
                    <w:tl2br w:val="nil"/>
                    <w:tr2bl w:val="nil"/>
                  </w:tcBorders>
                  <w:shd w:val="clear" w:color="auto" w:fill="auto"/>
                  <w:vAlign w:val="center"/>
                </w:tcPr>
                <w:p>
                  <w:pPr>
                    <w:adjustRightInd w:val="0"/>
                    <w:jc w:val="center"/>
                    <w:rPr>
                      <w:color w:val="000000"/>
                    </w:rPr>
                  </w:pPr>
                  <w:r>
                    <w:rPr>
                      <w:color w:val="000000"/>
                    </w:rPr>
                    <w:t>颗粒物PM</w:t>
                  </w:r>
                  <w:r>
                    <w:rPr>
                      <w:color w:val="000000"/>
                      <w:vertAlign w:val="subscript"/>
                    </w:rPr>
                    <w:t>2.5</w:t>
                  </w:r>
                </w:p>
              </w:tc>
              <w:tc>
                <w:tcPr>
                  <w:tcW w:w="1847" w:type="dxa"/>
                  <w:tcBorders>
                    <w:tl2br w:val="nil"/>
                    <w:tr2bl w:val="nil"/>
                  </w:tcBorders>
                  <w:shd w:val="clear" w:color="auto" w:fill="auto"/>
                  <w:vAlign w:val="center"/>
                </w:tcPr>
                <w:p>
                  <w:pPr>
                    <w:adjustRightInd w:val="0"/>
                    <w:jc w:val="center"/>
                    <w:rPr>
                      <w:color w:val="000000"/>
                    </w:rPr>
                  </w:pPr>
                  <w:r>
                    <w:rPr>
                      <w:color w:val="000000"/>
                    </w:rPr>
                    <w:t>年平均</w:t>
                  </w:r>
                </w:p>
              </w:tc>
              <w:tc>
                <w:tcPr>
                  <w:tcW w:w="1368" w:type="dxa"/>
                  <w:tcBorders>
                    <w:tl2br w:val="nil"/>
                    <w:tr2bl w:val="nil"/>
                  </w:tcBorders>
                  <w:shd w:val="clear" w:color="auto" w:fill="FFFFFF"/>
                  <w:vAlign w:val="center"/>
                </w:tcPr>
                <w:p>
                  <w:pPr>
                    <w:adjustRightInd w:val="0"/>
                    <w:jc w:val="center"/>
                    <w:rPr>
                      <w:color w:val="000000"/>
                    </w:rPr>
                  </w:pPr>
                  <w:r>
                    <w:rPr>
                      <w:color w:val="000000"/>
                    </w:rPr>
                    <w:t>15</w:t>
                  </w:r>
                </w:p>
              </w:tc>
              <w:tc>
                <w:tcPr>
                  <w:tcW w:w="1368" w:type="dxa"/>
                  <w:tcBorders>
                    <w:tl2br w:val="nil"/>
                    <w:tr2bl w:val="nil"/>
                  </w:tcBorders>
                  <w:shd w:val="clear" w:color="auto" w:fill="A5A5A5"/>
                  <w:vAlign w:val="center"/>
                </w:tcPr>
                <w:p>
                  <w:pPr>
                    <w:adjustRightInd w:val="0"/>
                    <w:jc w:val="center"/>
                    <w:rPr>
                      <w:color w:val="000000"/>
                    </w:rPr>
                  </w:pPr>
                  <w:r>
                    <w:rPr>
                      <w:color w:val="000000"/>
                    </w:rPr>
                    <w:t>35</w:t>
                  </w:r>
                </w:p>
              </w:tc>
              <w:tc>
                <w:tcPr>
                  <w:tcW w:w="1834" w:type="dxa"/>
                  <w:vMerge/>
                  <w:tcBorders>
                    <w:tl2br w:val="nil"/>
                    <w:tr2bl w:val="nil"/>
                  </w:tcBorders>
                  <w:vAlign w:val="center"/>
                </w:tcPr>
                <w:p>
                  <w:pPr>
                    <w:adjustRightInd w:val="0"/>
                    <w:jc w:val="center"/>
                    <w:rPr>
                      <w:color w:val="000000"/>
                    </w:rPr>
                  </w:pPr>
                </w:p>
              </w:tc>
            </w:tr>
            <w:tr>
              <w:tblPrEx>
                <w:tblW w:w="7937" w:type="dxa"/>
                <w:jc w:val="center"/>
                <w:tblLayout w:type="fixed"/>
                <w:tblCellMar>
                  <w:top w:w="0" w:type="dxa"/>
                  <w:left w:w="108" w:type="dxa"/>
                  <w:bottom w:w="0" w:type="dxa"/>
                  <w:right w:w="108" w:type="dxa"/>
                </w:tblCellMar>
              </w:tblPrEx>
              <w:trPr>
                <w:trHeight w:hRule="exact" w:val="317"/>
                <w:jc w:val="center"/>
              </w:trPr>
              <w:tc>
                <w:tcPr>
                  <w:tcW w:w="2152" w:type="dxa"/>
                  <w:vMerge/>
                  <w:tcBorders>
                    <w:tl2br w:val="nil"/>
                    <w:tr2bl w:val="nil"/>
                  </w:tcBorders>
                  <w:shd w:val="clear" w:color="auto" w:fill="auto"/>
                  <w:vAlign w:val="center"/>
                </w:tcPr>
                <w:p>
                  <w:pPr>
                    <w:adjustRightInd w:val="0"/>
                    <w:jc w:val="center"/>
                    <w:rPr>
                      <w:color w:val="000000"/>
                    </w:rPr>
                  </w:pPr>
                </w:p>
              </w:tc>
              <w:tc>
                <w:tcPr>
                  <w:tcW w:w="1847" w:type="dxa"/>
                  <w:tcBorders>
                    <w:tl2br w:val="nil"/>
                    <w:tr2bl w:val="nil"/>
                  </w:tcBorders>
                  <w:shd w:val="clear" w:color="auto" w:fill="auto"/>
                  <w:vAlign w:val="center"/>
                </w:tcPr>
                <w:p>
                  <w:pPr>
                    <w:adjustRightInd w:val="0"/>
                    <w:jc w:val="center"/>
                    <w:rPr>
                      <w:color w:val="000000"/>
                    </w:rPr>
                  </w:pPr>
                  <w:r>
                    <w:rPr>
                      <w:color w:val="000000"/>
                    </w:rPr>
                    <w:t>24小时平均</w:t>
                  </w:r>
                </w:p>
              </w:tc>
              <w:tc>
                <w:tcPr>
                  <w:tcW w:w="1368" w:type="dxa"/>
                  <w:tcBorders>
                    <w:tl2br w:val="nil"/>
                    <w:tr2bl w:val="nil"/>
                  </w:tcBorders>
                  <w:shd w:val="clear" w:color="auto" w:fill="FFFFFF"/>
                  <w:vAlign w:val="center"/>
                </w:tcPr>
                <w:p>
                  <w:pPr>
                    <w:adjustRightInd w:val="0"/>
                    <w:jc w:val="center"/>
                    <w:rPr>
                      <w:color w:val="000000"/>
                    </w:rPr>
                  </w:pPr>
                  <w:r>
                    <w:rPr>
                      <w:color w:val="000000"/>
                    </w:rPr>
                    <w:t>35</w:t>
                  </w:r>
                </w:p>
              </w:tc>
              <w:tc>
                <w:tcPr>
                  <w:tcW w:w="1368" w:type="dxa"/>
                  <w:tcBorders>
                    <w:tl2br w:val="nil"/>
                    <w:tr2bl w:val="nil"/>
                  </w:tcBorders>
                  <w:shd w:val="clear" w:color="auto" w:fill="A5A5A5"/>
                  <w:vAlign w:val="center"/>
                </w:tcPr>
                <w:p>
                  <w:pPr>
                    <w:adjustRightInd w:val="0"/>
                    <w:jc w:val="center"/>
                    <w:rPr>
                      <w:color w:val="000000"/>
                    </w:rPr>
                  </w:pPr>
                  <w:r>
                    <w:rPr>
                      <w:color w:val="000000"/>
                    </w:rPr>
                    <w:t>75</w:t>
                  </w:r>
                </w:p>
              </w:tc>
              <w:tc>
                <w:tcPr>
                  <w:tcW w:w="1834" w:type="dxa"/>
                  <w:vMerge/>
                  <w:tcBorders>
                    <w:tl2br w:val="nil"/>
                    <w:tr2bl w:val="nil"/>
                  </w:tcBorders>
                  <w:vAlign w:val="center"/>
                </w:tcPr>
                <w:p>
                  <w:pPr>
                    <w:adjustRightInd w:val="0"/>
                    <w:jc w:val="center"/>
                    <w:rPr>
                      <w:color w:val="000000"/>
                    </w:rPr>
                  </w:pPr>
                </w:p>
              </w:tc>
            </w:tr>
          </w:tbl>
          <w:p>
            <w:pPr>
              <w:adjustRightInd w:val="0"/>
              <w:snapToGrid w:val="0"/>
              <w:spacing w:line="540" w:lineRule="exact"/>
              <w:ind w:firstLine="480" w:firstLineChars="200"/>
              <w:rPr>
                <w:b/>
                <w:bCs/>
                <w:sz w:val="24"/>
              </w:rPr>
            </w:pPr>
            <w:r>
              <w:rPr>
                <w:b/>
                <w:bCs/>
                <w:sz w:val="24"/>
              </w:rPr>
              <w:t>（2）声环境</w:t>
            </w:r>
          </w:p>
          <w:p>
            <w:pPr>
              <w:adjustRightInd w:val="0"/>
              <w:snapToGrid w:val="0"/>
              <w:spacing w:line="540" w:lineRule="exact"/>
              <w:ind w:firstLine="480" w:firstLineChars="200"/>
              <w:rPr>
                <w:sz w:val="24"/>
                <w:lang w:bidi="ar"/>
              </w:rPr>
            </w:pPr>
            <w:r>
              <w:rPr>
                <w:rFonts w:hint="eastAsia"/>
                <w:sz w:val="24"/>
                <w:lang w:bidi="ar"/>
              </w:rPr>
              <w:t>根据</w:t>
            </w:r>
            <w:r>
              <w:rPr>
                <w:sz w:val="24"/>
                <w:lang w:bidi="ar"/>
              </w:rPr>
              <w:t>《声环境质量标准》(GB3096 -2008 )</w:t>
            </w:r>
            <w:r>
              <w:rPr>
                <w:rFonts w:hint="eastAsia"/>
                <w:sz w:val="24"/>
                <w:lang w:bidi="ar"/>
              </w:rPr>
              <w:t>中声环境功能区分类，</w:t>
            </w:r>
            <w:r>
              <w:rPr>
                <w:sz w:val="24"/>
                <w:lang w:bidi="ar"/>
              </w:rPr>
              <w:t>本项目所在区域</w:t>
            </w:r>
            <w:r>
              <w:rPr>
                <w:rFonts w:hint="eastAsia"/>
                <w:sz w:val="24"/>
                <w:lang w:bidi="ar"/>
              </w:rPr>
              <w:t>使用功能特点</w:t>
            </w:r>
            <w:r>
              <w:rPr>
                <w:sz w:val="24"/>
                <w:lang w:bidi="ar"/>
              </w:rPr>
              <w:t>为2类区。根据现状调查，本项目建设区域中的水蛟路为</w:t>
            </w:r>
            <w:r>
              <w:rPr>
                <w:rFonts w:hint="eastAsia"/>
                <w:sz w:val="24"/>
                <w:lang w:val="en-US" w:eastAsia="zh-CN" w:bidi="ar"/>
              </w:rPr>
              <w:t>支路</w:t>
            </w:r>
            <w:r>
              <w:rPr>
                <w:sz w:val="24"/>
                <w:lang w:bidi="ar"/>
              </w:rPr>
              <w:t>，</w:t>
            </w:r>
            <w:r>
              <w:rPr>
                <w:sz w:val="24"/>
              </w:rPr>
              <w:t>声环境质量执行《声环境质量标准》（GB3096-2008）中2类标准。</w:t>
            </w:r>
          </w:p>
          <w:p>
            <w:pPr>
              <w:jc w:val="center"/>
              <w:rPr>
                <w:b/>
                <w:bCs/>
                <w:sz w:val="24"/>
              </w:rPr>
            </w:pPr>
            <w:r>
              <w:rPr>
                <w:b/>
                <w:bCs/>
                <w:sz w:val="24"/>
              </w:rPr>
              <w:t>表</w:t>
            </w:r>
            <w:r>
              <w:rPr>
                <w:rFonts w:hint="eastAsia"/>
                <w:b/>
                <w:bCs/>
                <w:sz w:val="24"/>
              </w:rPr>
              <w:t xml:space="preserve">10 </w:t>
            </w:r>
            <w:r>
              <w:rPr>
                <w:b/>
                <w:bCs/>
                <w:sz w:val="24"/>
              </w:rPr>
              <w:t xml:space="preserve"> </w:t>
            </w:r>
            <w:r>
              <w:rPr>
                <w:rFonts w:hint="eastAsia"/>
                <w:b/>
                <w:bCs/>
                <w:sz w:val="24"/>
              </w:rPr>
              <w:t>环境噪声</w:t>
            </w:r>
            <w:r>
              <w:rPr>
                <w:b/>
                <w:bCs/>
                <w:sz w:val="24"/>
              </w:rPr>
              <w:t>限值</w:t>
            </w:r>
          </w:p>
          <w:tbl>
            <w:tblPr>
              <w:tblStyle w:val="TableGrid5"/>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646"/>
              <w:gridCol w:w="2645"/>
              <w:gridCol w:w="2646"/>
            </w:tblGrid>
            <w:tr>
              <w:tblPrEx>
                <w:tblW w:w="79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239"/>
                <w:jc w:val="center"/>
              </w:trPr>
              <w:tc>
                <w:tcPr>
                  <w:tcW w:w="2646" w:type="dxa"/>
                  <w:vMerge w:val="restart"/>
                  <w:tcBorders>
                    <w:tl2br w:val="nil"/>
                    <w:tr2bl w:val="nil"/>
                  </w:tcBorders>
                </w:tcPr>
                <w:p>
                  <w:pPr>
                    <w:autoSpaceDE w:val="0"/>
                    <w:autoSpaceDN w:val="0"/>
                    <w:adjustRightInd w:val="0"/>
                    <w:jc w:val="center"/>
                    <w:rPr>
                      <w:b/>
                      <w:bCs/>
                      <w:color w:val="000000"/>
                      <w:szCs w:val="21"/>
                    </w:rPr>
                  </w:pPr>
                </w:p>
                <w:p>
                  <w:pPr>
                    <w:autoSpaceDE w:val="0"/>
                    <w:autoSpaceDN w:val="0"/>
                    <w:adjustRightInd w:val="0"/>
                    <w:jc w:val="center"/>
                    <w:rPr>
                      <w:b/>
                      <w:bCs/>
                      <w:color w:val="000000"/>
                      <w:szCs w:val="21"/>
                    </w:rPr>
                  </w:pPr>
                  <w:r>
                    <w:rPr>
                      <w:b/>
                      <w:bCs/>
                      <w:color w:val="000000"/>
                      <w:szCs w:val="21"/>
                    </w:rPr>
                    <w:t>声环境功能区类别</w:t>
                  </w:r>
                </w:p>
              </w:tc>
              <w:tc>
                <w:tcPr>
                  <w:tcW w:w="5291" w:type="dxa"/>
                  <w:gridSpan w:val="2"/>
                  <w:tcBorders>
                    <w:tl2br w:val="nil"/>
                    <w:tr2bl w:val="nil"/>
                  </w:tcBorders>
                </w:tcPr>
                <w:p>
                  <w:pPr>
                    <w:autoSpaceDE w:val="0"/>
                    <w:autoSpaceDN w:val="0"/>
                    <w:adjustRightInd w:val="0"/>
                    <w:jc w:val="center"/>
                    <w:rPr>
                      <w:b/>
                      <w:bCs/>
                      <w:color w:val="000000"/>
                      <w:szCs w:val="21"/>
                    </w:rPr>
                  </w:pPr>
                  <w:r>
                    <w:rPr>
                      <w:b/>
                      <w:bCs/>
                      <w:color w:val="000000"/>
                      <w:szCs w:val="21"/>
                    </w:rPr>
                    <w:t>时段</w:t>
                  </w:r>
                </w:p>
              </w:tc>
            </w:tr>
            <w:tr>
              <w:tblPrEx>
                <w:tblW w:w="7937" w:type="dxa"/>
                <w:jc w:val="center"/>
                <w:tblLayout w:type="fixed"/>
                <w:tblCellMar>
                  <w:top w:w="0" w:type="dxa"/>
                  <w:left w:w="108" w:type="dxa"/>
                  <w:bottom w:w="0" w:type="dxa"/>
                  <w:right w:w="108" w:type="dxa"/>
                </w:tblCellMar>
              </w:tblPrEx>
              <w:trPr>
                <w:trHeight w:val="90"/>
                <w:jc w:val="center"/>
              </w:trPr>
              <w:tc>
                <w:tcPr>
                  <w:tcW w:w="2646" w:type="dxa"/>
                  <w:vMerge/>
                  <w:tcBorders>
                    <w:tl2br w:val="nil"/>
                    <w:tr2bl w:val="nil"/>
                  </w:tcBorders>
                </w:tcPr>
                <w:p>
                  <w:pPr>
                    <w:autoSpaceDE w:val="0"/>
                    <w:autoSpaceDN w:val="0"/>
                    <w:adjustRightInd w:val="0"/>
                    <w:jc w:val="center"/>
                    <w:rPr>
                      <w:color w:val="000000"/>
                      <w:szCs w:val="21"/>
                    </w:rPr>
                  </w:pPr>
                </w:p>
              </w:tc>
              <w:tc>
                <w:tcPr>
                  <w:tcW w:w="2645" w:type="dxa"/>
                  <w:tcBorders>
                    <w:tl2br w:val="nil"/>
                    <w:tr2bl w:val="nil"/>
                  </w:tcBorders>
                </w:tcPr>
                <w:p>
                  <w:pPr>
                    <w:autoSpaceDE w:val="0"/>
                    <w:autoSpaceDN w:val="0"/>
                    <w:adjustRightInd w:val="0"/>
                    <w:jc w:val="center"/>
                    <w:rPr>
                      <w:b/>
                      <w:bCs/>
                      <w:color w:val="000000"/>
                      <w:szCs w:val="21"/>
                    </w:rPr>
                  </w:pPr>
                  <w:r>
                    <w:rPr>
                      <w:b/>
                      <w:bCs/>
                      <w:color w:val="000000"/>
                      <w:szCs w:val="21"/>
                    </w:rPr>
                    <w:t>昼间</w:t>
                  </w:r>
                </w:p>
              </w:tc>
              <w:tc>
                <w:tcPr>
                  <w:tcW w:w="2646" w:type="dxa"/>
                  <w:tcBorders>
                    <w:tl2br w:val="nil"/>
                    <w:tr2bl w:val="nil"/>
                  </w:tcBorders>
                </w:tcPr>
                <w:p>
                  <w:pPr>
                    <w:autoSpaceDE w:val="0"/>
                    <w:autoSpaceDN w:val="0"/>
                    <w:adjustRightInd w:val="0"/>
                    <w:jc w:val="center"/>
                    <w:rPr>
                      <w:b/>
                      <w:bCs/>
                      <w:color w:val="000000"/>
                      <w:szCs w:val="21"/>
                    </w:rPr>
                  </w:pPr>
                  <w:r>
                    <w:rPr>
                      <w:b/>
                      <w:bCs/>
                      <w:color w:val="000000"/>
                      <w:szCs w:val="21"/>
                    </w:rPr>
                    <w:t>夜间</w:t>
                  </w:r>
                </w:p>
              </w:tc>
            </w:tr>
            <w:tr>
              <w:tblPrEx>
                <w:tblW w:w="7937" w:type="dxa"/>
                <w:jc w:val="center"/>
                <w:tblLayout w:type="fixed"/>
                <w:tblCellMar>
                  <w:top w:w="0" w:type="dxa"/>
                  <w:left w:w="108" w:type="dxa"/>
                  <w:bottom w:w="0" w:type="dxa"/>
                  <w:right w:w="108" w:type="dxa"/>
                </w:tblCellMar>
              </w:tblPrEx>
              <w:trPr>
                <w:jc w:val="center"/>
              </w:trPr>
              <w:tc>
                <w:tcPr>
                  <w:tcW w:w="2646" w:type="dxa"/>
                  <w:tcBorders>
                    <w:tl2br w:val="nil"/>
                    <w:tr2bl w:val="nil"/>
                  </w:tcBorders>
                </w:tcPr>
                <w:p>
                  <w:pPr>
                    <w:autoSpaceDE w:val="0"/>
                    <w:autoSpaceDN w:val="0"/>
                    <w:adjustRightInd w:val="0"/>
                    <w:jc w:val="center"/>
                    <w:rPr>
                      <w:color w:val="000000"/>
                      <w:szCs w:val="21"/>
                    </w:rPr>
                  </w:pPr>
                  <w:r>
                    <w:rPr>
                      <w:color w:val="000000"/>
                      <w:szCs w:val="21"/>
                    </w:rPr>
                    <w:t>2</w:t>
                  </w:r>
                </w:p>
              </w:tc>
              <w:tc>
                <w:tcPr>
                  <w:tcW w:w="2645" w:type="dxa"/>
                  <w:tcBorders>
                    <w:tl2br w:val="nil"/>
                    <w:tr2bl w:val="nil"/>
                  </w:tcBorders>
                </w:tcPr>
                <w:p>
                  <w:pPr>
                    <w:autoSpaceDE w:val="0"/>
                    <w:autoSpaceDN w:val="0"/>
                    <w:adjustRightInd w:val="0"/>
                    <w:jc w:val="center"/>
                    <w:rPr>
                      <w:color w:val="000000"/>
                      <w:szCs w:val="21"/>
                    </w:rPr>
                  </w:pPr>
                  <w:r>
                    <w:rPr>
                      <w:color w:val="000000"/>
                      <w:szCs w:val="21"/>
                    </w:rPr>
                    <w:t>60</w:t>
                  </w:r>
                </w:p>
              </w:tc>
              <w:tc>
                <w:tcPr>
                  <w:tcW w:w="2646" w:type="dxa"/>
                  <w:tcBorders>
                    <w:tl2br w:val="nil"/>
                    <w:tr2bl w:val="nil"/>
                  </w:tcBorders>
                </w:tcPr>
                <w:p>
                  <w:pPr>
                    <w:autoSpaceDE w:val="0"/>
                    <w:autoSpaceDN w:val="0"/>
                    <w:adjustRightInd w:val="0"/>
                    <w:jc w:val="center"/>
                    <w:rPr>
                      <w:color w:val="000000"/>
                      <w:szCs w:val="21"/>
                    </w:rPr>
                  </w:pPr>
                  <w:r>
                    <w:rPr>
                      <w:color w:val="000000"/>
                      <w:szCs w:val="21"/>
                    </w:rPr>
                    <w:t>50</w:t>
                  </w:r>
                </w:p>
              </w:tc>
            </w:tr>
          </w:tbl>
          <w:p>
            <w:pPr>
              <w:spacing w:line="360" w:lineRule="auto"/>
              <w:rPr>
                <w:color w:val="0D0D0D"/>
                <w:sz w:val="24"/>
              </w:rPr>
            </w:pPr>
          </w:p>
        </w:tc>
      </w:tr>
    </w:tbl>
    <w:p>
      <w:pPr>
        <w:sectPr>
          <w:footerReference w:type="default" r:id="rId21"/>
          <w:pgSz w:w="11906" w:h="16838"/>
          <w:pgMar w:top="1440" w:right="1800" w:bottom="1440" w:left="1800" w:header="851" w:footer="992" w:gutter="0"/>
          <w:pgNumType w:fmt="decimal" w:start="14"/>
          <w:cols w:num="1" w:space="425"/>
          <w:docGrid w:type="lines" w:linePitch="312" w:charSpace="0"/>
        </w:sectPr>
      </w:pP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7"/>
        <w:gridCol w:w="847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648"/>
          <w:jc w:val="center"/>
        </w:trPr>
        <w:tc>
          <w:tcPr>
            <w:tcW w:w="817" w:type="dxa"/>
            <w:vAlign w:val="center"/>
          </w:tcPr>
          <w:p>
            <w:pPr>
              <w:spacing w:line="360" w:lineRule="auto"/>
              <w:jc w:val="center"/>
              <w:rPr>
                <w:b/>
                <w:bCs/>
                <w:color w:val="0D0D0D"/>
                <w:sz w:val="24"/>
              </w:rPr>
            </w:pPr>
            <w:r>
              <w:rPr>
                <w:b/>
                <w:bCs/>
                <w:color w:val="0D0D0D"/>
                <w:sz w:val="24"/>
              </w:rPr>
              <w:t>污</w:t>
            </w:r>
          </w:p>
          <w:p>
            <w:pPr>
              <w:spacing w:line="360" w:lineRule="auto"/>
              <w:jc w:val="center"/>
              <w:rPr>
                <w:b/>
                <w:bCs/>
                <w:color w:val="0D0D0D"/>
                <w:sz w:val="24"/>
              </w:rPr>
            </w:pPr>
            <w:r>
              <w:rPr>
                <w:b/>
                <w:bCs/>
                <w:color w:val="0D0D0D"/>
                <w:sz w:val="24"/>
              </w:rPr>
              <w:t>染</w:t>
            </w:r>
          </w:p>
          <w:p>
            <w:pPr>
              <w:spacing w:line="360" w:lineRule="auto"/>
              <w:jc w:val="center"/>
              <w:rPr>
                <w:b/>
                <w:bCs/>
                <w:color w:val="0D0D0D"/>
                <w:sz w:val="24"/>
              </w:rPr>
            </w:pPr>
            <w:r>
              <w:rPr>
                <w:b/>
                <w:bCs/>
                <w:color w:val="0D0D0D"/>
                <w:sz w:val="24"/>
              </w:rPr>
              <w:t>物</w:t>
            </w:r>
          </w:p>
          <w:p>
            <w:pPr>
              <w:spacing w:line="360" w:lineRule="auto"/>
              <w:jc w:val="center"/>
              <w:rPr>
                <w:b/>
                <w:bCs/>
                <w:color w:val="0D0D0D"/>
                <w:sz w:val="24"/>
              </w:rPr>
            </w:pPr>
            <w:r>
              <w:rPr>
                <w:b/>
                <w:bCs/>
                <w:color w:val="0D0D0D"/>
                <w:sz w:val="24"/>
              </w:rPr>
              <w:t>排</w:t>
            </w:r>
          </w:p>
          <w:p>
            <w:pPr>
              <w:spacing w:line="360" w:lineRule="auto"/>
              <w:jc w:val="center"/>
              <w:rPr>
                <w:b/>
                <w:bCs/>
                <w:color w:val="0D0D0D"/>
                <w:sz w:val="24"/>
              </w:rPr>
            </w:pPr>
            <w:r>
              <w:rPr>
                <w:b/>
                <w:bCs/>
                <w:color w:val="0D0D0D"/>
                <w:sz w:val="24"/>
              </w:rPr>
              <w:t>放</w:t>
            </w:r>
          </w:p>
          <w:p>
            <w:pPr>
              <w:spacing w:line="360" w:lineRule="auto"/>
              <w:jc w:val="center"/>
              <w:rPr>
                <w:b/>
                <w:bCs/>
                <w:color w:val="0D0D0D"/>
                <w:sz w:val="24"/>
              </w:rPr>
            </w:pPr>
            <w:r>
              <w:rPr>
                <w:b/>
                <w:bCs/>
                <w:color w:val="0D0D0D"/>
                <w:sz w:val="24"/>
              </w:rPr>
              <w:t>标</w:t>
            </w:r>
          </w:p>
          <w:p>
            <w:pPr>
              <w:spacing w:line="360" w:lineRule="auto"/>
              <w:jc w:val="center"/>
              <w:rPr>
                <w:color w:val="0D0D0D"/>
                <w:sz w:val="24"/>
              </w:rPr>
            </w:pPr>
            <w:r>
              <w:rPr>
                <w:b/>
                <w:bCs/>
                <w:color w:val="0D0D0D"/>
                <w:sz w:val="24"/>
              </w:rPr>
              <w:t>准</w:t>
            </w:r>
          </w:p>
        </w:tc>
        <w:tc>
          <w:tcPr>
            <w:tcW w:w="8470" w:type="dxa"/>
          </w:tcPr>
          <w:p>
            <w:pPr>
              <w:adjustRightInd w:val="0"/>
              <w:snapToGrid w:val="0"/>
              <w:spacing w:line="540" w:lineRule="exact"/>
              <w:ind w:firstLine="480" w:firstLineChars="200"/>
              <w:rPr>
                <w:b/>
                <w:bCs/>
                <w:sz w:val="24"/>
              </w:rPr>
            </w:pPr>
            <w:r>
              <w:rPr>
                <w:b/>
                <w:bCs/>
                <w:sz w:val="24"/>
              </w:rPr>
              <w:t>2、项目执行污染物排放标准如下</w:t>
            </w:r>
          </w:p>
          <w:p>
            <w:pPr>
              <w:adjustRightInd w:val="0"/>
              <w:snapToGrid w:val="0"/>
              <w:spacing w:line="540" w:lineRule="exact"/>
              <w:ind w:firstLine="480" w:firstLineChars="200"/>
              <w:rPr>
                <w:b/>
                <w:bCs/>
                <w:sz w:val="24"/>
              </w:rPr>
            </w:pPr>
            <w:r>
              <w:rPr>
                <w:b/>
                <w:bCs/>
                <w:sz w:val="24"/>
              </w:rPr>
              <w:t>（1）大气污染物排放标准</w:t>
            </w:r>
          </w:p>
          <w:p>
            <w:pPr>
              <w:adjustRightInd w:val="0"/>
              <w:snapToGrid w:val="0"/>
              <w:spacing w:line="540" w:lineRule="exact"/>
              <w:ind w:firstLine="480" w:firstLineChars="200"/>
              <w:rPr>
                <w:sz w:val="24"/>
              </w:rPr>
            </w:pPr>
            <w:r>
              <w:rPr>
                <w:sz w:val="24"/>
              </w:rPr>
              <w:t>施工期排放的粉尘执行《大气污染物综合排放标准》（GB16297-1996）中“表2”颗粒物无组织排放标准限值。具体限值见表</w:t>
            </w:r>
            <w:r>
              <w:rPr>
                <w:rFonts w:hint="eastAsia"/>
                <w:sz w:val="24"/>
              </w:rPr>
              <w:t>11</w:t>
            </w:r>
            <w:r>
              <w:rPr>
                <w:sz w:val="24"/>
              </w:rPr>
              <w:t>。</w:t>
            </w:r>
          </w:p>
          <w:p>
            <w:pPr>
              <w:jc w:val="center"/>
              <w:rPr>
                <w:b/>
                <w:bCs/>
                <w:sz w:val="24"/>
              </w:rPr>
            </w:pPr>
            <w:r>
              <w:rPr>
                <w:b/>
                <w:bCs/>
                <w:sz w:val="24"/>
              </w:rPr>
              <w:t>表</w:t>
            </w:r>
            <w:r>
              <w:rPr>
                <w:rFonts w:hint="eastAsia"/>
                <w:b/>
                <w:bCs/>
                <w:sz w:val="24"/>
              </w:rPr>
              <w:t>11</w:t>
            </w:r>
            <w:r>
              <w:rPr>
                <w:b/>
                <w:bCs/>
                <w:sz w:val="24"/>
              </w:rPr>
              <w:t xml:space="preserve"> 大气污染物排放限值</w:t>
            </w:r>
          </w:p>
          <w:tbl>
            <w:tblPr>
              <w:tblStyle w:val="TableNormal"/>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452"/>
              <w:gridCol w:w="2099"/>
              <w:gridCol w:w="2232"/>
              <w:gridCol w:w="2154"/>
            </w:tblGrid>
            <w:tr>
              <w:tblPrEx>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10"/>
                <w:jc w:val="center"/>
              </w:trPr>
              <w:tc>
                <w:tcPr>
                  <w:tcW w:w="1452" w:type="dxa"/>
                  <w:vMerge w:val="restart"/>
                  <w:tcBorders>
                    <w:tl2br w:val="nil"/>
                    <w:tr2bl w:val="nil"/>
                  </w:tcBorders>
                  <w:vAlign w:val="center"/>
                </w:tcPr>
                <w:p>
                  <w:pPr>
                    <w:jc w:val="center"/>
                    <w:rPr>
                      <w:b/>
                      <w:bCs/>
                    </w:rPr>
                  </w:pPr>
                  <w:r>
                    <w:rPr>
                      <w:b/>
                      <w:bCs/>
                    </w:rPr>
                    <w:t>污染物</w:t>
                  </w:r>
                </w:p>
              </w:tc>
              <w:tc>
                <w:tcPr>
                  <w:tcW w:w="2099" w:type="dxa"/>
                  <w:vMerge w:val="restart"/>
                  <w:tcBorders>
                    <w:tl2br w:val="nil"/>
                    <w:tr2bl w:val="nil"/>
                  </w:tcBorders>
                  <w:vAlign w:val="center"/>
                </w:tcPr>
                <w:p>
                  <w:pPr>
                    <w:jc w:val="center"/>
                    <w:rPr>
                      <w:b/>
                      <w:bCs/>
                    </w:rPr>
                  </w:pPr>
                  <w:r>
                    <w:rPr>
                      <w:b/>
                      <w:bCs/>
                    </w:rPr>
                    <w:t>最高允许排放浓度（mg/m</w:t>
                  </w:r>
                  <w:r>
                    <w:rPr>
                      <w:b/>
                      <w:bCs/>
                      <w:vertAlign w:val="superscript"/>
                    </w:rPr>
                    <w:t>3</w:t>
                  </w:r>
                  <w:r>
                    <w:rPr>
                      <w:b/>
                      <w:bCs/>
                    </w:rPr>
                    <w:t>）</w:t>
                  </w:r>
                </w:p>
              </w:tc>
              <w:tc>
                <w:tcPr>
                  <w:tcW w:w="4386" w:type="dxa"/>
                  <w:gridSpan w:val="2"/>
                  <w:tcBorders>
                    <w:tl2br w:val="nil"/>
                    <w:tr2bl w:val="nil"/>
                  </w:tcBorders>
                  <w:vAlign w:val="center"/>
                </w:tcPr>
                <w:p>
                  <w:pPr>
                    <w:jc w:val="center"/>
                    <w:rPr>
                      <w:b/>
                      <w:bCs/>
                    </w:rPr>
                  </w:pPr>
                  <w:r>
                    <w:rPr>
                      <w:b/>
                      <w:bCs/>
                    </w:rPr>
                    <w:t>无组织排放监控浓度限值</w:t>
                  </w:r>
                </w:p>
              </w:tc>
            </w:tr>
            <w:tr>
              <w:tblPrEx>
                <w:tblW w:w="7937" w:type="dxa"/>
                <w:jc w:val="center"/>
                <w:tblLayout w:type="fixed"/>
                <w:tblCellMar>
                  <w:top w:w="0" w:type="dxa"/>
                  <w:left w:w="108" w:type="dxa"/>
                  <w:bottom w:w="0" w:type="dxa"/>
                  <w:right w:w="108" w:type="dxa"/>
                </w:tblCellMar>
              </w:tblPrEx>
              <w:trPr>
                <w:trHeight w:val="355"/>
                <w:jc w:val="center"/>
              </w:trPr>
              <w:tc>
                <w:tcPr>
                  <w:tcW w:w="1452" w:type="dxa"/>
                  <w:vMerge/>
                  <w:tcBorders>
                    <w:tl2br w:val="nil"/>
                    <w:tr2bl w:val="nil"/>
                  </w:tcBorders>
                  <w:vAlign w:val="center"/>
                </w:tcPr>
                <w:p>
                  <w:pPr>
                    <w:jc w:val="center"/>
                    <w:rPr>
                      <w:b/>
                      <w:bCs/>
                    </w:rPr>
                  </w:pPr>
                </w:p>
              </w:tc>
              <w:tc>
                <w:tcPr>
                  <w:tcW w:w="2099" w:type="dxa"/>
                  <w:vMerge/>
                  <w:tcBorders>
                    <w:tl2br w:val="nil"/>
                    <w:tr2bl w:val="nil"/>
                  </w:tcBorders>
                  <w:vAlign w:val="center"/>
                </w:tcPr>
                <w:p>
                  <w:pPr>
                    <w:jc w:val="center"/>
                    <w:rPr>
                      <w:b/>
                      <w:bCs/>
                    </w:rPr>
                  </w:pPr>
                </w:p>
              </w:tc>
              <w:tc>
                <w:tcPr>
                  <w:tcW w:w="2232" w:type="dxa"/>
                  <w:tcBorders>
                    <w:tl2br w:val="nil"/>
                    <w:tr2bl w:val="nil"/>
                  </w:tcBorders>
                  <w:vAlign w:val="center"/>
                </w:tcPr>
                <w:p>
                  <w:pPr>
                    <w:jc w:val="center"/>
                    <w:rPr>
                      <w:b/>
                      <w:bCs/>
                    </w:rPr>
                  </w:pPr>
                  <w:r>
                    <w:rPr>
                      <w:b/>
                      <w:bCs/>
                    </w:rPr>
                    <w:t>监控点</w:t>
                  </w:r>
                </w:p>
              </w:tc>
              <w:tc>
                <w:tcPr>
                  <w:tcW w:w="2154" w:type="dxa"/>
                  <w:tcBorders>
                    <w:tl2br w:val="nil"/>
                    <w:tr2bl w:val="nil"/>
                  </w:tcBorders>
                  <w:vAlign w:val="center"/>
                </w:tcPr>
                <w:p>
                  <w:pPr>
                    <w:jc w:val="center"/>
                    <w:rPr>
                      <w:b/>
                      <w:bCs/>
                    </w:rPr>
                  </w:pPr>
                  <w:r>
                    <w:rPr>
                      <w:b/>
                      <w:bCs/>
                    </w:rPr>
                    <w:t>浓度（mg/m</w:t>
                  </w:r>
                  <w:r>
                    <w:rPr>
                      <w:b/>
                      <w:bCs/>
                      <w:vertAlign w:val="superscript"/>
                    </w:rPr>
                    <w:t>3</w:t>
                  </w:r>
                  <w:r>
                    <w:rPr>
                      <w:b/>
                      <w:bCs/>
                    </w:rPr>
                    <w:t>）</w:t>
                  </w:r>
                </w:p>
              </w:tc>
            </w:tr>
            <w:tr>
              <w:tblPrEx>
                <w:tblW w:w="7937" w:type="dxa"/>
                <w:jc w:val="center"/>
                <w:tblLayout w:type="fixed"/>
                <w:tblCellMar>
                  <w:top w:w="0" w:type="dxa"/>
                  <w:left w:w="108" w:type="dxa"/>
                  <w:bottom w:w="0" w:type="dxa"/>
                  <w:right w:w="108" w:type="dxa"/>
                </w:tblCellMar>
              </w:tblPrEx>
              <w:trPr>
                <w:trHeight w:val="374"/>
                <w:jc w:val="center"/>
              </w:trPr>
              <w:tc>
                <w:tcPr>
                  <w:tcW w:w="1452" w:type="dxa"/>
                  <w:tcBorders>
                    <w:tl2br w:val="nil"/>
                    <w:tr2bl w:val="nil"/>
                  </w:tcBorders>
                  <w:vAlign w:val="center"/>
                </w:tcPr>
                <w:p>
                  <w:pPr>
                    <w:jc w:val="center"/>
                  </w:pPr>
                  <w:r>
                    <w:t>颗粒物</w:t>
                  </w:r>
                </w:p>
              </w:tc>
              <w:tc>
                <w:tcPr>
                  <w:tcW w:w="2099" w:type="dxa"/>
                  <w:tcBorders>
                    <w:tl2br w:val="nil"/>
                    <w:tr2bl w:val="nil"/>
                  </w:tcBorders>
                  <w:vAlign w:val="center"/>
                </w:tcPr>
                <w:p>
                  <w:pPr>
                    <w:jc w:val="center"/>
                  </w:pPr>
                  <w:r>
                    <w:t>120</w:t>
                  </w:r>
                </w:p>
              </w:tc>
              <w:tc>
                <w:tcPr>
                  <w:tcW w:w="2232" w:type="dxa"/>
                  <w:tcBorders>
                    <w:tl2br w:val="nil"/>
                    <w:tr2bl w:val="nil"/>
                  </w:tcBorders>
                  <w:vAlign w:val="center"/>
                </w:tcPr>
                <w:p>
                  <w:pPr>
                    <w:jc w:val="center"/>
                  </w:pPr>
                  <w:r>
                    <w:t>周界外浓度最高点</w:t>
                  </w:r>
                </w:p>
              </w:tc>
              <w:tc>
                <w:tcPr>
                  <w:tcW w:w="2154" w:type="dxa"/>
                  <w:tcBorders>
                    <w:tl2br w:val="nil"/>
                    <w:tr2bl w:val="nil"/>
                  </w:tcBorders>
                  <w:vAlign w:val="center"/>
                </w:tcPr>
                <w:p>
                  <w:pPr>
                    <w:jc w:val="center"/>
                  </w:pPr>
                  <w:r>
                    <w:t>1.0</w:t>
                  </w:r>
                </w:p>
              </w:tc>
            </w:tr>
          </w:tbl>
          <w:p>
            <w:pPr>
              <w:adjustRightInd w:val="0"/>
              <w:snapToGrid w:val="0"/>
              <w:spacing w:line="540" w:lineRule="exact"/>
              <w:ind w:firstLine="480" w:firstLineChars="200"/>
              <w:rPr>
                <w:b/>
                <w:bCs/>
                <w:sz w:val="24"/>
              </w:rPr>
            </w:pPr>
            <w:r>
              <w:rPr>
                <w:b/>
                <w:bCs/>
                <w:sz w:val="24"/>
              </w:rPr>
              <w:t>（2）施工噪声排放标准</w:t>
            </w:r>
          </w:p>
          <w:p>
            <w:pPr>
              <w:adjustRightInd w:val="0"/>
              <w:snapToGrid w:val="0"/>
              <w:spacing w:line="540" w:lineRule="exact"/>
              <w:ind w:firstLine="480" w:firstLineChars="200"/>
              <w:rPr>
                <w:sz w:val="24"/>
              </w:rPr>
            </w:pPr>
            <w:r>
              <w:rPr>
                <w:sz w:val="24"/>
              </w:rPr>
              <w:t>施工期：建筑场界执行《建筑施工场界环境噪声排放标准》（GB12523-2011）。具体限值见表</w:t>
            </w:r>
            <w:r>
              <w:rPr>
                <w:rFonts w:hint="eastAsia"/>
                <w:sz w:val="24"/>
              </w:rPr>
              <w:t>12</w:t>
            </w:r>
            <w:r>
              <w:rPr>
                <w:sz w:val="24"/>
              </w:rPr>
              <w:t>。</w:t>
            </w:r>
          </w:p>
          <w:p>
            <w:pPr>
              <w:ind w:firstLine="480"/>
              <w:jc w:val="center"/>
              <w:rPr>
                <w:rFonts w:cs="宋体"/>
                <w:b/>
                <w:bCs/>
                <w:sz w:val="24"/>
              </w:rPr>
            </w:pPr>
            <w:r>
              <w:rPr>
                <w:rFonts w:cs="宋体"/>
                <w:b/>
                <w:bCs/>
                <w:sz w:val="24"/>
              </w:rPr>
              <w:t>表</w:t>
            </w:r>
            <w:r>
              <w:rPr>
                <w:rFonts w:cs="宋体" w:hint="eastAsia"/>
                <w:b/>
                <w:bCs/>
                <w:sz w:val="24"/>
              </w:rPr>
              <w:t xml:space="preserve">12 </w:t>
            </w:r>
            <w:r>
              <w:rPr>
                <w:rFonts w:cs="宋体"/>
                <w:b/>
                <w:bCs/>
                <w:sz w:val="24"/>
              </w:rPr>
              <w:t xml:space="preserve"> 建筑施工场界环境噪声排放限值   单位：dB（A）</w:t>
            </w:r>
          </w:p>
          <w:tbl>
            <w:tblPr>
              <w:tblStyle w:val="TableNormal"/>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3972"/>
              <w:gridCol w:w="3965"/>
            </w:tblGrid>
            <w:tr>
              <w:tblPrEx>
                <w:tblW w:w="793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cantSplit/>
                <w:trHeight w:val="303"/>
                <w:jc w:val="center"/>
              </w:trPr>
              <w:tc>
                <w:tcPr>
                  <w:tcW w:w="4287" w:type="dxa"/>
                  <w:tcBorders>
                    <w:tl2br w:val="nil"/>
                    <w:tr2bl w:val="nil"/>
                  </w:tcBorders>
                  <w:vAlign w:val="center"/>
                </w:tcPr>
                <w:p>
                  <w:pPr>
                    <w:snapToGrid w:val="0"/>
                    <w:jc w:val="center"/>
                    <w:rPr>
                      <w:b/>
                      <w:bCs/>
                    </w:rPr>
                  </w:pPr>
                  <w:r>
                    <w:rPr>
                      <w:b/>
                      <w:bCs/>
                    </w:rPr>
                    <w:t>昼间</w:t>
                  </w:r>
                </w:p>
              </w:tc>
              <w:tc>
                <w:tcPr>
                  <w:tcW w:w="4279" w:type="dxa"/>
                  <w:tcBorders>
                    <w:tl2br w:val="nil"/>
                    <w:tr2bl w:val="nil"/>
                  </w:tcBorders>
                  <w:vAlign w:val="center"/>
                </w:tcPr>
                <w:p>
                  <w:pPr>
                    <w:snapToGrid w:val="0"/>
                    <w:jc w:val="center"/>
                    <w:rPr>
                      <w:b/>
                      <w:bCs/>
                    </w:rPr>
                  </w:pPr>
                  <w:r>
                    <w:rPr>
                      <w:b/>
                      <w:bCs/>
                    </w:rPr>
                    <w:t>夜间</w:t>
                  </w:r>
                </w:p>
              </w:tc>
            </w:tr>
            <w:tr>
              <w:tblPrEx>
                <w:tblW w:w="7937" w:type="dxa"/>
                <w:jc w:val="center"/>
                <w:tblLayout w:type="fixed"/>
                <w:tblCellMar>
                  <w:top w:w="0" w:type="dxa"/>
                  <w:left w:w="108" w:type="dxa"/>
                  <w:bottom w:w="0" w:type="dxa"/>
                  <w:right w:w="108" w:type="dxa"/>
                </w:tblCellMar>
              </w:tblPrEx>
              <w:trPr>
                <w:cantSplit/>
                <w:trHeight w:val="358"/>
                <w:jc w:val="center"/>
              </w:trPr>
              <w:tc>
                <w:tcPr>
                  <w:tcW w:w="4287" w:type="dxa"/>
                  <w:tcBorders>
                    <w:tl2br w:val="nil"/>
                    <w:tr2bl w:val="nil"/>
                  </w:tcBorders>
                  <w:vAlign w:val="center"/>
                </w:tcPr>
                <w:p>
                  <w:pPr>
                    <w:snapToGrid w:val="0"/>
                    <w:jc w:val="center"/>
                  </w:pPr>
                  <w:r>
                    <w:t>70</w:t>
                  </w:r>
                </w:p>
              </w:tc>
              <w:tc>
                <w:tcPr>
                  <w:tcW w:w="4279" w:type="dxa"/>
                  <w:tcBorders>
                    <w:tl2br w:val="nil"/>
                    <w:tr2bl w:val="nil"/>
                  </w:tcBorders>
                  <w:vAlign w:val="center"/>
                </w:tcPr>
                <w:p>
                  <w:pPr>
                    <w:snapToGrid w:val="0"/>
                    <w:jc w:val="center"/>
                  </w:pPr>
                  <w:r>
                    <w:t>55</w:t>
                  </w:r>
                </w:p>
              </w:tc>
            </w:tr>
          </w:tbl>
          <w:p>
            <w:pPr>
              <w:autoSpaceDE w:val="0"/>
              <w:autoSpaceDN w:val="0"/>
              <w:adjustRightInd w:val="0"/>
              <w:rPr>
                <w:rFonts w:ascii="宋体" w:cs="宋体"/>
                <w:color w:val="000000"/>
                <w:sz w:val="24"/>
              </w:rPr>
            </w:pPr>
          </w:p>
        </w:tc>
      </w:tr>
      <w:tr>
        <w:tblPrEx>
          <w:tblW w:w="0" w:type="auto"/>
          <w:jc w:val="center"/>
          <w:tblLayout w:type="fixed"/>
          <w:tblCellMar>
            <w:top w:w="0" w:type="dxa"/>
            <w:left w:w="108" w:type="dxa"/>
            <w:bottom w:w="0" w:type="dxa"/>
            <w:right w:w="108" w:type="dxa"/>
          </w:tblCellMar>
        </w:tblPrEx>
        <w:trPr>
          <w:trHeight w:val="5335"/>
          <w:jc w:val="center"/>
        </w:trPr>
        <w:tc>
          <w:tcPr>
            <w:tcW w:w="817" w:type="dxa"/>
            <w:vAlign w:val="center"/>
          </w:tcPr>
          <w:p>
            <w:pPr>
              <w:spacing w:before="240" w:line="360" w:lineRule="auto"/>
              <w:jc w:val="center"/>
              <w:rPr>
                <w:b/>
                <w:bCs/>
                <w:color w:val="0D0D0D"/>
                <w:sz w:val="24"/>
              </w:rPr>
            </w:pPr>
            <w:r>
              <w:rPr>
                <w:rFonts w:hint="eastAsia"/>
                <w:b/>
                <w:bCs/>
                <w:color w:val="0D0D0D"/>
                <w:sz w:val="24"/>
              </w:rPr>
              <w:t>总</w:t>
            </w:r>
          </w:p>
          <w:p>
            <w:pPr>
              <w:spacing w:before="240" w:line="360" w:lineRule="auto"/>
              <w:jc w:val="center"/>
              <w:rPr>
                <w:b/>
                <w:bCs/>
                <w:color w:val="0D0D0D"/>
                <w:sz w:val="24"/>
              </w:rPr>
            </w:pPr>
            <w:r>
              <w:rPr>
                <w:b/>
                <w:bCs/>
                <w:color w:val="0D0D0D"/>
                <w:sz w:val="24"/>
              </w:rPr>
              <w:t>量</w:t>
            </w:r>
          </w:p>
          <w:p>
            <w:pPr>
              <w:spacing w:before="240" w:line="360" w:lineRule="auto"/>
              <w:jc w:val="center"/>
              <w:rPr>
                <w:b/>
                <w:bCs/>
                <w:color w:val="0D0D0D"/>
                <w:sz w:val="24"/>
              </w:rPr>
            </w:pPr>
            <w:r>
              <w:rPr>
                <w:b/>
                <w:bCs/>
                <w:color w:val="0D0D0D"/>
                <w:sz w:val="24"/>
              </w:rPr>
              <w:t>控</w:t>
            </w:r>
          </w:p>
          <w:p>
            <w:pPr>
              <w:spacing w:before="240" w:line="360" w:lineRule="auto"/>
              <w:jc w:val="center"/>
              <w:rPr>
                <w:b/>
                <w:bCs/>
                <w:color w:val="0D0D0D"/>
                <w:sz w:val="24"/>
              </w:rPr>
            </w:pPr>
            <w:r>
              <w:rPr>
                <w:b/>
                <w:bCs/>
                <w:color w:val="0D0D0D"/>
                <w:sz w:val="24"/>
              </w:rPr>
              <w:t>制</w:t>
            </w:r>
          </w:p>
          <w:p>
            <w:pPr>
              <w:spacing w:before="240" w:line="360" w:lineRule="auto"/>
              <w:jc w:val="center"/>
              <w:rPr>
                <w:b/>
                <w:bCs/>
                <w:color w:val="0D0D0D"/>
                <w:sz w:val="24"/>
              </w:rPr>
            </w:pPr>
            <w:r>
              <w:rPr>
                <w:b/>
                <w:bCs/>
                <w:color w:val="0D0D0D"/>
                <w:sz w:val="24"/>
              </w:rPr>
              <w:t>指</w:t>
            </w:r>
          </w:p>
          <w:p>
            <w:pPr>
              <w:spacing w:line="360" w:lineRule="auto"/>
              <w:jc w:val="center"/>
              <w:rPr>
                <w:b/>
                <w:bCs/>
                <w:color w:val="0D0D0D"/>
                <w:sz w:val="24"/>
              </w:rPr>
            </w:pPr>
            <w:r>
              <w:rPr>
                <w:b/>
                <w:bCs/>
                <w:color w:val="0D0D0D"/>
                <w:sz w:val="24"/>
              </w:rPr>
              <w:t>标</w:t>
            </w:r>
          </w:p>
        </w:tc>
        <w:tc>
          <w:tcPr>
            <w:tcW w:w="8470" w:type="dxa"/>
          </w:tcPr>
          <w:p>
            <w:pPr>
              <w:snapToGrid w:val="0"/>
              <w:jc w:val="center"/>
              <w:rPr>
                <w:rFonts w:ascii="宋体" w:hAnsi="Arial" w:cs="Arial"/>
                <w:b/>
                <w:bCs/>
                <w:sz w:val="24"/>
                <w:szCs w:val="20"/>
              </w:rPr>
            </w:pPr>
          </w:p>
          <w:p>
            <w:pPr>
              <w:rPr>
                <w:sz w:val="24"/>
              </w:rPr>
            </w:pPr>
          </w:p>
          <w:p>
            <w:pPr>
              <w:autoSpaceDE w:val="0"/>
              <w:autoSpaceDN w:val="0"/>
              <w:adjustRightInd w:val="0"/>
              <w:rPr>
                <w:rFonts w:ascii="宋体" w:cs="宋体"/>
                <w:color w:val="000000"/>
                <w:sz w:val="24"/>
              </w:rPr>
            </w:pPr>
          </w:p>
          <w:p>
            <w:pPr>
              <w:snapToGrid w:val="0"/>
              <w:jc w:val="center"/>
              <w:rPr>
                <w:rFonts w:ascii="宋体" w:hAnsi="Arial" w:cs="Arial"/>
                <w:b/>
                <w:bCs/>
                <w:sz w:val="24"/>
                <w:szCs w:val="20"/>
              </w:rPr>
            </w:pPr>
          </w:p>
          <w:p>
            <w:pPr>
              <w:pStyle w:val="Default"/>
              <w:spacing w:line="540" w:lineRule="exact"/>
              <w:ind w:firstLine="480" w:firstLineChars="200"/>
              <w:rPr>
                <w:rFonts w:hAnsi="Arial" w:cs="Arial"/>
                <w:b/>
                <w:bCs/>
                <w:kern w:val="2"/>
                <w:szCs w:val="20"/>
              </w:rPr>
            </w:pPr>
            <w:r>
              <w:rPr>
                <w:rFonts w:hint="eastAsia"/>
                <w:kern w:val="0"/>
                <w:sz w:val="24"/>
              </w:rPr>
              <w:t>本项目为污水管网工程，运营过程中污水通过污水管道进入到</w:t>
            </w:r>
            <w:r>
              <w:rPr>
                <w:sz w:val="24"/>
              </w:rPr>
              <w:t>新城水质净化厂</w:t>
            </w:r>
            <w:r>
              <w:rPr>
                <w:rFonts w:hint="eastAsia"/>
                <w:kern w:val="0"/>
                <w:sz w:val="24"/>
              </w:rPr>
              <w:t>处理，不单独设置总量控制指标。</w:t>
            </w:r>
          </w:p>
          <w:p>
            <w:pPr>
              <w:pStyle w:val="1"/>
              <w:rPr>
                <w:rFonts w:hAnsi="Arial" w:cs="Arial"/>
                <w:sz w:val="24"/>
              </w:rPr>
            </w:pPr>
          </w:p>
          <w:p/>
          <w:p>
            <w:pPr>
              <w:pStyle w:val="1"/>
            </w:pPr>
          </w:p>
          <w:p>
            <w:pPr>
              <w:spacing w:line="360" w:lineRule="auto"/>
              <w:ind w:firstLine="480" w:firstLineChars="200"/>
              <w:jc w:val="left"/>
              <w:rPr>
                <w:sz w:val="24"/>
              </w:rPr>
            </w:pPr>
          </w:p>
          <w:p>
            <w:pPr>
              <w:spacing w:line="360" w:lineRule="auto"/>
              <w:ind w:firstLine="480" w:firstLineChars="200"/>
              <w:jc w:val="left"/>
              <w:rPr>
                <w:rFonts w:ascii="宋体" w:cs="宋体"/>
                <w:color w:val="000000"/>
                <w:sz w:val="24"/>
              </w:rPr>
            </w:pPr>
            <w:r>
              <w:rPr>
                <w:rFonts w:hint="eastAsia"/>
                <w:sz w:val="24"/>
              </w:rPr>
              <w:br/>
            </w:r>
          </w:p>
        </w:tc>
      </w:tr>
    </w:tbl>
    <w:p>
      <w:pPr>
        <w:spacing w:line="360" w:lineRule="auto"/>
        <w:outlineLvl w:val="0"/>
        <w:rPr>
          <w:b/>
          <w:sz w:val="30"/>
          <w:szCs w:val="30"/>
        </w:rPr>
        <w:sectPr>
          <w:footerReference w:type="default" r:id="rId22"/>
          <w:type w:val="nextPage"/>
          <w:pgSz w:w="11906" w:h="16838"/>
          <w:pgMar w:top="1440" w:right="1800" w:bottom="1440" w:left="1800" w:header="851" w:footer="992" w:gutter="0"/>
          <w:pgNumType w:fmt="decimal" w:start="15"/>
          <w:cols w:num="1" w:space="425"/>
          <w:titlePg w:val="0"/>
          <w:docGrid w:type="lines" w:linePitch="312" w:charSpace="0"/>
        </w:sectPr>
      </w:pPr>
    </w:p>
    <w:p>
      <w:pPr>
        <w:spacing w:line="360" w:lineRule="auto"/>
        <w:outlineLvl w:val="0"/>
        <w:rPr>
          <w:b/>
          <w:sz w:val="30"/>
          <w:szCs w:val="30"/>
        </w:rPr>
      </w:pPr>
      <w:r>
        <w:rPr>
          <w:rFonts w:hint="eastAsia"/>
          <w:b/>
          <w:sz w:val="30"/>
          <w:szCs w:val="30"/>
        </w:rPr>
        <w:t>建设项目工程分析</w:t>
      </w:r>
    </w:p>
    <w:tbl>
      <w:tblPr>
        <w:tblStyle w:val="TableGrid6"/>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p>
            <w:pPr>
              <w:spacing w:line="360" w:lineRule="auto"/>
              <w:jc w:val="left"/>
              <w:rPr>
                <w:b/>
                <w:color w:val="0D0D0D"/>
                <w:sz w:val="28"/>
                <w:szCs w:val="28"/>
              </w:rPr>
            </w:pPr>
            <w:r>
              <w:rPr>
                <w:b/>
                <w:color w:val="0D0D0D"/>
                <w:sz w:val="28"/>
                <w:szCs w:val="28"/>
              </w:rPr>
              <w:t>工艺流程简述（图示）：</w:t>
            </w:r>
          </w:p>
          <w:p>
            <w:pPr>
              <w:adjustRightInd w:val="0"/>
              <w:snapToGrid w:val="0"/>
              <w:spacing w:line="540" w:lineRule="exact"/>
              <w:ind w:firstLine="480" w:firstLineChars="200"/>
              <w:rPr>
                <w:b/>
                <w:bCs/>
                <w:color w:val="0D0D0D"/>
                <w:sz w:val="24"/>
              </w:rPr>
            </w:pPr>
            <w:r>
              <w:rPr>
                <w:b/>
                <w:bCs/>
                <w:color w:val="0D0D0D"/>
                <w:sz w:val="24"/>
              </w:rPr>
              <w:t>一、施工期：</w:t>
            </w:r>
          </w:p>
          <w:p>
            <w:pPr>
              <w:adjustRightInd w:val="0"/>
              <w:snapToGrid w:val="0"/>
              <w:spacing w:line="540" w:lineRule="exact"/>
              <w:ind w:firstLine="480" w:firstLineChars="200"/>
              <w:rPr>
                <w:b/>
                <w:sz w:val="24"/>
              </w:rPr>
            </w:pPr>
            <w:r>
              <w:rPr>
                <w:b/>
                <w:sz w:val="24"/>
              </w:rPr>
              <w:t>1、施工期工艺流程及产污节点示意图:</w:t>
            </w:r>
          </w:p>
          <w:p>
            <w:pPr>
              <w:spacing w:line="360" w:lineRule="auto"/>
              <w:ind w:firstLine="420"/>
              <w:rPr>
                <w:color w:val="0D0D0D"/>
                <w:sz w:val="24"/>
              </w:rPr>
            </w:pPr>
            <w:r>
              <w:drawing>
                <wp:inline distT="0" distB="0" distL="114300" distR="114300">
                  <wp:extent cx="5057775" cy="58102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3"/>
                          <a:stretch>
                            <a:fillRect/>
                          </a:stretch>
                        </pic:blipFill>
                        <pic:spPr>
                          <a:xfrm>
                            <a:off x="0" y="0"/>
                            <a:ext cx="5057775" cy="5810250"/>
                          </a:xfrm>
                          <a:prstGeom prst="rect">
                            <a:avLst/>
                          </a:prstGeom>
                          <a:noFill/>
                          <a:ln>
                            <a:noFill/>
                          </a:ln>
                        </pic:spPr>
                      </pic:pic>
                    </a:graphicData>
                  </a:graphic>
                </wp:inline>
              </w:drawing>
            </w:r>
          </w:p>
          <w:p>
            <w:pPr>
              <w:pStyle w:val="Default"/>
              <w:jc w:val="both"/>
            </w:pPr>
          </w:p>
          <w:p>
            <w:pPr>
              <w:spacing w:line="360" w:lineRule="auto"/>
              <w:ind w:firstLine="2160" w:firstLineChars="900"/>
              <w:rPr>
                <w:color w:val="0D0D0D"/>
                <w:sz w:val="24"/>
              </w:rPr>
            </w:pPr>
            <w:r>
              <w:rPr>
                <w:rFonts w:hint="eastAsia"/>
                <w:b/>
                <w:bCs/>
                <w:color w:val="0D0D0D"/>
                <w:sz w:val="24"/>
              </w:rPr>
              <w:t xml:space="preserve">图1 </w:t>
            </w:r>
            <w:r>
              <w:rPr>
                <w:b/>
                <w:color w:val="0D0D0D"/>
                <w:sz w:val="24"/>
              </w:rPr>
              <w:t>管槽开挖工艺流程及产污节点图</w:t>
            </w:r>
          </w:p>
          <w:p>
            <w:pPr>
              <w:adjustRightInd w:val="0"/>
              <w:snapToGrid w:val="0"/>
              <w:spacing w:line="540" w:lineRule="exact"/>
              <w:ind w:firstLine="480" w:firstLineChars="200"/>
              <w:rPr>
                <w:b/>
                <w:color w:val="0D0D0D"/>
                <w:sz w:val="24"/>
              </w:rPr>
            </w:pPr>
            <w:r>
              <w:rPr>
                <w:b/>
                <w:color w:val="0D0D0D"/>
                <w:sz w:val="24"/>
              </w:rPr>
              <w:t>管槽开挖施工工艺简述：</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（1）破除路面：对水泥或沥青路线进行结构拆除；</w:t>
            </w:r>
          </w:p>
        </w:tc>
      </w:tr>
    </w:tbl>
    <w:p>
      <w:pPr>
        <w:sectPr>
          <w:footerReference w:type="default" r:id="rId24"/>
          <w:pgSz w:w="11906" w:h="16838"/>
          <w:pgMar w:top="1440" w:right="1800" w:bottom="1440" w:left="1800" w:header="851" w:footer="992" w:gutter="0"/>
          <w:pgNumType w:fmt="decimal" w:start="16"/>
          <w:cols w:num="1" w:space="425"/>
          <w:docGrid w:type="lines" w:linePitch="312" w:charSpace="0"/>
        </w:sectPr>
      </w:pPr>
    </w:p>
    <w:p>
      <w:pPr>
        <w:sectPr>
          <w:footerReference w:type="default" r:id="rId25"/>
          <w:pgSz w:w="11906" w:h="16838"/>
          <w:pgMar w:top="1440" w:right="1800" w:bottom="1440" w:left="1800" w:header="851" w:footer="992" w:gutter="0"/>
          <w:pgNumType w:fmt="decimal" w:start="37"/>
          <w:cols w:num="1" w:space="425"/>
          <w:docGrid w:type="lines" w:linePitch="312" w:charSpace="0"/>
        </w:sectPr>
      </w:pPr>
    </w:p>
    <w:tbl>
      <w:tblPr>
        <w:tblStyle w:val="TableGrid7"/>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（2）基槽开挖：采取机械明挖为主，人工为辅，沟槽土方开挖采用履带式挖掘机挖土，土方堆积在沟槽一侧，距离沟槽边沿应保证大于2m，对于土方运至政府制定地点堆放。</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（3）运管、布管：车辆运送管节及人工搬运；采用起重机进行吊装及人工结合；</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（4）闭水实验：将段管两端井口封堵，在检查井注水试验段管，观察管道渗水量，直至观测结束。</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（5）回填土方：利用基槽开挖产生原土回填，并进行平整和夯实。回填施工采用机械回填为主人工为辅的作业方式。</w:t>
            </w:r>
          </w:p>
          <w:p>
            <w:pPr>
              <w:adjustRightInd w:val="0"/>
              <w:snapToGrid w:val="0"/>
              <w:spacing w:line="540" w:lineRule="exact"/>
              <w:ind w:firstLine="480" w:firstLineChars="200"/>
              <w:rPr>
                <w:sz w:val="24"/>
              </w:rPr>
            </w:pPr>
            <w:r>
              <w:rPr>
                <w:sz w:val="24"/>
              </w:rPr>
              <w:t>（6）施工过程中对现状路面破除路段，施工结束后需按原状恢复。</w:t>
            </w:r>
          </w:p>
          <w:p>
            <w:pPr>
              <w:adjustRightInd w:val="0"/>
              <w:snapToGrid w:val="0"/>
              <w:spacing w:line="540" w:lineRule="exact"/>
              <w:ind w:firstLine="480" w:firstLineChars="200"/>
              <w:rPr>
                <w:b/>
                <w:bCs/>
                <w:sz w:val="24"/>
                <w:lang w:val="zh-CN"/>
              </w:rPr>
            </w:pPr>
            <w:r>
              <w:rPr>
                <w:b/>
                <w:bCs/>
                <w:sz w:val="24"/>
                <w:lang w:val="zh-CN"/>
              </w:rPr>
              <w:t>主要污染工序：</w:t>
            </w:r>
          </w:p>
          <w:p>
            <w:pPr>
              <w:adjustRightInd w:val="0"/>
              <w:snapToGrid w:val="0"/>
              <w:spacing w:line="540" w:lineRule="exact"/>
              <w:ind w:firstLine="480" w:firstLineChars="200"/>
              <w:outlineLvl w:val="3"/>
              <w:rPr>
                <w:b/>
                <w:color w:val="0D0D0D"/>
                <w:spacing w:val="6"/>
                <w:sz w:val="24"/>
              </w:rPr>
            </w:pPr>
            <w:r>
              <w:rPr>
                <w:b/>
                <w:color w:val="0D0D0D"/>
                <w:spacing w:val="6"/>
                <w:sz w:val="24"/>
              </w:rPr>
              <w:t>（一）施工期污染源强分析</w:t>
            </w:r>
          </w:p>
          <w:p>
            <w:pPr>
              <w:adjustRightInd w:val="0"/>
              <w:snapToGrid w:val="0"/>
              <w:spacing w:line="540" w:lineRule="exact"/>
              <w:ind w:firstLine="480" w:firstLineChars="200"/>
              <w:outlineLvl w:val="3"/>
              <w:rPr>
                <w:b/>
                <w:color w:val="0D0D0D"/>
                <w:spacing w:val="6"/>
                <w:sz w:val="24"/>
              </w:rPr>
            </w:pPr>
            <w:r>
              <w:rPr>
                <w:b/>
                <w:color w:val="0D0D0D"/>
                <w:spacing w:val="6"/>
                <w:sz w:val="24"/>
              </w:rPr>
              <w:t>1、水污染物</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（1）生活污水</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施工现场不设置施工生活营地，施工人员租用周边民房，生活污水依托民房污水处理设施处理，本项目不单独统计。</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（2）施工废水</w:t>
            </w:r>
          </w:p>
          <w:p>
            <w:pPr>
              <w:adjustRightInd w:val="0"/>
              <w:snapToGrid w:val="0"/>
              <w:spacing w:line="540" w:lineRule="exact"/>
              <w:ind w:firstLine="480" w:firstLineChars="200"/>
              <w:rPr>
                <w:sz w:val="24"/>
              </w:rPr>
            </w:pPr>
            <w:r>
              <w:rPr>
                <w:sz w:val="24"/>
              </w:rPr>
              <w:t>施工废水主要来自暴雨地表径流废水、少量设备工具清洗废水等，产生量较小，主要污染物为SS。</w:t>
            </w:r>
          </w:p>
          <w:p>
            <w:pPr>
              <w:adjustRightInd w:val="0"/>
              <w:snapToGrid w:val="0"/>
              <w:spacing w:line="540" w:lineRule="exact"/>
              <w:ind w:firstLine="480" w:firstLineChars="200"/>
              <w:outlineLvl w:val="3"/>
              <w:rPr>
                <w:b/>
                <w:color w:val="0D0D0D"/>
                <w:spacing w:val="6"/>
                <w:sz w:val="24"/>
              </w:rPr>
            </w:pPr>
            <w:r>
              <w:rPr>
                <w:b/>
                <w:color w:val="0D0D0D"/>
                <w:spacing w:val="6"/>
                <w:sz w:val="24"/>
              </w:rPr>
              <w:t>2、大气污染物</w:t>
            </w:r>
          </w:p>
          <w:p>
            <w:pPr>
              <w:pStyle w:val="NormalIndent"/>
              <w:adjustRightInd w:val="0"/>
              <w:snapToGrid w:val="0"/>
              <w:spacing w:line="540" w:lineRule="exact"/>
              <w:ind w:firstLine="480"/>
              <w:rPr>
                <w:rFonts w:ascii="Times New Roman" w:hAnsi="Times New Roman"/>
                <w:sz w:val="24"/>
              </w:rPr>
            </w:pPr>
            <w:r>
              <w:rPr>
                <w:rFonts w:ascii="Times New Roman" w:hAnsi="Times New Roman"/>
                <w:sz w:val="24"/>
              </w:rPr>
              <w:t>（1）扬尘</w:t>
            </w:r>
          </w:p>
          <w:p>
            <w:pPr>
              <w:pStyle w:val="NormalIndent"/>
              <w:adjustRightInd w:val="0"/>
              <w:snapToGrid w:val="0"/>
              <w:spacing w:after="0" w:line="540" w:lineRule="exact"/>
              <w:ind w:firstLine="480"/>
              <w:rPr>
                <w:rFonts w:ascii="Times New Roman" w:hAnsi="Times New Roman"/>
                <w:sz w:val="24"/>
              </w:rPr>
            </w:pPr>
            <w:r>
              <w:rPr>
                <w:rFonts w:ascii="Times New Roman" w:hAnsi="Times New Roman"/>
                <w:sz w:val="24"/>
              </w:rPr>
              <w:t>在水泥路面的破除及清理、管道的开挖、沟槽回填等施工过程，筑路材料的运输、装卸、拌合过程中有大量的粉尘散落到周围大气中。筑路材料堆放时由于风吹引起扬尘污染，尤其在风速较大或装卸、汽车行驶速度较快的情况下，粉尘污染更为严重。根据国内公路施工现场汽车运输引起的扬尘现场监测结果，车辆下风向50 m处TSP的浓度为11.625 mg/m</w:t>
            </w:r>
            <w:r>
              <w:rPr>
                <w:rFonts w:ascii="Times New Roman" w:hAnsi="Times New Roman"/>
                <w:sz w:val="24"/>
                <w:vertAlign w:val="superscript"/>
              </w:rPr>
              <w:t>3</w:t>
            </w:r>
            <w:r>
              <w:rPr>
                <w:rFonts w:ascii="Times New Roman" w:hAnsi="Times New Roman"/>
                <w:sz w:val="24"/>
              </w:rPr>
              <w:t>；下风向100 m处TSP的浓度为9.69 mg/m</w:t>
            </w:r>
            <w:r>
              <w:rPr>
                <w:rFonts w:ascii="Times New Roman" w:hAnsi="Times New Roman"/>
                <w:sz w:val="24"/>
                <w:vertAlign w:val="superscript"/>
              </w:rPr>
              <w:t>3</w:t>
            </w:r>
            <w:r>
              <w:rPr>
                <w:rFonts w:ascii="Times New Roman" w:hAnsi="Times New Roman"/>
                <w:sz w:val="24"/>
              </w:rPr>
              <w:t>；下风向150</w:t>
            </w:r>
          </w:p>
        </w:tc>
      </w:tr>
    </w:tbl>
    <w:p>
      <w:pPr>
        <w:sectPr>
          <w:footerReference w:type="default" r:id="rId26"/>
          <w:type w:val="nextPage"/>
          <w:pgSz w:w="11906" w:h="16838"/>
          <w:pgMar w:top="1440" w:right="1800" w:bottom="1440" w:left="1800" w:header="851" w:footer="992" w:gutter="0"/>
          <w:pgNumType w:fmt="decimal" w:start="17"/>
          <w:cols w:num="1" w:space="425"/>
          <w:titlePg w:val="0"/>
          <w:docGrid w:type="lines" w:linePitch="312" w:charSpace="0"/>
        </w:sectPr>
      </w:pPr>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https://d.book118.com/515131141311011123</w:t>
        </w:r>
      </w:hyperlink>
    </w:p>
    <w:p/>
    <w:sectPr>
      <w:footerReference w:type="default" r:id="rId28"/>
      <w:pgSz w:w="11906" w:h="16838"/>
      <w:pgMar w:top="1440" w:right="1800" w:bottom="1440" w:left="1800" w:header="851" w:footer="992" w:gutter="0"/>
      <w:pgNumType w:fmt="decimal" w:start="37"/>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547580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787127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340156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6282129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354636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65538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238804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49554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5066435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587835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76491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967868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105704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955056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351541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34873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184257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3660DFF"/>
    <w:multiLevelType w:val="singleLevel"/>
    <w:tmpl w:val="C3660DFF"/>
    <w:lvl w:ilvl="0">
      <w:start w:val="2"/>
      <w:numFmt w:val="chineseCounting"/>
      <w:suff w:val="nothing"/>
      <w:lvlText w:val="%1、"/>
      <w:lvlJc w:val="left"/>
      <w:rPr>
        <w:rFonts w:hint="eastAsia"/>
      </w:rPr>
    </w:lvl>
  </w:abstractNum>
  <w:abstractNum w:abstractNumId="1">
    <w:nsid w:val="5C88D4BD"/>
    <w:multiLevelType w:val="singleLevel"/>
    <w:tmpl w:val="5C88D4BD"/>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F04"/>
    <w:rsid w:val="00000D97"/>
    <w:rsid w:val="00003A29"/>
    <w:rsid w:val="00004B7D"/>
    <w:rsid w:val="00006E6D"/>
    <w:rsid w:val="00014FDD"/>
    <w:rsid w:val="00020E89"/>
    <w:rsid w:val="000243CD"/>
    <w:rsid w:val="00031BFF"/>
    <w:rsid w:val="0003357C"/>
    <w:rsid w:val="00036219"/>
    <w:rsid w:val="00046508"/>
    <w:rsid w:val="00054545"/>
    <w:rsid w:val="0005622E"/>
    <w:rsid w:val="0006135A"/>
    <w:rsid w:val="00061AC6"/>
    <w:rsid w:val="00063767"/>
    <w:rsid w:val="00064007"/>
    <w:rsid w:val="0007342D"/>
    <w:rsid w:val="00081394"/>
    <w:rsid w:val="0008260F"/>
    <w:rsid w:val="00091EFD"/>
    <w:rsid w:val="00093B23"/>
    <w:rsid w:val="000A21B3"/>
    <w:rsid w:val="000A7093"/>
    <w:rsid w:val="000A76E8"/>
    <w:rsid w:val="000B191A"/>
    <w:rsid w:val="000B196E"/>
    <w:rsid w:val="000B2E1C"/>
    <w:rsid w:val="000B2EF0"/>
    <w:rsid w:val="000C032B"/>
    <w:rsid w:val="000C4A26"/>
    <w:rsid w:val="000C4F01"/>
    <w:rsid w:val="000D1B18"/>
    <w:rsid w:val="000D5373"/>
    <w:rsid w:val="000E01AE"/>
    <w:rsid w:val="000E3EB0"/>
    <w:rsid w:val="000E4971"/>
    <w:rsid w:val="000E582C"/>
    <w:rsid w:val="000F09C4"/>
    <w:rsid w:val="000F2435"/>
    <w:rsid w:val="000F47CF"/>
    <w:rsid w:val="000F4A3F"/>
    <w:rsid w:val="001003AF"/>
    <w:rsid w:val="001011A1"/>
    <w:rsid w:val="00101EDD"/>
    <w:rsid w:val="00102C94"/>
    <w:rsid w:val="001051D9"/>
    <w:rsid w:val="001058F3"/>
    <w:rsid w:val="00122616"/>
    <w:rsid w:val="00130CDF"/>
    <w:rsid w:val="001335E7"/>
    <w:rsid w:val="00140F1E"/>
    <w:rsid w:val="0015528A"/>
    <w:rsid w:val="00157077"/>
    <w:rsid w:val="00161102"/>
    <w:rsid w:val="00165556"/>
    <w:rsid w:val="00167451"/>
    <w:rsid w:val="00167CB2"/>
    <w:rsid w:val="00180743"/>
    <w:rsid w:val="00180758"/>
    <w:rsid w:val="00181756"/>
    <w:rsid w:val="00181EDA"/>
    <w:rsid w:val="00184106"/>
    <w:rsid w:val="00184284"/>
    <w:rsid w:val="00185250"/>
    <w:rsid w:val="0018627E"/>
    <w:rsid w:val="00187B8D"/>
    <w:rsid w:val="001942E2"/>
    <w:rsid w:val="00196932"/>
    <w:rsid w:val="001A23E0"/>
    <w:rsid w:val="001A36CB"/>
    <w:rsid w:val="001A3764"/>
    <w:rsid w:val="001A709E"/>
    <w:rsid w:val="001B0F9C"/>
    <w:rsid w:val="001B3EB6"/>
    <w:rsid w:val="001C08BA"/>
    <w:rsid w:val="001C0D63"/>
    <w:rsid w:val="001C1526"/>
    <w:rsid w:val="001C5941"/>
    <w:rsid w:val="001C7DF4"/>
    <w:rsid w:val="001D0C28"/>
    <w:rsid w:val="001D10B5"/>
    <w:rsid w:val="001E1083"/>
    <w:rsid w:val="001E2C96"/>
    <w:rsid w:val="001E3DD3"/>
    <w:rsid w:val="001E51C3"/>
    <w:rsid w:val="001F0974"/>
    <w:rsid w:val="001F26DD"/>
    <w:rsid w:val="001F3BC9"/>
    <w:rsid w:val="001F7A40"/>
    <w:rsid w:val="00205FD3"/>
    <w:rsid w:val="00206AEE"/>
    <w:rsid w:val="002071EE"/>
    <w:rsid w:val="00207F30"/>
    <w:rsid w:val="002159F2"/>
    <w:rsid w:val="0022106D"/>
    <w:rsid w:val="002261AA"/>
    <w:rsid w:val="00226A9C"/>
    <w:rsid w:val="00230A3C"/>
    <w:rsid w:val="00236A0B"/>
    <w:rsid w:val="00240193"/>
    <w:rsid w:val="00243836"/>
    <w:rsid w:val="0024409C"/>
    <w:rsid w:val="00244846"/>
    <w:rsid w:val="00247083"/>
    <w:rsid w:val="002532CF"/>
    <w:rsid w:val="002560A3"/>
    <w:rsid w:val="00260490"/>
    <w:rsid w:val="002638F5"/>
    <w:rsid w:val="00263AD5"/>
    <w:rsid w:val="00264A46"/>
    <w:rsid w:val="0027320E"/>
    <w:rsid w:val="00276017"/>
    <w:rsid w:val="002767E6"/>
    <w:rsid w:val="00282050"/>
    <w:rsid w:val="00283F62"/>
    <w:rsid w:val="0028544C"/>
    <w:rsid w:val="00286479"/>
    <w:rsid w:val="0028744B"/>
    <w:rsid w:val="002915B2"/>
    <w:rsid w:val="00291F25"/>
    <w:rsid w:val="002926DC"/>
    <w:rsid w:val="002A02EE"/>
    <w:rsid w:val="002A3FE7"/>
    <w:rsid w:val="002A534A"/>
    <w:rsid w:val="002A53A8"/>
    <w:rsid w:val="002A6880"/>
    <w:rsid w:val="002A79D7"/>
    <w:rsid w:val="002B082F"/>
    <w:rsid w:val="002B0B07"/>
    <w:rsid w:val="002B2DE1"/>
    <w:rsid w:val="002B53F3"/>
    <w:rsid w:val="002B5A8C"/>
    <w:rsid w:val="002B77A0"/>
    <w:rsid w:val="002C4322"/>
    <w:rsid w:val="002C45CE"/>
    <w:rsid w:val="002C64B2"/>
    <w:rsid w:val="002D0BE4"/>
    <w:rsid w:val="002D0BFD"/>
    <w:rsid w:val="002D71AE"/>
    <w:rsid w:val="002E0F7C"/>
    <w:rsid w:val="002E3AE5"/>
    <w:rsid w:val="002F0F34"/>
    <w:rsid w:val="002F4066"/>
    <w:rsid w:val="003013FB"/>
    <w:rsid w:val="00303D3D"/>
    <w:rsid w:val="00304CB5"/>
    <w:rsid w:val="00310346"/>
    <w:rsid w:val="00311242"/>
    <w:rsid w:val="00317009"/>
    <w:rsid w:val="00324979"/>
    <w:rsid w:val="00326193"/>
    <w:rsid w:val="00343D7C"/>
    <w:rsid w:val="0034654D"/>
    <w:rsid w:val="00346839"/>
    <w:rsid w:val="00351014"/>
    <w:rsid w:val="00355ACC"/>
    <w:rsid w:val="003572E7"/>
    <w:rsid w:val="003643F1"/>
    <w:rsid w:val="00365DBC"/>
    <w:rsid w:val="003668F4"/>
    <w:rsid w:val="00367CCE"/>
    <w:rsid w:val="00372B3C"/>
    <w:rsid w:val="003748AA"/>
    <w:rsid w:val="003806EB"/>
    <w:rsid w:val="00383E2F"/>
    <w:rsid w:val="00384AFA"/>
    <w:rsid w:val="003850EC"/>
    <w:rsid w:val="00385CEF"/>
    <w:rsid w:val="00387C88"/>
    <w:rsid w:val="003964FA"/>
    <w:rsid w:val="00397CC4"/>
    <w:rsid w:val="003A170F"/>
    <w:rsid w:val="003A19B9"/>
    <w:rsid w:val="003A305E"/>
    <w:rsid w:val="003A4C48"/>
    <w:rsid w:val="003A66CF"/>
    <w:rsid w:val="003B2239"/>
    <w:rsid w:val="003B3A9D"/>
    <w:rsid w:val="003C1CAD"/>
    <w:rsid w:val="003C6233"/>
    <w:rsid w:val="003D006A"/>
    <w:rsid w:val="003D4B43"/>
    <w:rsid w:val="003D7E66"/>
    <w:rsid w:val="003E0901"/>
    <w:rsid w:val="003E2FD4"/>
    <w:rsid w:val="003E3282"/>
    <w:rsid w:val="003E59ED"/>
    <w:rsid w:val="003E6826"/>
    <w:rsid w:val="003E78BA"/>
    <w:rsid w:val="003F1442"/>
    <w:rsid w:val="003F1F65"/>
    <w:rsid w:val="003F7D30"/>
    <w:rsid w:val="00407113"/>
    <w:rsid w:val="004079C2"/>
    <w:rsid w:val="00422B92"/>
    <w:rsid w:val="00423B80"/>
    <w:rsid w:val="00425D6A"/>
    <w:rsid w:val="00427EDF"/>
    <w:rsid w:val="0043339F"/>
    <w:rsid w:val="00434CA8"/>
    <w:rsid w:val="00435E1F"/>
    <w:rsid w:val="0045357E"/>
    <w:rsid w:val="004539A7"/>
    <w:rsid w:val="00461EBF"/>
    <w:rsid w:val="00463123"/>
    <w:rsid w:val="00470194"/>
    <w:rsid w:val="00470B07"/>
    <w:rsid w:val="00470D07"/>
    <w:rsid w:val="00473334"/>
    <w:rsid w:val="00481B7A"/>
    <w:rsid w:val="00481D34"/>
    <w:rsid w:val="00490D41"/>
    <w:rsid w:val="004947B8"/>
    <w:rsid w:val="00494D85"/>
    <w:rsid w:val="004955EE"/>
    <w:rsid w:val="004A4DD3"/>
    <w:rsid w:val="004A5B95"/>
    <w:rsid w:val="004A7714"/>
    <w:rsid w:val="004B223D"/>
    <w:rsid w:val="004B51FA"/>
    <w:rsid w:val="004C1CB5"/>
    <w:rsid w:val="004C2956"/>
    <w:rsid w:val="004C4CDF"/>
    <w:rsid w:val="004D3E83"/>
    <w:rsid w:val="004E51F9"/>
    <w:rsid w:val="004E65C6"/>
    <w:rsid w:val="004E6BCB"/>
    <w:rsid w:val="004F3ED8"/>
    <w:rsid w:val="004F3FAD"/>
    <w:rsid w:val="004F5538"/>
    <w:rsid w:val="004F7F18"/>
    <w:rsid w:val="00500ADA"/>
    <w:rsid w:val="00500FA6"/>
    <w:rsid w:val="00505698"/>
    <w:rsid w:val="00506BCD"/>
    <w:rsid w:val="00506FE3"/>
    <w:rsid w:val="005078CF"/>
    <w:rsid w:val="00514279"/>
    <w:rsid w:val="005156EE"/>
    <w:rsid w:val="00520A0D"/>
    <w:rsid w:val="0052221D"/>
    <w:rsid w:val="0052330F"/>
    <w:rsid w:val="00545F7D"/>
    <w:rsid w:val="00551B4F"/>
    <w:rsid w:val="00553F12"/>
    <w:rsid w:val="00555F1A"/>
    <w:rsid w:val="0056410E"/>
    <w:rsid w:val="00564510"/>
    <w:rsid w:val="00565648"/>
    <w:rsid w:val="00566A3E"/>
    <w:rsid w:val="0057294C"/>
    <w:rsid w:val="005741F7"/>
    <w:rsid w:val="00583FBA"/>
    <w:rsid w:val="00593066"/>
    <w:rsid w:val="00595430"/>
    <w:rsid w:val="005A25AA"/>
    <w:rsid w:val="005A4CB3"/>
    <w:rsid w:val="005A4F75"/>
    <w:rsid w:val="005B1B3C"/>
    <w:rsid w:val="005B5493"/>
    <w:rsid w:val="005C3B89"/>
    <w:rsid w:val="005C6C22"/>
    <w:rsid w:val="005D0445"/>
    <w:rsid w:val="005E0609"/>
    <w:rsid w:val="005E1E39"/>
    <w:rsid w:val="005E3BA6"/>
    <w:rsid w:val="005E733F"/>
    <w:rsid w:val="005E78DF"/>
    <w:rsid w:val="005F3A06"/>
    <w:rsid w:val="005F4CEC"/>
    <w:rsid w:val="005F564A"/>
    <w:rsid w:val="0060083E"/>
    <w:rsid w:val="00603849"/>
    <w:rsid w:val="00603A68"/>
    <w:rsid w:val="006066A8"/>
    <w:rsid w:val="006069FD"/>
    <w:rsid w:val="006155A8"/>
    <w:rsid w:val="0062300B"/>
    <w:rsid w:val="0062310A"/>
    <w:rsid w:val="006420FD"/>
    <w:rsid w:val="00643C5A"/>
    <w:rsid w:val="00645EBD"/>
    <w:rsid w:val="00651613"/>
    <w:rsid w:val="00652728"/>
    <w:rsid w:val="00657584"/>
    <w:rsid w:val="00660734"/>
    <w:rsid w:val="00660ED6"/>
    <w:rsid w:val="00662082"/>
    <w:rsid w:val="006621F0"/>
    <w:rsid w:val="0066509E"/>
    <w:rsid w:val="00673912"/>
    <w:rsid w:val="00680130"/>
    <w:rsid w:val="00680276"/>
    <w:rsid w:val="00680CB7"/>
    <w:rsid w:val="006844B2"/>
    <w:rsid w:val="00685D6E"/>
    <w:rsid w:val="00697AA8"/>
    <w:rsid w:val="006A3AB6"/>
    <w:rsid w:val="006A5F32"/>
    <w:rsid w:val="006A6104"/>
    <w:rsid w:val="006A6C71"/>
    <w:rsid w:val="006B2895"/>
    <w:rsid w:val="006B2993"/>
    <w:rsid w:val="006B38C6"/>
    <w:rsid w:val="006C3300"/>
    <w:rsid w:val="006D1A5B"/>
    <w:rsid w:val="006E0A2A"/>
    <w:rsid w:val="006E18B2"/>
    <w:rsid w:val="006E79C1"/>
    <w:rsid w:val="006F1A62"/>
    <w:rsid w:val="00701E88"/>
    <w:rsid w:val="00701F85"/>
    <w:rsid w:val="00707501"/>
    <w:rsid w:val="00707ACF"/>
    <w:rsid w:val="0071492A"/>
    <w:rsid w:val="00720F6D"/>
    <w:rsid w:val="00724B36"/>
    <w:rsid w:val="007264AF"/>
    <w:rsid w:val="00730B5B"/>
    <w:rsid w:val="007340E8"/>
    <w:rsid w:val="00740B2C"/>
    <w:rsid w:val="00740C4D"/>
    <w:rsid w:val="00741478"/>
    <w:rsid w:val="0074508A"/>
    <w:rsid w:val="00751333"/>
    <w:rsid w:val="00753BDD"/>
    <w:rsid w:val="00756A46"/>
    <w:rsid w:val="00757BC1"/>
    <w:rsid w:val="0076684A"/>
    <w:rsid w:val="00767052"/>
    <w:rsid w:val="00767540"/>
    <w:rsid w:val="007727B7"/>
    <w:rsid w:val="00784832"/>
    <w:rsid w:val="0078554A"/>
    <w:rsid w:val="00786DF4"/>
    <w:rsid w:val="0078781C"/>
    <w:rsid w:val="007A0A53"/>
    <w:rsid w:val="007A20A7"/>
    <w:rsid w:val="007A2DF2"/>
    <w:rsid w:val="007A38C5"/>
    <w:rsid w:val="007A4B62"/>
    <w:rsid w:val="007A5383"/>
    <w:rsid w:val="007B05FB"/>
    <w:rsid w:val="007B7788"/>
    <w:rsid w:val="007D07EC"/>
    <w:rsid w:val="007D4203"/>
    <w:rsid w:val="007E3A57"/>
    <w:rsid w:val="007E7BBE"/>
    <w:rsid w:val="007F2F07"/>
    <w:rsid w:val="007F4A61"/>
    <w:rsid w:val="007F4CBC"/>
    <w:rsid w:val="007F4D48"/>
    <w:rsid w:val="007F4DC2"/>
    <w:rsid w:val="00800E1C"/>
    <w:rsid w:val="00804286"/>
    <w:rsid w:val="008052E1"/>
    <w:rsid w:val="00807983"/>
    <w:rsid w:val="0081198C"/>
    <w:rsid w:val="00814E56"/>
    <w:rsid w:val="00814FF5"/>
    <w:rsid w:val="0081738A"/>
    <w:rsid w:val="008175A7"/>
    <w:rsid w:val="00817C18"/>
    <w:rsid w:val="00824ACD"/>
    <w:rsid w:val="00825A1A"/>
    <w:rsid w:val="00834347"/>
    <w:rsid w:val="00834AF9"/>
    <w:rsid w:val="00836FF8"/>
    <w:rsid w:val="00841AAD"/>
    <w:rsid w:val="00841ACB"/>
    <w:rsid w:val="00843AE2"/>
    <w:rsid w:val="00844BC1"/>
    <w:rsid w:val="00847E96"/>
    <w:rsid w:val="00851A8A"/>
    <w:rsid w:val="0085565E"/>
    <w:rsid w:val="00863998"/>
    <w:rsid w:val="00863DF9"/>
    <w:rsid w:val="00864E33"/>
    <w:rsid w:val="00866DB1"/>
    <w:rsid w:val="008712B1"/>
    <w:rsid w:val="00873FF8"/>
    <w:rsid w:val="00874484"/>
    <w:rsid w:val="00874F42"/>
    <w:rsid w:val="008752C6"/>
    <w:rsid w:val="00876315"/>
    <w:rsid w:val="008769F2"/>
    <w:rsid w:val="00876C99"/>
    <w:rsid w:val="00877FC2"/>
    <w:rsid w:val="00881A44"/>
    <w:rsid w:val="00882975"/>
    <w:rsid w:val="008850C0"/>
    <w:rsid w:val="00892A0B"/>
    <w:rsid w:val="00895D10"/>
    <w:rsid w:val="008964D0"/>
    <w:rsid w:val="008A0E52"/>
    <w:rsid w:val="008A12B9"/>
    <w:rsid w:val="008A49D1"/>
    <w:rsid w:val="008A5598"/>
    <w:rsid w:val="008B0DD5"/>
    <w:rsid w:val="008B412A"/>
    <w:rsid w:val="008C1E37"/>
    <w:rsid w:val="008C7B1A"/>
    <w:rsid w:val="008D5E95"/>
    <w:rsid w:val="008E2665"/>
    <w:rsid w:val="008E37C0"/>
    <w:rsid w:val="008F26AC"/>
    <w:rsid w:val="008F4118"/>
    <w:rsid w:val="008F4C17"/>
    <w:rsid w:val="008F6F29"/>
    <w:rsid w:val="008F740A"/>
    <w:rsid w:val="00900FD2"/>
    <w:rsid w:val="009073C2"/>
    <w:rsid w:val="009143E5"/>
    <w:rsid w:val="00915AF7"/>
    <w:rsid w:val="00917E8B"/>
    <w:rsid w:val="00926686"/>
    <w:rsid w:val="00927B64"/>
    <w:rsid w:val="00930427"/>
    <w:rsid w:val="0093554E"/>
    <w:rsid w:val="00935E87"/>
    <w:rsid w:val="00940E67"/>
    <w:rsid w:val="00942990"/>
    <w:rsid w:val="0094498F"/>
    <w:rsid w:val="009459D4"/>
    <w:rsid w:val="00947502"/>
    <w:rsid w:val="0095098B"/>
    <w:rsid w:val="00955424"/>
    <w:rsid w:val="0096035F"/>
    <w:rsid w:val="0096265C"/>
    <w:rsid w:val="00963AAF"/>
    <w:rsid w:val="00971F41"/>
    <w:rsid w:val="00973601"/>
    <w:rsid w:val="0098039C"/>
    <w:rsid w:val="00980EBF"/>
    <w:rsid w:val="009820C2"/>
    <w:rsid w:val="009828C4"/>
    <w:rsid w:val="00990AEB"/>
    <w:rsid w:val="009A3756"/>
    <w:rsid w:val="009A6D09"/>
    <w:rsid w:val="009A7678"/>
    <w:rsid w:val="009B0A7D"/>
    <w:rsid w:val="009B33DE"/>
    <w:rsid w:val="009B53F5"/>
    <w:rsid w:val="009B5F58"/>
    <w:rsid w:val="009B6FCA"/>
    <w:rsid w:val="009C42CA"/>
    <w:rsid w:val="009C5442"/>
    <w:rsid w:val="009C648C"/>
    <w:rsid w:val="009D312B"/>
    <w:rsid w:val="009D62ED"/>
    <w:rsid w:val="009D7C9F"/>
    <w:rsid w:val="009E1855"/>
    <w:rsid w:val="009E20E7"/>
    <w:rsid w:val="009E62FE"/>
    <w:rsid w:val="009E7595"/>
    <w:rsid w:val="009F270B"/>
    <w:rsid w:val="009F3022"/>
    <w:rsid w:val="009F3F04"/>
    <w:rsid w:val="009F41D1"/>
    <w:rsid w:val="009F56BA"/>
    <w:rsid w:val="00A006D1"/>
    <w:rsid w:val="00A02BFA"/>
    <w:rsid w:val="00A02C46"/>
    <w:rsid w:val="00A0713F"/>
    <w:rsid w:val="00A077BD"/>
    <w:rsid w:val="00A12420"/>
    <w:rsid w:val="00A20800"/>
    <w:rsid w:val="00A20C11"/>
    <w:rsid w:val="00A221DF"/>
    <w:rsid w:val="00A23F0A"/>
    <w:rsid w:val="00A268A8"/>
    <w:rsid w:val="00A31747"/>
    <w:rsid w:val="00A32BC9"/>
    <w:rsid w:val="00A34407"/>
    <w:rsid w:val="00A358B2"/>
    <w:rsid w:val="00A37955"/>
    <w:rsid w:val="00A37B07"/>
    <w:rsid w:val="00A43711"/>
    <w:rsid w:val="00A4457C"/>
    <w:rsid w:val="00A45859"/>
    <w:rsid w:val="00A460EB"/>
    <w:rsid w:val="00A4768C"/>
    <w:rsid w:val="00A52AE7"/>
    <w:rsid w:val="00A54FD0"/>
    <w:rsid w:val="00A5656C"/>
    <w:rsid w:val="00A616F0"/>
    <w:rsid w:val="00A64363"/>
    <w:rsid w:val="00A66CF5"/>
    <w:rsid w:val="00A67D93"/>
    <w:rsid w:val="00A73205"/>
    <w:rsid w:val="00A80ECF"/>
    <w:rsid w:val="00A81250"/>
    <w:rsid w:val="00A86273"/>
    <w:rsid w:val="00A86701"/>
    <w:rsid w:val="00A96758"/>
    <w:rsid w:val="00A96EE8"/>
    <w:rsid w:val="00AA2558"/>
    <w:rsid w:val="00AA5001"/>
    <w:rsid w:val="00AA6C7A"/>
    <w:rsid w:val="00AB1B30"/>
    <w:rsid w:val="00AB43AF"/>
    <w:rsid w:val="00AB7C6C"/>
    <w:rsid w:val="00AC2DD1"/>
    <w:rsid w:val="00AC35A9"/>
    <w:rsid w:val="00AC5A0F"/>
    <w:rsid w:val="00AC6BCE"/>
    <w:rsid w:val="00AD2861"/>
    <w:rsid w:val="00AD3A50"/>
    <w:rsid w:val="00AD7AFC"/>
    <w:rsid w:val="00AE7D77"/>
    <w:rsid w:val="00AF59F1"/>
    <w:rsid w:val="00B02DFC"/>
    <w:rsid w:val="00B078DE"/>
    <w:rsid w:val="00B11646"/>
    <w:rsid w:val="00B16638"/>
    <w:rsid w:val="00B17B04"/>
    <w:rsid w:val="00B220F0"/>
    <w:rsid w:val="00B23F04"/>
    <w:rsid w:val="00B2515D"/>
    <w:rsid w:val="00B265FE"/>
    <w:rsid w:val="00B27AAB"/>
    <w:rsid w:val="00B30871"/>
    <w:rsid w:val="00B30EDC"/>
    <w:rsid w:val="00B35D39"/>
    <w:rsid w:val="00B36F37"/>
    <w:rsid w:val="00B4191A"/>
    <w:rsid w:val="00B42B09"/>
    <w:rsid w:val="00B536A5"/>
    <w:rsid w:val="00B53A3D"/>
    <w:rsid w:val="00B60C6B"/>
    <w:rsid w:val="00B63161"/>
    <w:rsid w:val="00B67803"/>
    <w:rsid w:val="00B7445F"/>
    <w:rsid w:val="00B75137"/>
    <w:rsid w:val="00B75BA2"/>
    <w:rsid w:val="00B7672D"/>
    <w:rsid w:val="00B803E1"/>
    <w:rsid w:val="00B82763"/>
    <w:rsid w:val="00B83585"/>
    <w:rsid w:val="00B83ADE"/>
    <w:rsid w:val="00B927AE"/>
    <w:rsid w:val="00B978E5"/>
    <w:rsid w:val="00BA0611"/>
    <w:rsid w:val="00BA0CCE"/>
    <w:rsid w:val="00BA27CE"/>
    <w:rsid w:val="00BA61E1"/>
    <w:rsid w:val="00BA67E2"/>
    <w:rsid w:val="00BA73BB"/>
    <w:rsid w:val="00BB145B"/>
    <w:rsid w:val="00BB1741"/>
    <w:rsid w:val="00BB287A"/>
    <w:rsid w:val="00BB7B86"/>
    <w:rsid w:val="00BC064E"/>
    <w:rsid w:val="00BC725E"/>
    <w:rsid w:val="00BE40E4"/>
    <w:rsid w:val="00BE4CF3"/>
    <w:rsid w:val="00BE55BD"/>
    <w:rsid w:val="00BE5E52"/>
    <w:rsid w:val="00BE6B09"/>
    <w:rsid w:val="00BE7430"/>
    <w:rsid w:val="00BF528B"/>
    <w:rsid w:val="00BF7056"/>
    <w:rsid w:val="00C03BCC"/>
    <w:rsid w:val="00C04276"/>
    <w:rsid w:val="00C04807"/>
    <w:rsid w:val="00C116A4"/>
    <w:rsid w:val="00C139BD"/>
    <w:rsid w:val="00C155AE"/>
    <w:rsid w:val="00C156D2"/>
    <w:rsid w:val="00C17DD1"/>
    <w:rsid w:val="00C206CF"/>
    <w:rsid w:val="00C22F2E"/>
    <w:rsid w:val="00C232D5"/>
    <w:rsid w:val="00C2438A"/>
    <w:rsid w:val="00C260DB"/>
    <w:rsid w:val="00C27799"/>
    <w:rsid w:val="00C355C8"/>
    <w:rsid w:val="00C37C12"/>
    <w:rsid w:val="00C6078C"/>
    <w:rsid w:val="00C60BAD"/>
    <w:rsid w:val="00C675C2"/>
    <w:rsid w:val="00C72C31"/>
    <w:rsid w:val="00C761E4"/>
    <w:rsid w:val="00C76E9C"/>
    <w:rsid w:val="00C84182"/>
    <w:rsid w:val="00C84A1A"/>
    <w:rsid w:val="00C86D1C"/>
    <w:rsid w:val="00C92113"/>
    <w:rsid w:val="00CA1004"/>
    <w:rsid w:val="00CA2FB2"/>
    <w:rsid w:val="00CA4C62"/>
    <w:rsid w:val="00CA781D"/>
    <w:rsid w:val="00CB0C37"/>
    <w:rsid w:val="00CB0F89"/>
    <w:rsid w:val="00CB13F5"/>
    <w:rsid w:val="00CB2463"/>
    <w:rsid w:val="00CB7AF4"/>
    <w:rsid w:val="00CC0886"/>
    <w:rsid w:val="00CC4161"/>
    <w:rsid w:val="00CC5C1A"/>
    <w:rsid w:val="00CD00F0"/>
    <w:rsid w:val="00CD3C35"/>
    <w:rsid w:val="00CD62D2"/>
    <w:rsid w:val="00CE26C7"/>
    <w:rsid w:val="00CE3093"/>
    <w:rsid w:val="00CF1C41"/>
    <w:rsid w:val="00CF4B0E"/>
    <w:rsid w:val="00CF6D02"/>
    <w:rsid w:val="00D0200E"/>
    <w:rsid w:val="00D13788"/>
    <w:rsid w:val="00D3085B"/>
    <w:rsid w:val="00D31068"/>
    <w:rsid w:val="00D32FB7"/>
    <w:rsid w:val="00D33549"/>
    <w:rsid w:val="00D40A8D"/>
    <w:rsid w:val="00D41397"/>
    <w:rsid w:val="00D4195A"/>
    <w:rsid w:val="00D41968"/>
    <w:rsid w:val="00D43AAE"/>
    <w:rsid w:val="00D46152"/>
    <w:rsid w:val="00D55D40"/>
    <w:rsid w:val="00D55F51"/>
    <w:rsid w:val="00D57229"/>
    <w:rsid w:val="00D57BBC"/>
    <w:rsid w:val="00D60128"/>
    <w:rsid w:val="00D662E5"/>
    <w:rsid w:val="00D733AF"/>
    <w:rsid w:val="00D75279"/>
    <w:rsid w:val="00D75D47"/>
    <w:rsid w:val="00D81EDE"/>
    <w:rsid w:val="00D8623A"/>
    <w:rsid w:val="00D8675D"/>
    <w:rsid w:val="00D86DC2"/>
    <w:rsid w:val="00D90127"/>
    <w:rsid w:val="00D904BA"/>
    <w:rsid w:val="00D955D4"/>
    <w:rsid w:val="00D972D2"/>
    <w:rsid w:val="00DA1529"/>
    <w:rsid w:val="00DA2154"/>
    <w:rsid w:val="00DA7F47"/>
    <w:rsid w:val="00DB006B"/>
    <w:rsid w:val="00DB3313"/>
    <w:rsid w:val="00DC2839"/>
    <w:rsid w:val="00DD098C"/>
    <w:rsid w:val="00DD2E90"/>
    <w:rsid w:val="00DD35E8"/>
    <w:rsid w:val="00DD4278"/>
    <w:rsid w:val="00DD4964"/>
    <w:rsid w:val="00DD5F59"/>
    <w:rsid w:val="00DE4258"/>
    <w:rsid w:val="00DF069C"/>
    <w:rsid w:val="00DF4C85"/>
    <w:rsid w:val="00DF5FA6"/>
    <w:rsid w:val="00DF6DEA"/>
    <w:rsid w:val="00E0110C"/>
    <w:rsid w:val="00E0152F"/>
    <w:rsid w:val="00E0288F"/>
    <w:rsid w:val="00E05F30"/>
    <w:rsid w:val="00E06DF4"/>
    <w:rsid w:val="00E06EDB"/>
    <w:rsid w:val="00E17934"/>
    <w:rsid w:val="00E22656"/>
    <w:rsid w:val="00E23BA1"/>
    <w:rsid w:val="00E24B27"/>
    <w:rsid w:val="00E255BA"/>
    <w:rsid w:val="00E2562B"/>
    <w:rsid w:val="00E257C9"/>
    <w:rsid w:val="00E32D3B"/>
    <w:rsid w:val="00E46900"/>
    <w:rsid w:val="00E472A8"/>
    <w:rsid w:val="00E47362"/>
    <w:rsid w:val="00E55567"/>
    <w:rsid w:val="00E562EF"/>
    <w:rsid w:val="00E64182"/>
    <w:rsid w:val="00E652E7"/>
    <w:rsid w:val="00E70CAF"/>
    <w:rsid w:val="00E77224"/>
    <w:rsid w:val="00E77B31"/>
    <w:rsid w:val="00E809CC"/>
    <w:rsid w:val="00E82B3C"/>
    <w:rsid w:val="00E87159"/>
    <w:rsid w:val="00E903D4"/>
    <w:rsid w:val="00E91880"/>
    <w:rsid w:val="00E91C3E"/>
    <w:rsid w:val="00EB1E43"/>
    <w:rsid w:val="00EB51CF"/>
    <w:rsid w:val="00EC030D"/>
    <w:rsid w:val="00EC0613"/>
    <w:rsid w:val="00EC5DA8"/>
    <w:rsid w:val="00ED0E21"/>
    <w:rsid w:val="00EE2A58"/>
    <w:rsid w:val="00EE3E1D"/>
    <w:rsid w:val="00EE602D"/>
    <w:rsid w:val="00EF05DC"/>
    <w:rsid w:val="00F007A0"/>
    <w:rsid w:val="00F02E64"/>
    <w:rsid w:val="00F05BF8"/>
    <w:rsid w:val="00F0753A"/>
    <w:rsid w:val="00F12424"/>
    <w:rsid w:val="00F175F7"/>
    <w:rsid w:val="00F208CE"/>
    <w:rsid w:val="00F21D6F"/>
    <w:rsid w:val="00F233AB"/>
    <w:rsid w:val="00F23D0D"/>
    <w:rsid w:val="00F258DE"/>
    <w:rsid w:val="00F267F9"/>
    <w:rsid w:val="00F26FF1"/>
    <w:rsid w:val="00F36675"/>
    <w:rsid w:val="00F374A5"/>
    <w:rsid w:val="00F40326"/>
    <w:rsid w:val="00F409F3"/>
    <w:rsid w:val="00F4128F"/>
    <w:rsid w:val="00F41396"/>
    <w:rsid w:val="00F42765"/>
    <w:rsid w:val="00F47DB6"/>
    <w:rsid w:val="00F575F0"/>
    <w:rsid w:val="00F57801"/>
    <w:rsid w:val="00F809F6"/>
    <w:rsid w:val="00F811CB"/>
    <w:rsid w:val="00F81D34"/>
    <w:rsid w:val="00F8287B"/>
    <w:rsid w:val="00F843C9"/>
    <w:rsid w:val="00F87447"/>
    <w:rsid w:val="00F90514"/>
    <w:rsid w:val="00F93F6B"/>
    <w:rsid w:val="00FA3ACB"/>
    <w:rsid w:val="00FA3EDE"/>
    <w:rsid w:val="00FA75C1"/>
    <w:rsid w:val="00FB169A"/>
    <w:rsid w:val="00FB16FB"/>
    <w:rsid w:val="00FB24E7"/>
    <w:rsid w:val="00FB4D5B"/>
    <w:rsid w:val="00FB7071"/>
    <w:rsid w:val="00FC6BCA"/>
    <w:rsid w:val="00FD2FD8"/>
    <w:rsid w:val="00FD5646"/>
    <w:rsid w:val="00FD5AEA"/>
    <w:rsid w:val="00FE0DAB"/>
    <w:rsid w:val="00FE2CD2"/>
    <w:rsid w:val="00FE400F"/>
    <w:rsid w:val="00FE6527"/>
    <w:rsid w:val="00FE7CAD"/>
    <w:rsid w:val="00FF247E"/>
    <w:rsid w:val="00FF24E7"/>
    <w:rsid w:val="00FF4DA1"/>
    <w:rsid w:val="01120B8A"/>
    <w:rsid w:val="015856BD"/>
    <w:rsid w:val="01716217"/>
    <w:rsid w:val="01895DC4"/>
    <w:rsid w:val="01C64883"/>
    <w:rsid w:val="01DA7979"/>
    <w:rsid w:val="022245A9"/>
    <w:rsid w:val="023D1344"/>
    <w:rsid w:val="024A5A68"/>
    <w:rsid w:val="02681751"/>
    <w:rsid w:val="02C4620C"/>
    <w:rsid w:val="02D13B17"/>
    <w:rsid w:val="02D741BB"/>
    <w:rsid w:val="031F1D27"/>
    <w:rsid w:val="03344B1B"/>
    <w:rsid w:val="03417285"/>
    <w:rsid w:val="03577D41"/>
    <w:rsid w:val="035F1D04"/>
    <w:rsid w:val="03C93384"/>
    <w:rsid w:val="03DC46FC"/>
    <w:rsid w:val="03EC1069"/>
    <w:rsid w:val="03F01FC5"/>
    <w:rsid w:val="03F83CAE"/>
    <w:rsid w:val="04487003"/>
    <w:rsid w:val="047A41F3"/>
    <w:rsid w:val="04871863"/>
    <w:rsid w:val="04D91944"/>
    <w:rsid w:val="05185A74"/>
    <w:rsid w:val="06105559"/>
    <w:rsid w:val="061D589B"/>
    <w:rsid w:val="0652534A"/>
    <w:rsid w:val="066604EE"/>
    <w:rsid w:val="06700261"/>
    <w:rsid w:val="067A3E5D"/>
    <w:rsid w:val="06877BC3"/>
    <w:rsid w:val="06CE6E3B"/>
    <w:rsid w:val="06F35600"/>
    <w:rsid w:val="06FB0BED"/>
    <w:rsid w:val="075F7236"/>
    <w:rsid w:val="0807706A"/>
    <w:rsid w:val="0825713E"/>
    <w:rsid w:val="08293D1C"/>
    <w:rsid w:val="082A07CF"/>
    <w:rsid w:val="08760387"/>
    <w:rsid w:val="089A5DAE"/>
    <w:rsid w:val="08E86479"/>
    <w:rsid w:val="08EF3ADD"/>
    <w:rsid w:val="097D2C2A"/>
    <w:rsid w:val="097F785D"/>
    <w:rsid w:val="098C200A"/>
    <w:rsid w:val="09D94BE7"/>
    <w:rsid w:val="09EA5A40"/>
    <w:rsid w:val="0A3E5465"/>
    <w:rsid w:val="0A58100E"/>
    <w:rsid w:val="0AD10C37"/>
    <w:rsid w:val="0AD30BE4"/>
    <w:rsid w:val="0AE420B6"/>
    <w:rsid w:val="0B2E7A66"/>
    <w:rsid w:val="0B4104E0"/>
    <w:rsid w:val="0B8325F5"/>
    <w:rsid w:val="0B9A09A2"/>
    <w:rsid w:val="0BA36589"/>
    <w:rsid w:val="0BD9682C"/>
    <w:rsid w:val="0BDC5961"/>
    <w:rsid w:val="0C206A5D"/>
    <w:rsid w:val="0C403A4B"/>
    <w:rsid w:val="0C4D354A"/>
    <w:rsid w:val="0C702B2B"/>
    <w:rsid w:val="0C814B0C"/>
    <w:rsid w:val="0CB63C0D"/>
    <w:rsid w:val="0CCB010B"/>
    <w:rsid w:val="0CD34318"/>
    <w:rsid w:val="0D2A7001"/>
    <w:rsid w:val="0D437833"/>
    <w:rsid w:val="0D542DBC"/>
    <w:rsid w:val="0D984500"/>
    <w:rsid w:val="0DB8142E"/>
    <w:rsid w:val="0DC428AB"/>
    <w:rsid w:val="0DC73DA3"/>
    <w:rsid w:val="0DE84832"/>
    <w:rsid w:val="0DE863C0"/>
    <w:rsid w:val="0DE90401"/>
    <w:rsid w:val="0E6D1D14"/>
    <w:rsid w:val="0E745ACC"/>
    <w:rsid w:val="0E85026C"/>
    <w:rsid w:val="0E883C69"/>
    <w:rsid w:val="0EBB3F59"/>
    <w:rsid w:val="0ED30215"/>
    <w:rsid w:val="0EE85EEC"/>
    <w:rsid w:val="0F060421"/>
    <w:rsid w:val="0F246FEE"/>
    <w:rsid w:val="0F2C3874"/>
    <w:rsid w:val="0FA555EC"/>
    <w:rsid w:val="0FB068C4"/>
    <w:rsid w:val="0FC706C9"/>
    <w:rsid w:val="0FEC67BE"/>
    <w:rsid w:val="1071795C"/>
    <w:rsid w:val="10AD08A5"/>
    <w:rsid w:val="10BC0E1B"/>
    <w:rsid w:val="10E905B3"/>
    <w:rsid w:val="11244937"/>
    <w:rsid w:val="11287773"/>
    <w:rsid w:val="112C2FED"/>
    <w:rsid w:val="114239E3"/>
    <w:rsid w:val="116C22FC"/>
    <w:rsid w:val="116F0C0F"/>
    <w:rsid w:val="11780383"/>
    <w:rsid w:val="119004E5"/>
    <w:rsid w:val="1191251A"/>
    <w:rsid w:val="11980359"/>
    <w:rsid w:val="11B14AB0"/>
    <w:rsid w:val="11BD0E79"/>
    <w:rsid w:val="11BF5CC0"/>
    <w:rsid w:val="122403B4"/>
    <w:rsid w:val="12415CE3"/>
    <w:rsid w:val="124F3953"/>
    <w:rsid w:val="12EA47CD"/>
    <w:rsid w:val="12F31A64"/>
    <w:rsid w:val="13133BFA"/>
    <w:rsid w:val="13210482"/>
    <w:rsid w:val="135B7355"/>
    <w:rsid w:val="13606A63"/>
    <w:rsid w:val="13AB5E39"/>
    <w:rsid w:val="13BE0C0A"/>
    <w:rsid w:val="13CA360B"/>
    <w:rsid w:val="13F04256"/>
    <w:rsid w:val="14170AB6"/>
    <w:rsid w:val="14184AC8"/>
    <w:rsid w:val="14480327"/>
    <w:rsid w:val="14490894"/>
    <w:rsid w:val="1457065A"/>
    <w:rsid w:val="145E5158"/>
    <w:rsid w:val="147E4B12"/>
    <w:rsid w:val="149C4193"/>
    <w:rsid w:val="14A814ED"/>
    <w:rsid w:val="14CB7A59"/>
    <w:rsid w:val="153665BB"/>
    <w:rsid w:val="153C2BFD"/>
    <w:rsid w:val="15487318"/>
    <w:rsid w:val="157A67E2"/>
    <w:rsid w:val="159C3184"/>
    <w:rsid w:val="15C706AB"/>
    <w:rsid w:val="162D1E5F"/>
    <w:rsid w:val="164237D0"/>
    <w:rsid w:val="164B0471"/>
    <w:rsid w:val="164D07ED"/>
    <w:rsid w:val="16722F4D"/>
    <w:rsid w:val="169E448C"/>
    <w:rsid w:val="16CC78A6"/>
    <w:rsid w:val="16D27A9D"/>
    <w:rsid w:val="16E92F15"/>
    <w:rsid w:val="16FA4E53"/>
    <w:rsid w:val="172668AE"/>
    <w:rsid w:val="174555DC"/>
    <w:rsid w:val="181B2C85"/>
    <w:rsid w:val="18672660"/>
    <w:rsid w:val="186D6B63"/>
    <w:rsid w:val="188B759C"/>
    <w:rsid w:val="18A32A99"/>
    <w:rsid w:val="18DE536A"/>
    <w:rsid w:val="192110AB"/>
    <w:rsid w:val="19287B6B"/>
    <w:rsid w:val="194E15CF"/>
    <w:rsid w:val="1952573A"/>
    <w:rsid w:val="19D84EB9"/>
    <w:rsid w:val="19DE7223"/>
    <w:rsid w:val="1A421F1A"/>
    <w:rsid w:val="1A5D3477"/>
    <w:rsid w:val="1A6B2FD5"/>
    <w:rsid w:val="1A817BC8"/>
    <w:rsid w:val="1A8D7C9D"/>
    <w:rsid w:val="1AB359C3"/>
    <w:rsid w:val="1B006CB6"/>
    <w:rsid w:val="1B15369D"/>
    <w:rsid w:val="1B1C20A0"/>
    <w:rsid w:val="1B230561"/>
    <w:rsid w:val="1B2C746B"/>
    <w:rsid w:val="1B305519"/>
    <w:rsid w:val="1B342F8F"/>
    <w:rsid w:val="1B4813A2"/>
    <w:rsid w:val="1B557CE5"/>
    <w:rsid w:val="1B666923"/>
    <w:rsid w:val="1B733F2F"/>
    <w:rsid w:val="1B980053"/>
    <w:rsid w:val="1B9B41D5"/>
    <w:rsid w:val="1BAC61FF"/>
    <w:rsid w:val="1BB77444"/>
    <w:rsid w:val="1BDF1C14"/>
    <w:rsid w:val="1C120448"/>
    <w:rsid w:val="1C183902"/>
    <w:rsid w:val="1C634999"/>
    <w:rsid w:val="1C9569A2"/>
    <w:rsid w:val="1CA42B62"/>
    <w:rsid w:val="1CCD35AF"/>
    <w:rsid w:val="1D295369"/>
    <w:rsid w:val="1D356BDB"/>
    <w:rsid w:val="1D695556"/>
    <w:rsid w:val="1D746994"/>
    <w:rsid w:val="1DDA3686"/>
    <w:rsid w:val="1E286A9E"/>
    <w:rsid w:val="1E35267F"/>
    <w:rsid w:val="1E5959C8"/>
    <w:rsid w:val="1E945BC4"/>
    <w:rsid w:val="1EAE2A09"/>
    <w:rsid w:val="1ED21B0A"/>
    <w:rsid w:val="1EEE2B1E"/>
    <w:rsid w:val="1F125842"/>
    <w:rsid w:val="1F551CCF"/>
    <w:rsid w:val="1F8761FA"/>
    <w:rsid w:val="20305480"/>
    <w:rsid w:val="205D041A"/>
    <w:rsid w:val="205F090C"/>
    <w:rsid w:val="206722B9"/>
    <w:rsid w:val="208C6E76"/>
    <w:rsid w:val="209E74EC"/>
    <w:rsid w:val="20DB3509"/>
    <w:rsid w:val="20EF49FB"/>
    <w:rsid w:val="213475A7"/>
    <w:rsid w:val="2149429A"/>
    <w:rsid w:val="21AA250F"/>
    <w:rsid w:val="21AF0A84"/>
    <w:rsid w:val="21E5346A"/>
    <w:rsid w:val="22712C05"/>
    <w:rsid w:val="22894791"/>
    <w:rsid w:val="229D76DE"/>
    <w:rsid w:val="22E72FC0"/>
    <w:rsid w:val="22EB0D04"/>
    <w:rsid w:val="22ED7058"/>
    <w:rsid w:val="23006B7C"/>
    <w:rsid w:val="232E1729"/>
    <w:rsid w:val="232F5E4E"/>
    <w:rsid w:val="238D6992"/>
    <w:rsid w:val="23AD1D3B"/>
    <w:rsid w:val="23B15DF1"/>
    <w:rsid w:val="23EF5A0A"/>
    <w:rsid w:val="244F3D32"/>
    <w:rsid w:val="24616B9A"/>
    <w:rsid w:val="24712F5A"/>
    <w:rsid w:val="2497223E"/>
    <w:rsid w:val="24A85B54"/>
    <w:rsid w:val="24B62DF3"/>
    <w:rsid w:val="24EA2592"/>
    <w:rsid w:val="25251C59"/>
    <w:rsid w:val="252C1CCC"/>
    <w:rsid w:val="25774D0A"/>
    <w:rsid w:val="25A96BD1"/>
    <w:rsid w:val="25B167D0"/>
    <w:rsid w:val="25B83916"/>
    <w:rsid w:val="25E73A05"/>
    <w:rsid w:val="25EA7E7A"/>
    <w:rsid w:val="25FA0857"/>
    <w:rsid w:val="262121D5"/>
    <w:rsid w:val="26B27BE3"/>
    <w:rsid w:val="26BD3733"/>
    <w:rsid w:val="26C149CF"/>
    <w:rsid w:val="26CB4A7A"/>
    <w:rsid w:val="26ED33FB"/>
    <w:rsid w:val="270E79A5"/>
    <w:rsid w:val="27336713"/>
    <w:rsid w:val="273467B5"/>
    <w:rsid w:val="273665C0"/>
    <w:rsid w:val="27592440"/>
    <w:rsid w:val="276628CC"/>
    <w:rsid w:val="27A05AD3"/>
    <w:rsid w:val="27BB0093"/>
    <w:rsid w:val="27BE0AA4"/>
    <w:rsid w:val="27F91561"/>
    <w:rsid w:val="28021FE0"/>
    <w:rsid w:val="280655C7"/>
    <w:rsid w:val="28393014"/>
    <w:rsid w:val="285F159E"/>
    <w:rsid w:val="286D7D0B"/>
    <w:rsid w:val="287844B4"/>
    <w:rsid w:val="287F1D7D"/>
    <w:rsid w:val="292D06BD"/>
    <w:rsid w:val="2A0A2131"/>
    <w:rsid w:val="2A0D0D47"/>
    <w:rsid w:val="2A4F1494"/>
    <w:rsid w:val="2AA92E74"/>
    <w:rsid w:val="2B035B73"/>
    <w:rsid w:val="2B182B46"/>
    <w:rsid w:val="2B490AB2"/>
    <w:rsid w:val="2B503986"/>
    <w:rsid w:val="2B7906B5"/>
    <w:rsid w:val="2B8977BC"/>
    <w:rsid w:val="2BBB7AAE"/>
    <w:rsid w:val="2BBE4E39"/>
    <w:rsid w:val="2BDC2646"/>
    <w:rsid w:val="2BE670A0"/>
    <w:rsid w:val="2C2071FE"/>
    <w:rsid w:val="2C263863"/>
    <w:rsid w:val="2C5D76EE"/>
    <w:rsid w:val="2C751936"/>
    <w:rsid w:val="2D1A0F43"/>
    <w:rsid w:val="2D2744DA"/>
    <w:rsid w:val="2D63086B"/>
    <w:rsid w:val="2D7843C6"/>
    <w:rsid w:val="2D9E74E1"/>
    <w:rsid w:val="2DBD657D"/>
    <w:rsid w:val="2DCD12B9"/>
    <w:rsid w:val="2DD23429"/>
    <w:rsid w:val="2DD66C58"/>
    <w:rsid w:val="2E2533DB"/>
    <w:rsid w:val="2E3A70F6"/>
    <w:rsid w:val="2E3E0E49"/>
    <w:rsid w:val="2E484B80"/>
    <w:rsid w:val="2ECB3B48"/>
    <w:rsid w:val="2EFE7792"/>
    <w:rsid w:val="2F3C0B5D"/>
    <w:rsid w:val="2F3E5D91"/>
    <w:rsid w:val="2F4D59D1"/>
    <w:rsid w:val="2F5A3841"/>
    <w:rsid w:val="2F885FA8"/>
    <w:rsid w:val="2FB607F0"/>
    <w:rsid w:val="2FC63EA3"/>
    <w:rsid w:val="3002513F"/>
    <w:rsid w:val="301F3618"/>
    <w:rsid w:val="302A6565"/>
    <w:rsid w:val="302E558D"/>
    <w:rsid w:val="30313449"/>
    <w:rsid w:val="30533116"/>
    <w:rsid w:val="305E009D"/>
    <w:rsid w:val="30621A82"/>
    <w:rsid w:val="30995C09"/>
    <w:rsid w:val="30996EB1"/>
    <w:rsid w:val="30A50ABD"/>
    <w:rsid w:val="30B37137"/>
    <w:rsid w:val="30D84B32"/>
    <w:rsid w:val="30E740AB"/>
    <w:rsid w:val="3112167A"/>
    <w:rsid w:val="319D2FD5"/>
    <w:rsid w:val="31AB7D06"/>
    <w:rsid w:val="31BF6EA0"/>
    <w:rsid w:val="31F05E31"/>
    <w:rsid w:val="32107D9C"/>
    <w:rsid w:val="32283642"/>
    <w:rsid w:val="32AD3729"/>
    <w:rsid w:val="32C6032F"/>
    <w:rsid w:val="32EA3F94"/>
    <w:rsid w:val="32FB6298"/>
    <w:rsid w:val="33026468"/>
    <w:rsid w:val="330C4092"/>
    <w:rsid w:val="33142732"/>
    <w:rsid w:val="333D05C1"/>
    <w:rsid w:val="33713377"/>
    <w:rsid w:val="33725E36"/>
    <w:rsid w:val="337260CC"/>
    <w:rsid w:val="338E771E"/>
    <w:rsid w:val="33945920"/>
    <w:rsid w:val="33A05FFA"/>
    <w:rsid w:val="33FA260C"/>
    <w:rsid w:val="34036EDB"/>
    <w:rsid w:val="34181AE7"/>
    <w:rsid w:val="343F061A"/>
    <w:rsid w:val="349C5AC2"/>
    <w:rsid w:val="34D541F5"/>
    <w:rsid w:val="34DA2937"/>
    <w:rsid w:val="34E42E17"/>
    <w:rsid w:val="34E53033"/>
    <w:rsid w:val="34EF4B8C"/>
    <w:rsid w:val="35003DAC"/>
    <w:rsid w:val="35021604"/>
    <w:rsid w:val="35065967"/>
    <w:rsid w:val="351654E5"/>
    <w:rsid w:val="353F5384"/>
    <w:rsid w:val="35E0234C"/>
    <w:rsid w:val="35E73DB7"/>
    <w:rsid w:val="35F25F42"/>
    <w:rsid w:val="35FD3530"/>
    <w:rsid w:val="367A376E"/>
    <w:rsid w:val="36980804"/>
    <w:rsid w:val="36C0247F"/>
    <w:rsid w:val="36EE1C47"/>
    <w:rsid w:val="37090A94"/>
    <w:rsid w:val="370B6AC4"/>
    <w:rsid w:val="37222C9A"/>
    <w:rsid w:val="3724312B"/>
    <w:rsid w:val="374E49AB"/>
    <w:rsid w:val="375C05F1"/>
    <w:rsid w:val="37616F09"/>
    <w:rsid w:val="37651937"/>
    <w:rsid w:val="37877C13"/>
    <w:rsid w:val="37995D0D"/>
    <w:rsid w:val="37BF1D93"/>
    <w:rsid w:val="37BF658F"/>
    <w:rsid w:val="37CD0F72"/>
    <w:rsid w:val="38203D96"/>
    <w:rsid w:val="384F786E"/>
    <w:rsid w:val="38694F4E"/>
    <w:rsid w:val="38D07CC6"/>
    <w:rsid w:val="38FC75A6"/>
    <w:rsid w:val="39172562"/>
    <w:rsid w:val="392222C2"/>
    <w:rsid w:val="394370F0"/>
    <w:rsid w:val="39AD5818"/>
    <w:rsid w:val="39D7180F"/>
    <w:rsid w:val="39E563A0"/>
    <w:rsid w:val="3A5300A4"/>
    <w:rsid w:val="3A82108F"/>
    <w:rsid w:val="3AA862F6"/>
    <w:rsid w:val="3AB74354"/>
    <w:rsid w:val="3ABA186D"/>
    <w:rsid w:val="3B1940F4"/>
    <w:rsid w:val="3B2E12B4"/>
    <w:rsid w:val="3B3B6C7F"/>
    <w:rsid w:val="3B4B5B64"/>
    <w:rsid w:val="3B576555"/>
    <w:rsid w:val="3B84753A"/>
    <w:rsid w:val="3B8A37CB"/>
    <w:rsid w:val="3BD37C4F"/>
    <w:rsid w:val="3C0068ED"/>
    <w:rsid w:val="3C11298A"/>
    <w:rsid w:val="3C2127FB"/>
    <w:rsid w:val="3C3B4738"/>
    <w:rsid w:val="3C547B99"/>
    <w:rsid w:val="3C8727CA"/>
    <w:rsid w:val="3C9B03F0"/>
    <w:rsid w:val="3CAF4ED0"/>
    <w:rsid w:val="3CE53A46"/>
    <w:rsid w:val="3D1C2B21"/>
    <w:rsid w:val="3D22377B"/>
    <w:rsid w:val="3D243E94"/>
    <w:rsid w:val="3D580E5A"/>
    <w:rsid w:val="3D673F28"/>
    <w:rsid w:val="3D9841C5"/>
    <w:rsid w:val="3DC4648E"/>
    <w:rsid w:val="3DCD7246"/>
    <w:rsid w:val="3DEF5075"/>
    <w:rsid w:val="3DF0367E"/>
    <w:rsid w:val="3E957F9F"/>
    <w:rsid w:val="3E9C546E"/>
    <w:rsid w:val="3EB87AD3"/>
    <w:rsid w:val="3EE62DCD"/>
    <w:rsid w:val="3F6C2718"/>
    <w:rsid w:val="3F8D7F17"/>
    <w:rsid w:val="3F914C18"/>
    <w:rsid w:val="3F977050"/>
    <w:rsid w:val="3FC022FA"/>
    <w:rsid w:val="3FE936E4"/>
    <w:rsid w:val="40154473"/>
    <w:rsid w:val="40264C37"/>
    <w:rsid w:val="40724987"/>
    <w:rsid w:val="40746738"/>
    <w:rsid w:val="40B55843"/>
    <w:rsid w:val="40CB7954"/>
    <w:rsid w:val="40EA55E2"/>
    <w:rsid w:val="41080828"/>
    <w:rsid w:val="41276B5C"/>
    <w:rsid w:val="413054D4"/>
    <w:rsid w:val="415A65BC"/>
    <w:rsid w:val="41605F21"/>
    <w:rsid w:val="41657925"/>
    <w:rsid w:val="417B61B3"/>
    <w:rsid w:val="41AD78C4"/>
    <w:rsid w:val="42286D41"/>
    <w:rsid w:val="423748E7"/>
    <w:rsid w:val="42493519"/>
    <w:rsid w:val="42835F1B"/>
    <w:rsid w:val="429A6606"/>
    <w:rsid w:val="42C06B6F"/>
    <w:rsid w:val="42CB01C1"/>
    <w:rsid w:val="43017B9F"/>
    <w:rsid w:val="430F3A68"/>
    <w:rsid w:val="43487FFF"/>
    <w:rsid w:val="43601209"/>
    <w:rsid w:val="436C499A"/>
    <w:rsid w:val="43705A0C"/>
    <w:rsid w:val="439E60B3"/>
    <w:rsid w:val="43B601B4"/>
    <w:rsid w:val="43D714FD"/>
    <w:rsid w:val="44286A59"/>
    <w:rsid w:val="44705719"/>
    <w:rsid w:val="44753A4D"/>
    <w:rsid w:val="44FD26A2"/>
    <w:rsid w:val="450101B2"/>
    <w:rsid w:val="45037648"/>
    <w:rsid w:val="450C72A5"/>
    <w:rsid w:val="457E2B4A"/>
    <w:rsid w:val="45E1532C"/>
    <w:rsid w:val="45F51B7C"/>
    <w:rsid w:val="465E574B"/>
    <w:rsid w:val="46922F4A"/>
    <w:rsid w:val="46A54278"/>
    <w:rsid w:val="46D5089B"/>
    <w:rsid w:val="46DB67FE"/>
    <w:rsid w:val="46E93F3A"/>
    <w:rsid w:val="46ED17F9"/>
    <w:rsid w:val="473F2C79"/>
    <w:rsid w:val="47557C4C"/>
    <w:rsid w:val="475B4A69"/>
    <w:rsid w:val="475C406E"/>
    <w:rsid w:val="47853311"/>
    <w:rsid w:val="478B0C24"/>
    <w:rsid w:val="479345BB"/>
    <w:rsid w:val="47A608FE"/>
    <w:rsid w:val="47AC6B11"/>
    <w:rsid w:val="47B34B92"/>
    <w:rsid w:val="47D66223"/>
    <w:rsid w:val="47DC7709"/>
    <w:rsid w:val="47EB1FED"/>
    <w:rsid w:val="47F214CF"/>
    <w:rsid w:val="480A1B29"/>
    <w:rsid w:val="482569A2"/>
    <w:rsid w:val="48293196"/>
    <w:rsid w:val="48321A6F"/>
    <w:rsid w:val="483F1D59"/>
    <w:rsid w:val="485621B3"/>
    <w:rsid w:val="487F6A9B"/>
    <w:rsid w:val="48877B02"/>
    <w:rsid w:val="48897006"/>
    <w:rsid w:val="48907BB9"/>
    <w:rsid w:val="48AE799B"/>
    <w:rsid w:val="48B07C3D"/>
    <w:rsid w:val="48C7665B"/>
    <w:rsid w:val="48ED6507"/>
    <w:rsid w:val="49170119"/>
    <w:rsid w:val="49183EDB"/>
    <w:rsid w:val="493342DC"/>
    <w:rsid w:val="49A95A9C"/>
    <w:rsid w:val="49BD6DE7"/>
    <w:rsid w:val="49FD6E2D"/>
    <w:rsid w:val="4A0B0290"/>
    <w:rsid w:val="4A1A6D24"/>
    <w:rsid w:val="4A416D3F"/>
    <w:rsid w:val="4A8B6151"/>
    <w:rsid w:val="4A915810"/>
    <w:rsid w:val="4A970A9C"/>
    <w:rsid w:val="4B0E6BCB"/>
    <w:rsid w:val="4B313121"/>
    <w:rsid w:val="4B3E42D9"/>
    <w:rsid w:val="4B4F4791"/>
    <w:rsid w:val="4B66616B"/>
    <w:rsid w:val="4B795043"/>
    <w:rsid w:val="4BAB5411"/>
    <w:rsid w:val="4BDC467E"/>
    <w:rsid w:val="4BDD60EC"/>
    <w:rsid w:val="4D564AA8"/>
    <w:rsid w:val="4D8841EC"/>
    <w:rsid w:val="4DDA3CAB"/>
    <w:rsid w:val="4DF76E32"/>
    <w:rsid w:val="4E4E4A9C"/>
    <w:rsid w:val="4E533C49"/>
    <w:rsid w:val="4E7C5EE3"/>
    <w:rsid w:val="4E97072E"/>
    <w:rsid w:val="4EC9501B"/>
    <w:rsid w:val="4F082C18"/>
    <w:rsid w:val="4F5630CE"/>
    <w:rsid w:val="4F5E22F7"/>
    <w:rsid w:val="4F6E202E"/>
    <w:rsid w:val="4F9570DA"/>
    <w:rsid w:val="4FAC0FCC"/>
    <w:rsid w:val="4FBE6979"/>
    <w:rsid w:val="4FF65DDF"/>
    <w:rsid w:val="50152F9C"/>
    <w:rsid w:val="501B39FA"/>
    <w:rsid w:val="50854D2B"/>
    <w:rsid w:val="50867D21"/>
    <w:rsid w:val="508969CB"/>
    <w:rsid w:val="50D574A8"/>
    <w:rsid w:val="50DC7F35"/>
    <w:rsid w:val="50E5248C"/>
    <w:rsid w:val="512275F4"/>
    <w:rsid w:val="512542EA"/>
    <w:rsid w:val="51624429"/>
    <w:rsid w:val="51731129"/>
    <w:rsid w:val="517D0716"/>
    <w:rsid w:val="51895D99"/>
    <w:rsid w:val="51CA44BA"/>
    <w:rsid w:val="520C3C46"/>
    <w:rsid w:val="523A0A61"/>
    <w:rsid w:val="525F372F"/>
    <w:rsid w:val="526250B9"/>
    <w:rsid w:val="52655460"/>
    <w:rsid w:val="5272779E"/>
    <w:rsid w:val="52C23263"/>
    <w:rsid w:val="52CD3356"/>
    <w:rsid w:val="52E24573"/>
    <w:rsid w:val="52EF2926"/>
    <w:rsid w:val="53516C07"/>
    <w:rsid w:val="537C6120"/>
    <w:rsid w:val="5399070F"/>
    <w:rsid w:val="53A91548"/>
    <w:rsid w:val="53BF2F3D"/>
    <w:rsid w:val="54000525"/>
    <w:rsid w:val="542A38C6"/>
    <w:rsid w:val="542B1DB8"/>
    <w:rsid w:val="543021FB"/>
    <w:rsid w:val="543658E3"/>
    <w:rsid w:val="54460FEE"/>
    <w:rsid w:val="5475625C"/>
    <w:rsid w:val="54976B03"/>
    <w:rsid w:val="549969AF"/>
    <w:rsid w:val="54D05ACC"/>
    <w:rsid w:val="54DC32FE"/>
    <w:rsid w:val="54E31E36"/>
    <w:rsid w:val="55852CCA"/>
    <w:rsid w:val="5595621F"/>
    <w:rsid w:val="559D6407"/>
    <w:rsid w:val="55B130F2"/>
    <w:rsid w:val="55D75BDC"/>
    <w:rsid w:val="56170F0F"/>
    <w:rsid w:val="563817F4"/>
    <w:rsid w:val="563D2F05"/>
    <w:rsid w:val="563E3BA7"/>
    <w:rsid w:val="56535B00"/>
    <w:rsid w:val="565C65F4"/>
    <w:rsid w:val="566007FA"/>
    <w:rsid w:val="56D674D3"/>
    <w:rsid w:val="56FD605F"/>
    <w:rsid w:val="57092E0D"/>
    <w:rsid w:val="57252CD2"/>
    <w:rsid w:val="57347272"/>
    <w:rsid w:val="573876AA"/>
    <w:rsid w:val="5750143F"/>
    <w:rsid w:val="57A8378A"/>
    <w:rsid w:val="57D60EB0"/>
    <w:rsid w:val="57F734A9"/>
    <w:rsid w:val="580F2BC7"/>
    <w:rsid w:val="585921E0"/>
    <w:rsid w:val="585C1446"/>
    <w:rsid w:val="585C75F9"/>
    <w:rsid w:val="58B43187"/>
    <w:rsid w:val="58E21F72"/>
    <w:rsid w:val="58F33791"/>
    <w:rsid w:val="59022F4E"/>
    <w:rsid w:val="59450ECE"/>
    <w:rsid w:val="59491746"/>
    <w:rsid w:val="594B2AC4"/>
    <w:rsid w:val="59554F32"/>
    <w:rsid w:val="59BF0C30"/>
    <w:rsid w:val="59CB2E19"/>
    <w:rsid w:val="59DB4F07"/>
    <w:rsid w:val="5A3B1A95"/>
    <w:rsid w:val="5A5F198C"/>
    <w:rsid w:val="5A723B42"/>
    <w:rsid w:val="5A7D3636"/>
    <w:rsid w:val="5A8258B4"/>
    <w:rsid w:val="5A97449A"/>
    <w:rsid w:val="5B096A41"/>
    <w:rsid w:val="5B115BF8"/>
    <w:rsid w:val="5B2C7717"/>
    <w:rsid w:val="5B463353"/>
    <w:rsid w:val="5BB06E83"/>
    <w:rsid w:val="5BBC6A5E"/>
    <w:rsid w:val="5BF3038E"/>
    <w:rsid w:val="5C3329EC"/>
    <w:rsid w:val="5C3F31DA"/>
    <w:rsid w:val="5C425DA0"/>
    <w:rsid w:val="5C4643CF"/>
    <w:rsid w:val="5C4F7F42"/>
    <w:rsid w:val="5C8D1429"/>
    <w:rsid w:val="5C920ADB"/>
    <w:rsid w:val="5CC2240A"/>
    <w:rsid w:val="5CE25870"/>
    <w:rsid w:val="5D077399"/>
    <w:rsid w:val="5D2B1C29"/>
    <w:rsid w:val="5D2C7BC9"/>
    <w:rsid w:val="5D471F2C"/>
    <w:rsid w:val="5D506D1B"/>
    <w:rsid w:val="5DD76F84"/>
    <w:rsid w:val="5DE80C67"/>
    <w:rsid w:val="5E0F6FDC"/>
    <w:rsid w:val="5E1D2E79"/>
    <w:rsid w:val="5E2C00DB"/>
    <w:rsid w:val="5E65584F"/>
    <w:rsid w:val="5E6E0AA0"/>
    <w:rsid w:val="5E707DDB"/>
    <w:rsid w:val="5EE760EE"/>
    <w:rsid w:val="5F273BA7"/>
    <w:rsid w:val="5F372974"/>
    <w:rsid w:val="5F8C7FA7"/>
    <w:rsid w:val="5F9940F1"/>
    <w:rsid w:val="5FA33028"/>
    <w:rsid w:val="5FA654C2"/>
    <w:rsid w:val="5FAF1218"/>
    <w:rsid w:val="5FBE42B8"/>
    <w:rsid w:val="60155C5A"/>
    <w:rsid w:val="602517E2"/>
    <w:rsid w:val="60253CF4"/>
    <w:rsid w:val="60471013"/>
    <w:rsid w:val="607D3E0A"/>
    <w:rsid w:val="60A13571"/>
    <w:rsid w:val="60B57046"/>
    <w:rsid w:val="60BF3EAE"/>
    <w:rsid w:val="60DC5DE3"/>
    <w:rsid w:val="60DE6D12"/>
    <w:rsid w:val="610937A1"/>
    <w:rsid w:val="611166AE"/>
    <w:rsid w:val="612C4F1B"/>
    <w:rsid w:val="6136403C"/>
    <w:rsid w:val="615E4F99"/>
    <w:rsid w:val="61670891"/>
    <w:rsid w:val="617C329D"/>
    <w:rsid w:val="61AD4C1D"/>
    <w:rsid w:val="61B76883"/>
    <w:rsid w:val="61BB1FB6"/>
    <w:rsid w:val="61DB46CE"/>
    <w:rsid w:val="620D6C53"/>
    <w:rsid w:val="62222436"/>
    <w:rsid w:val="62602FC9"/>
    <w:rsid w:val="626A595E"/>
    <w:rsid w:val="62874B8F"/>
    <w:rsid w:val="634B27AF"/>
    <w:rsid w:val="638340A0"/>
    <w:rsid w:val="64110DB0"/>
    <w:rsid w:val="64301EE0"/>
    <w:rsid w:val="644D4AE5"/>
    <w:rsid w:val="64505168"/>
    <w:rsid w:val="645B0C9D"/>
    <w:rsid w:val="64903353"/>
    <w:rsid w:val="6492488E"/>
    <w:rsid w:val="64E10988"/>
    <w:rsid w:val="64E725DD"/>
    <w:rsid w:val="64E775A5"/>
    <w:rsid w:val="650D793F"/>
    <w:rsid w:val="65235C9F"/>
    <w:rsid w:val="658C77BD"/>
    <w:rsid w:val="65AE6933"/>
    <w:rsid w:val="6617603A"/>
    <w:rsid w:val="662C4ABE"/>
    <w:rsid w:val="664A6DC0"/>
    <w:rsid w:val="66712105"/>
    <w:rsid w:val="668A5A7E"/>
    <w:rsid w:val="66A23A01"/>
    <w:rsid w:val="66AA4C26"/>
    <w:rsid w:val="66CC7820"/>
    <w:rsid w:val="66E718E8"/>
    <w:rsid w:val="670C5750"/>
    <w:rsid w:val="672838EA"/>
    <w:rsid w:val="673A3643"/>
    <w:rsid w:val="679A69D9"/>
    <w:rsid w:val="67BB5970"/>
    <w:rsid w:val="68252E05"/>
    <w:rsid w:val="68682306"/>
    <w:rsid w:val="68764CEC"/>
    <w:rsid w:val="688A1FC4"/>
    <w:rsid w:val="688E57A0"/>
    <w:rsid w:val="68A217D8"/>
    <w:rsid w:val="68C012B9"/>
    <w:rsid w:val="68C4092D"/>
    <w:rsid w:val="68E46C14"/>
    <w:rsid w:val="691B3331"/>
    <w:rsid w:val="6923469E"/>
    <w:rsid w:val="69570D85"/>
    <w:rsid w:val="698B7EAB"/>
    <w:rsid w:val="69B40F31"/>
    <w:rsid w:val="69EA78AC"/>
    <w:rsid w:val="6A201514"/>
    <w:rsid w:val="6A41258D"/>
    <w:rsid w:val="6A6F6791"/>
    <w:rsid w:val="6A7E374D"/>
    <w:rsid w:val="6A843945"/>
    <w:rsid w:val="6AB302CA"/>
    <w:rsid w:val="6AEA0482"/>
    <w:rsid w:val="6B38609D"/>
    <w:rsid w:val="6B504367"/>
    <w:rsid w:val="6B7A254F"/>
    <w:rsid w:val="6B810624"/>
    <w:rsid w:val="6B8D142A"/>
    <w:rsid w:val="6BAA3E23"/>
    <w:rsid w:val="6BAB4E9C"/>
    <w:rsid w:val="6BDA39E6"/>
    <w:rsid w:val="6BE01B3E"/>
    <w:rsid w:val="6C1460DA"/>
    <w:rsid w:val="6C7A590E"/>
    <w:rsid w:val="6C7C3F5E"/>
    <w:rsid w:val="6C7D7E16"/>
    <w:rsid w:val="6CA86E6B"/>
    <w:rsid w:val="6CAB02C1"/>
    <w:rsid w:val="6D0E475A"/>
    <w:rsid w:val="6D581E91"/>
    <w:rsid w:val="6D7175CD"/>
    <w:rsid w:val="6D981EC4"/>
    <w:rsid w:val="6D9C2886"/>
    <w:rsid w:val="6DBA3B2C"/>
    <w:rsid w:val="6DCB1075"/>
    <w:rsid w:val="6DDD453A"/>
    <w:rsid w:val="6DE2611C"/>
    <w:rsid w:val="6DF16F00"/>
    <w:rsid w:val="6E001739"/>
    <w:rsid w:val="6E0267C5"/>
    <w:rsid w:val="6E413A4E"/>
    <w:rsid w:val="6EBE4C69"/>
    <w:rsid w:val="6EDE6F66"/>
    <w:rsid w:val="6EEF606E"/>
    <w:rsid w:val="6EFC511D"/>
    <w:rsid w:val="6F122FDA"/>
    <w:rsid w:val="6F3D5309"/>
    <w:rsid w:val="6F43203E"/>
    <w:rsid w:val="6F482B7B"/>
    <w:rsid w:val="6F6C34A8"/>
    <w:rsid w:val="6FF16F49"/>
    <w:rsid w:val="70276B34"/>
    <w:rsid w:val="709832CF"/>
    <w:rsid w:val="70C320F8"/>
    <w:rsid w:val="713F0626"/>
    <w:rsid w:val="715030F4"/>
    <w:rsid w:val="71604FB4"/>
    <w:rsid w:val="71631AFC"/>
    <w:rsid w:val="71677A62"/>
    <w:rsid w:val="71837A9B"/>
    <w:rsid w:val="71886DDB"/>
    <w:rsid w:val="71896783"/>
    <w:rsid w:val="71E46D62"/>
    <w:rsid w:val="71E75D93"/>
    <w:rsid w:val="71EC56C5"/>
    <w:rsid w:val="71ED7A92"/>
    <w:rsid w:val="71F75730"/>
    <w:rsid w:val="721E1B96"/>
    <w:rsid w:val="72251422"/>
    <w:rsid w:val="7225656F"/>
    <w:rsid w:val="72696AE2"/>
    <w:rsid w:val="726B1196"/>
    <w:rsid w:val="727E65EB"/>
    <w:rsid w:val="72A73227"/>
    <w:rsid w:val="72F62936"/>
    <w:rsid w:val="732736E7"/>
    <w:rsid w:val="733408A9"/>
    <w:rsid w:val="734248E1"/>
    <w:rsid w:val="73540820"/>
    <w:rsid w:val="736B752D"/>
    <w:rsid w:val="736C6752"/>
    <w:rsid w:val="73AC5096"/>
    <w:rsid w:val="73BB3376"/>
    <w:rsid w:val="73C43F8F"/>
    <w:rsid w:val="74507F24"/>
    <w:rsid w:val="74783B93"/>
    <w:rsid w:val="748542EA"/>
    <w:rsid w:val="748A199E"/>
    <w:rsid w:val="74BD4A7B"/>
    <w:rsid w:val="74D30310"/>
    <w:rsid w:val="74FF0220"/>
    <w:rsid w:val="75201561"/>
    <w:rsid w:val="752700F2"/>
    <w:rsid w:val="752A3EC6"/>
    <w:rsid w:val="75624AA2"/>
    <w:rsid w:val="75644AA5"/>
    <w:rsid w:val="75B11591"/>
    <w:rsid w:val="75C44961"/>
    <w:rsid w:val="75F83B27"/>
    <w:rsid w:val="766805A7"/>
    <w:rsid w:val="7684718A"/>
    <w:rsid w:val="76C50456"/>
    <w:rsid w:val="76E103B9"/>
    <w:rsid w:val="76E917E0"/>
    <w:rsid w:val="774C0373"/>
    <w:rsid w:val="77794452"/>
    <w:rsid w:val="778E0203"/>
    <w:rsid w:val="77905EBF"/>
    <w:rsid w:val="77FF6FFD"/>
    <w:rsid w:val="781A4A95"/>
    <w:rsid w:val="783E3C04"/>
    <w:rsid w:val="786C7C99"/>
    <w:rsid w:val="787D5EF0"/>
    <w:rsid w:val="78C469B6"/>
    <w:rsid w:val="78E26D52"/>
    <w:rsid w:val="78EB0B97"/>
    <w:rsid w:val="791A3942"/>
    <w:rsid w:val="79276182"/>
    <w:rsid w:val="793E3CE9"/>
    <w:rsid w:val="794642FD"/>
    <w:rsid w:val="798164C0"/>
    <w:rsid w:val="799946DD"/>
    <w:rsid w:val="79C64741"/>
    <w:rsid w:val="79CD5F86"/>
    <w:rsid w:val="79E31DD0"/>
    <w:rsid w:val="79F867AA"/>
    <w:rsid w:val="7A183025"/>
    <w:rsid w:val="7A2A76D4"/>
    <w:rsid w:val="7A312E8F"/>
    <w:rsid w:val="7A47045E"/>
    <w:rsid w:val="7A504612"/>
    <w:rsid w:val="7A7557E2"/>
    <w:rsid w:val="7AEC59DC"/>
    <w:rsid w:val="7B3B2FA3"/>
    <w:rsid w:val="7B557579"/>
    <w:rsid w:val="7B611367"/>
    <w:rsid w:val="7B6740B9"/>
    <w:rsid w:val="7B7468F9"/>
    <w:rsid w:val="7BA04089"/>
    <w:rsid w:val="7BB55D58"/>
    <w:rsid w:val="7BD209CE"/>
    <w:rsid w:val="7BE569A2"/>
    <w:rsid w:val="7BEF5454"/>
    <w:rsid w:val="7C02790B"/>
    <w:rsid w:val="7C35453A"/>
    <w:rsid w:val="7C6334B5"/>
    <w:rsid w:val="7C684366"/>
    <w:rsid w:val="7C6E697E"/>
    <w:rsid w:val="7C940BCB"/>
    <w:rsid w:val="7CC94499"/>
    <w:rsid w:val="7CCD2C3A"/>
    <w:rsid w:val="7D2056B5"/>
    <w:rsid w:val="7D3048A2"/>
    <w:rsid w:val="7D505244"/>
    <w:rsid w:val="7D876FA6"/>
    <w:rsid w:val="7DBD4A54"/>
    <w:rsid w:val="7E173D86"/>
    <w:rsid w:val="7E2678C6"/>
    <w:rsid w:val="7E3D61EC"/>
    <w:rsid w:val="7E51640B"/>
    <w:rsid w:val="7E7D2B86"/>
    <w:rsid w:val="7E9624DF"/>
    <w:rsid w:val="7E975DE0"/>
    <w:rsid w:val="7E977EAD"/>
    <w:rsid w:val="7F401DAA"/>
    <w:rsid w:val="7F491A91"/>
    <w:rsid w:val="7F732D44"/>
    <w:rsid w:val="7F7A637F"/>
    <w:rsid w:val="7F913745"/>
    <w:rsid w:val="7FFE14F0"/>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uiPriority="9" w:qFormat="1"/>
    <w:lsdException w:name="heading 8" w:uiPriority="9" w:qFormat="1"/>
    <w:lsdException w:name="heading 9" w:uiPriority="9" w:qFormat="1"/>
    <w:lsdException w:name="index 1" w:uiPriority="0" w:qFormat="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qFormat="1"/>
    <w:lsdException w:name="index heading" w:uiPriority="0" w:unhideWhenUsed="0" w:qFormat="1"/>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semiHidden="0" w:uiPriority="0" w:unhideWhenUsed="0" w:qFormat="1"/>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semiHidden="0" w:qFormat="1"/>
    <w:lsdException w:name="Note Heading"/>
    <w:lsdException w:name="Body Text 2" w:qFormat="1"/>
    <w:lsdException w:name="Body Text 3" w:qFormat="1"/>
    <w:lsdException w:name="Body Text Indent 2" w:semiHidden="0" w:uiPriority="0" w:unhideWhenUsed="0" w:qFormat="1"/>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jc w:val="center"/>
      <w:outlineLvl w:val="0"/>
    </w:pPr>
    <w:rPr>
      <w:sz w:val="28"/>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unhideWhenUsed/>
    <w:qFormat/>
    <w:pPr>
      <w:keepNext/>
      <w:keepLines/>
      <w:spacing w:before="280" w:after="290" w:line="372" w:lineRule="auto"/>
      <w:outlineLvl w:val="4"/>
    </w:pPr>
    <w:rPr>
      <w:b/>
      <w:sz w:val="28"/>
    </w:rPr>
  </w:style>
  <w:style w:type="paragraph" w:styleId="Heading6">
    <w:name w:val="heading 6"/>
    <w:basedOn w:val="Normal"/>
    <w:next w:val="Normal"/>
    <w:link w:val="6Char"/>
    <w:unhideWhenUsed/>
    <w:qFormat/>
    <w:pPr>
      <w:keepNext/>
      <w:keepLines/>
      <w:spacing w:before="240" w:after="64" w:line="317" w:lineRule="auto"/>
      <w:outlineLvl w:val="5"/>
    </w:pPr>
    <w:rPr>
      <w:rFonts w:ascii="Arial" w:eastAsia="黑体" w:hAnsi="Arial"/>
      <w:b/>
      <w:sz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
    <w:name w:val="Default"/>
    <w:next w:val="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
    <w:name w:val="样式1"/>
    <w:basedOn w:val="IndexHeading"/>
    <w:next w:val="Normal"/>
    <w:qFormat/>
    <w:pPr>
      <w:snapToGrid w:val="0"/>
      <w:jc w:val="center"/>
    </w:pPr>
    <w:rPr>
      <w:rFonts w:ascii="宋体" w:hAnsi="Times New Roman" w:cs="Times New Roman"/>
      <w:szCs w:val="20"/>
    </w:r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unhideWhenUsed/>
    <w:qFormat/>
  </w:style>
  <w:style w:type="paragraph" w:styleId="NormalIndent">
    <w:name w:val="Normal Indent"/>
    <w:basedOn w:val="Normal"/>
    <w:next w:val="Normal"/>
    <w:link w:val="Char9"/>
    <w:qFormat/>
    <w:pPr>
      <w:ind w:firstLine="420" w:firstLineChars="200"/>
    </w:pPr>
    <w:rPr>
      <w:rFonts w:ascii="Calibri" w:hAnsi="Calibri"/>
      <w:sz w:val="20"/>
    </w:rPr>
  </w:style>
  <w:style w:type="paragraph" w:styleId="CommentText">
    <w:name w:val="annotation text"/>
    <w:basedOn w:val="Normal"/>
    <w:link w:val="Char2"/>
    <w:qFormat/>
    <w:pPr>
      <w:jc w:val="left"/>
    </w:pPr>
  </w:style>
  <w:style w:type="paragraph" w:styleId="BodyText3">
    <w:name w:val="Body Text 3"/>
    <w:basedOn w:val="Normal"/>
    <w:link w:val="3Char1"/>
    <w:uiPriority w:val="99"/>
    <w:semiHidden/>
    <w:unhideWhenUsed/>
    <w:qFormat/>
    <w:pPr>
      <w:spacing w:after="120"/>
    </w:pPr>
    <w:rPr>
      <w:sz w:val="16"/>
      <w:szCs w:val="16"/>
    </w:rPr>
  </w:style>
  <w:style w:type="paragraph" w:styleId="BodyText">
    <w:name w:val="Body Text"/>
    <w:basedOn w:val="Normal"/>
    <w:link w:val="Char3"/>
    <w:qFormat/>
    <w:pPr>
      <w:spacing w:line="360" w:lineRule="auto"/>
    </w:pPr>
    <w:rPr>
      <w:szCs w:val="20"/>
    </w:rPr>
  </w:style>
  <w:style w:type="paragraph" w:styleId="BodyTextIndent">
    <w:name w:val="Body Text Indent"/>
    <w:basedOn w:val="Normal"/>
    <w:link w:val="Char1"/>
    <w:unhideWhenUsed/>
    <w:qFormat/>
    <w:pPr>
      <w:spacing w:after="120"/>
      <w:ind w:left="420" w:leftChars="200"/>
    </w:pPr>
  </w:style>
  <w:style w:type="paragraph" w:styleId="PlainText">
    <w:name w:val="Plain Text"/>
    <w:basedOn w:val="Normal"/>
    <w:link w:val="Char4"/>
    <w:qFormat/>
    <w:rPr>
      <w:rFonts w:ascii="宋体" w:hAnsi="Courier New" w:cs="Courier New"/>
      <w:szCs w:val="21"/>
    </w:rPr>
  </w:style>
  <w:style w:type="paragraph" w:styleId="BodyTextIndent2">
    <w:name w:val="Body Text Indent 2"/>
    <w:basedOn w:val="Normal"/>
    <w:link w:val="2Char1"/>
    <w:qFormat/>
    <w:pPr>
      <w:spacing w:after="120" w:line="480" w:lineRule="auto"/>
      <w:ind w:left="420" w:leftChars="200"/>
    </w:pPr>
  </w:style>
  <w:style w:type="paragraph" w:styleId="BalloonText">
    <w:name w:val="Balloon Text"/>
    <w:basedOn w:val="Normal"/>
    <w:link w:val="Char5"/>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List">
    <w:name w:val="List"/>
    <w:basedOn w:val="Normal"/>
    <w:qFormat/>
    <w:pPr>
      <w:ind w:left="200" w:hanging="200" w:hangingChars="200"/>
    </w:pPr>
  </w:style>
  <w:style w:type="paragraph" w:styleId="BodyText2">
    <w:name w:val="Body Text 2"/>
    <w:basedOn w:val="Normal"/>
    <w:link w:val="2Char2"/>
    <w:uiPriority w:val="99"/>
    <w:semiHidden/>
    <w:unhideWhenUsed/>
    <w:qFormat/>
    <w:pPr>
      <w:spacing w:after="120" w:line="480" w:lineRule="auto"/>
    </w:pPr>
  </w:style>
  <w:style w:type="paragraph" w:styleId="NormalWeb">
    <w:name w:val="Normal (Web)"/>
    <w:basedOn w:val="Normal"/>
    <w:uiPriority w:val="99"/>
    <w:qFormat/>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Char6"/>
    <w:qFormat/>
    <w:rPr>
      <w:b/>
      <w:bCs/>
    </w:rPr>
  </w:style>
  <w:style w:type="paragraph" w:styleId="BodyTextFirstIndent2">
    <w:name w:val="Body Text First Indent 2"/>
    <w:basedOn w:val="BodyTextIndent"/>
    <w:next w:val="Normal"/>
    <w:link w:val="2Char0"/>
    <w:uiPriority w:val="99"/>
    <w:unhideWhenUsed/>
    <w:qFormat/>
    <w:pPr>
      <w:ind w:firstLine="420"/>
    </w:pPr>
    <w:rPr>
      <w:rFonts w:hAnsi="宋体"/>
      <w:color w:val="FF660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Pr>
      <w:rFonts w:ascii="Times New Roman" w:hAnsi="Times New Roman" w:cs="Times New Roman" w:hint="default"/>
      <w:szCs w:val="21"/>
    </w:rPr>
  </w:style>
  <w:style w:type="character" w:styleId="Hyperlink">
    <w:name w:val="Hyperlink"/>
    <w:basedOn w:val="DefaultParagraphFont"/>
    <w:uiPriority w:val="99"/>
    <w:unhideWhenUsed/>
    <w:qFormat/>
    <w:rPr>
      <w:color w:val="0063C8"/>
      <w:u w:val="none"/>
    </w:rPr>
  </w:style>
  <w:style w:type="character" w:styleId="CommentReference">
    <w:name w:val="annotation reference"/>
    <w:basedOn w:val="DefaultParagraphFont"/>
    <w:qFormat/>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1Char">
    <w:name w:val="标题 1 Char"/>
    <w:basedOn w:val="DefaultParagraphFont"/>
    <w:link w:val="Heading1"/>
    <w:qFormat/>
    <w:rPr>
      <w:rFonts w:ascii="Times New Roman" w:eastAsia="宋体" w:hAnsi="Times New Roman" w:cs="Times New Roman"/>
      <w:sz w:val="28"/>
      <w:szCs w:val="24"/>
    </w:rPr>
  </w:style>
  <w:style w:type="character" w:customStyle="1" w:styleId="2Char">
    <w:name w:val="标题 2 Char"/>
    <w:basedOn w:val="DefaultParagraphFont"/>
    <w:link w:val="Heading2"/>
    <w:qFormat/>
    <w:rPr>
      <w:rFonts w:ascii="Arial" w:eastAsia="黑体" w:hAnsi="Arial" w:cs="Times New Roman"/>
      <w:b/>
      <w:bCs/>
      <w:sz w:val="32"/>
      <w:szCs w:val="32"/>
    </w:rPr>
  </w:style>
  <w:style w:type="character" w:customStyle="1" w:styleId="3Char">
    <w:name w:val="标题 3 Char"/>
    <w:basedOn w:val="DefaultParagraphFont"/>
    <w:link w:val="Heading3"/>
    <w:qFormat/>
    <w:rPr>
      <w:rFonts w:ascii="Times New Roman" w:eastAsia="宋体" w:hAnsi="Times New Roman" w:cs="Times New Roman"/>
      <w:b/>
      <w:bCs/>
      <w:sz w:val="32"/>
      <w:szCs w:val="32"/>
    </w:rPr>
  </w:style>
  <w:style w:type="character" w:customStyle="1" w:styleId="4Char">
    <w:name w:val="标题 4 Char"/>
    <w:basedOn w:val="DefaultParagraphFont"/>
    <w:link w:val="Heading4"/>
    <w:qFormat/>
    <w:rPr>
      <w:rFonts w:ascii="Arial" w:eastAsia="黑体" w:hAnsi="Arial" w:cs="Times New Roman"/>
      <w:b/>
      <w:bCs/>
      <w:sz w:val="28"/>
      <w:szCs w:val="28"/>
    </w:rPr>
  </w:style>
  <w:style w:type="character" w:customStyle="1" w:styleId="5Char">
    <w:name w:val="标题 5 Char"/>
    <w:basedOn w:val="DefaultParagraphFont"/>
    <w:link w:val="Heading5"/>
    <w:qFormat/>
    <w:rPr>
      <w:rFonts w:ascii="Times New Roman" w:eastAsia="宋体" w:hAnsi="Times New Roman" w:cs="Times New Roman"/>
      <w:b/>
      <w:sz w:val="28"/>
      <w:szCs w:val="24"/>
    </w:rPr>
  </w:style>
  <w:style w:type="character" w:customStyle="1" w:styleId="6Char">
    <w:name w:val="标题 6 Char"/>
    <w:basedOn w:val="DefaultParagraphFont"/>
    <w:link w:val="Heading6"/>
    <w:qFormat/>
    <w:rPr>
      <w:rFonts w:ascii="Arial" w:eastAsia="黑体" w:hAnsi="Arial" w:cs="Times New Roman"/>
      <w:b/>
      <w:sz w:val="24"/>
      <w:szCs w:val="24"/>
    </w:rPr>
  </w:style>
  <w:style w:type="character" w:customStyle="1" w:styleId="Char1">
    <w:name w:val="正文文本缩进 Char"/>
    <w:basedOn w:val="DefaultParagraphFont"/>
    <w:link w:val="BodyTextIndent"/>
    <w:uiPriority w:val="99"/>
    <w:semiHidden/>
    <w:qFormat/>
    <w:rPr>
      <w:rFonts w:ascii="Times New Roman" w:eastAsia="宋体" w:hAnsi="Times New Roman" w:cs="Times New Roman"/>
      <w:szCs w:val="24"/>
    </w:rPr>
  </w:style>
  <w:style w:type="character" w:customStyle="1" w:styleId="2Char0">
    <w:name w:val="正文首行缩进 2 Char"/>
    <w:basedOn w:val="Char1"/>
    <w:link w:val="BodyTextFirstIndent2"/>
    <w:uiPriority w:val="99"/>
    <w:qFormat/>
    <w:rPr>
      <w:rFonts w:ascii="Times New Roman" w:eastAsia="宋体" w:hAnsi="宋体" w:cs="Times New Roman"/>
      <w:color w:val="FF6600"/>
      <w:szCs w:val="24"/>
    </w:rPr>
  </w:style>
  <w:style w:type="character" w:customStyle="1" w:styleId="Char2">
    <w:name w:val="批注文字 Char"/>
    <w:basedOn w:val="DefaultParagraphFont"/>
    <w:link w:val="CommentText"/>
    <w:qFormat/>
    <w:rPr>
      <w:rFonts w:ascii="Times New Roman" w:eastAsia="宋体" w:hAnsi="Times New Roman" w:cs="Times New Roman"/>
      <w:szCs w:val="24"/>
    </w:rPr>
  </w:style>
  <w:style w:type="character" w:customStyle="1" w:styleId="Char3">
    <w:name w:val="正文文本 Char"/>
    <w:basedOn w:val="DefaultParagraphFont"/>
    <w:link w:val="BodyText"/>
    <w:qFormat/>
    <w:rPr>
      <w:rFonts w:ascii="Times New Roman" w:eastAsia="宋体" w:hAnsi="Times New Roman" w:cs="Times New Roman"/>
      <w:szCs w:val="20"/>
    </w:rPr>
  </w:style>
  <w:style w:type="character" w:customStyle="1" w:styleId="Char4">
    <w:name w:val="纯文本 Char"/>
    <w:basedOn w:val="DefaultParagraphFont"/>
    <w:link w:val="PlainText"/>
    <w:qFormat/>
    <w:rPr>
      <w:rFonts w:ascii="宋体" w:eastAsia="宋体" w:hAnsi="Courier New" w:cs="Courier New"/>
      <w:szCs w:val="21"/>
    </w:rPr>
  </w:style>
  <w:style w:type="character" w:customStyle="1" w:styleId="2Char1">
    <w:name w:val="正文文本缩进 2 Char"/>
    <w:basedOn w:val="DefaultParagraphFont"/>
    <w:link w:val="BodyTextIndent2"/>
    <w:qFormat/>
    <w:rPr>
      <w:rFonts w:ascii="Times New Roman" w:eastAsia="宋体" w:hAnsi="Times New Roman" w:cs="Times New Roman"/>
      <w:szCs w:val="24"/>
    </w:rPr>
  </w:style>
  <w:style w:type="character" w:customStyle="1" w:styleId="Char5">
    <w:name w:val="批注框文本 Char"/>
    <w:basedOn w:val="DefaultParagraphFont"/>
    <w:link w:val="BalloonText"/>
    <w:qFormat/>
    <w:rPr>
      <w:rFonts w:ascii="Times New Roman" w:eastAsia="宋体" w:hAnsi="Times New Roman" w:cs="Times New Roman"/>
      <w:sz w:val="18"/>
      <w:szCs w:val="18"/>
    </w:rPr>
  </w:style>
  <w:style w:type="character" w:customStyle="1" w:styleId="Char6">
    <w:name w:val="批注主题 Char"/>
    <w:basedOn w:val="Char2"/>
    <w:link w:val="CommentSubject"/>
    <w:qFormat/>
    <w:rPr>
      <w:rFonts w:ascii="Times New Roman" w:eastAsia="宋体" w:hAnsi="Times New Roman" w:cs="Times New Roman"/>
      <w:b/>
      <w:bCs/>
      <w:szCs w:val="24"/>
    </w:rPr>
  </w:style>
  <w:style w:type="paragraph" w:customStyle="1" w:styleId="NormalIndent1">
    <w:name w:val="Normal Indent1"/>
    <w:basedOn w:val="Normal"/>
    <w:qFormat/>
    <w:pPr>
      <w:ind w:firstLine="200" w:firstLineChars="200"/>
    </w:pPr>
    <w:rPr>
      <w:sz w:val="28"/>
    </w:rPr>
  </w:style>
  <w:style w:type="paragraph" w:customStyle="1" w:styleId="TableParagraph">
    <w:name w:val="Table Paragraph"/>
    <w:basedOn w:val="Normal"/>
    <w:uiPriority w:val="1"/>
    <w:unhideWhenUsed/>
    <w:qFormat/>
    <w:rPr>
      <w:sz w:val="24"/>
    </w:rPr>
  </w:style>
  <w:style w:type="paragraph" w:customStyle="1" w:styleId="CharCharChar1">
    <w:name w:val="段落 Char Char Char1"/>
    <w:basedOn w:val="Normal"/>
    <w:qFormat/>
    <w:pPr>
      <w:topLinePunct/>
      <w:adjustRightInd w:val="0"/>
      <w:snapToGrid w:val="0"/>
      <w:spacing w:line="360" w:lineRule="auto"/>
      <w:ind w:firstLine="200" w:firstLineChars="200"/>
    </w:pPr>
  </w:style>
  <w:style w:type="paragraph" w:customStyle="1" w:styleId="a">
    <w:name w:val="主体文字"/>
    <w:basedOn w:val="PlainText"/>
    <w:qFormat/>
    <w:pPr>
      <w:adjustRightInd w:val="0"/>
      <w:spacing w:before="120" w:line="360" w:lineRule="auto"/>
      <w:ind w:firstLine="540" w:firstLineChars="225"/>
      <w:textAlignment w:val="baseline"/>
    </w:pPr>
    <w:rPr>
      <w:rFonts w:eastAsia="Times New Roman" w:cs="Times New Roman"/>
      <w:spacing w:val="-2"/>
      <w:kern w:val="28"/>
      <w:sz w:val="24"/>
    </w:rPr>
  </w:style>
  <w:style w:type="paragraph" w:customStyle="1" w:styleId="a0">
    <w:name w:val="本文正文"/>
    <w:basedOn w:val="Normal"/>
    <w:qFormat/>
    <w:pPr>
      <w:spacing w:before="156" w:after="156" w:line="360" w:lineRule="auto"/>
      <w:ind w:firstLine="480" w:firstLineChars="200"/>
    </w:pPr>
    <w:rPr>
      <w:rFonts w:ascii="宋体" w:hAnsi="宋体" w:cs="宋体"/>
      <w:sz w:val="24"/>
    </w:rPr>
  </w:style>
  <w:style w:type="paragraph" w:customStyle="1" w:styleId="3">
    <w:name w:val="标题 3+"/>
    <w:basedOn w:val="Heading3"/>
    <w:link w:val="3Char0"/>
    <w:qFormat/>
    <w:pPr>
      <w:keepNext w:val="0"/>
      <w:keepLines w:val="0"/>
      <w:tabs>
        <w:tab w:val="left" w:pos="792"/>
      </w:tabs>
      <w:snapToGrid w:val="0"/>
      <w:spacing w:before="100" w:beforeAutospacing="1" w:after="100" w:afterAutospacing="1" w:line="560" w:lineRule="exact"/>
      <w:ind w:firstLine="461" w:firstLineChars="192"/>
    </w:pPr>
    <w:rPr>
      <w:rFonts w:ascii="楷体_GB2312" w:eastAsia="楷体_GB2312" w:hAnsi="Arial"/>
      <w:bCs w:val="0"/>
      <w:kern w:val="0"/>
      <w:sz w:val="24"/>
      <w:szCs w:val="20"/>
    </w:rPr>
  </w:style>
  <w:style w:type="paragraph" w:customStyle="1" w:styleId="a1">
    <w:name w:val="图文框"/>
    <w:basedOn w:val="Normal"/>
    <w:qFormat/>
    <w:pPr>
      <w:spacing w:line="400" w:lineRule="exact"/>
      <w:ind w:left="-40" w:right="-51"/>
      <w:jc w:val="center"/>
    </w:pPr>
    <w:rPr>
      <w:sz w:val="24"/>
      <w:szCs w:val="20"/>
    </w:rPr>
  </w:style>
  <w:style w:type="paragraph" w:customStyle="1" w:styleId="a2">
    <w:name w:val="法规"/>
    <w:basedOn w:val="Normal"/>
    <w:qFormat/>
    <w:pPr>
      <w:tabs>
        <w:tab w:val="left" w:pos="360"/>
      </w:tabs>
      <w:spacing w:line="440" w:lineRule="exact"/>
      <w:ind w:left="-40" w:firstLine="400"/>
    </w:pPr>
    <w:rPr>
      <w:kern w:val="10"/>
      <w:sz w:val="25"/>
      <w:szCs w:val="20"/>
    </w:rPr>
  </w:style>
  <w:style w:type="paragraph" w:customStyle="1" w:styleId="10">
    <w:name w:val="普通(网站)1"/>
    <w:basedOn w:val="Normal"/>
    <w:qFormat/>
    <w:pPr>
      <w:widowControl/>
      <w:spacing w:before="100" w:beforeAutospacing="1" w:after="100" w:afterAutospacing="1"/>
      <w:jc w:val="left"/>
    </w:pPr>
    <w:rPr>
      <w:rFonts w:ascii="宋体" w:hAnsi="宋体" w:hint="eastAsia"/>
      <w:sz w:val="24"/>
    </w:rPr>
  </w:style>
  <w:style w:type="character" w:customStyle="1" w:styleId="Char7">
    <w:name w:val="表格名称 Char"/>
    <w:link w:val="a3"/>
    <w:qFormat/>
    <w:rPr>
      <w:rFonts w:ascii="宋体" w:eastAsia="宋体"/>
      <w:snapToGrid w:val="0"/>
      <w:kern w:val="10"/>
      <w:sz w:val="24"/>
      <w:szCs w:val="24"/>
    </w:rPr>
  </w:style>
  <w:style w:type="paragraph" w:customStyle="1" w:styleId="a3">
    <w:name w:val="表格名称"/>
    <w:basedOn w:val="Normal"/>
    <w:next w:val="Normal"/>
    <w:link w:val="Char7"/>
    <w:qFormat/>
    <w:pPr>
      <w:tabs>
        <w:tab w:val="left" w:pos="0"/>
      </w:tabs>
      <w:spacing w:line="360" w:lineRule="auto"/>
      <w:jc w:val="center"/>
    </w:pPr>
    <w:rPr>
      <w:rFonts w:ascii="宋体" w:hAnsiTheme="minorHAnsi" w:cstheme="minorBidi"/>
      <w:snapToGrid w:val="0"/>
      <w:kern w:val="10"/>
      <w:sz w:val="24"/>
    </w:rPr>
  </w:style>
  <w:style w:type="paragraph" w:customStyle="1" w:styleId="a4">
    <w:name w:val="表头"/>
    <w:basedOn w:val="Normal"/>
    <w:qFormat/>
    <w:pPr>
      <w:widowControl/>
      <w:jc w:val="center"/>
    </w:pPr>
    <w:rPr>
      <w:rFonts w:ascii="宋体"/>
      <w:b/>
      <w:snapToGrid w:val="0"/>
      <w:kern w:val="0"/>
      <w:sz w:val="24"/>
    </w:rPr>
  </w:style>
  <w:style w:type="character" w:customStyle="1" w:styleId="Char8">
    <w:name w:val="表格文字 Char"/>
    <w:link w:val="a5"/>
    <w:qFormat/>
    <w:rPr>
      <w:rFonts w:ascii="宋体" w:eastAsia="宋体" w:hAnsi="宋体"/>
      <w:sz w:val="24"/>
      <w:szCs w:val="18"/>
    </w:rPr>
  </w:style>
  <w:style w:type="paragraph" w:customStyle="1" w:styleId="a5">
    <w:name w:val="表格文字"/>
    <w:basedOn w:val="Normal"/>
    <w:next w:val="Normal"/>
    <w:link w:val="Char8"/>
    <w:qFormat/>
    <w:pPr>
      <w:tabs>
        <w:tab w:val="right" w:leader="dot" w:pos="9625"/>
      </w:tabs>
      <w:adjustRightInd w:val="0"/>
      <w:snapToGrid w:val="0"/>
      <w:jc w:val="center"/>
    </w:pPr>
    <w:rPr>
      <w:rFonts w:ascii="宋体" w:hAnsi="宋体" w:cstheme="minorBidi"/>
      <w:sz w:val="24"/>
      <w:szCs w:val="18"/>
    </w:rPr>
  </w:style>
  <w:style w:type="paragraph" w:customStyle="1" w:styleId="style2">
    <w:name w:val="style2"/>
    <w:basedOn w:val="Normal"/>
    <w:qFormat/>
    <w:pPr>
      <w:widowControl/>
      <w:spacing w:before="100" w:beforeAutospacing="1" w:after="100" w:afterAutospacing="1"/>
      <w:jc w:val="left"/>
    </w:pPr>
    <w:rPr>
      <w:rFonts w:ascii="宋体" w:hAnsi="宋体" w:cs="宋体"/>
      <w:kern w:val="0"/>
      <w:sz w:val="24"/>
    </w:rPr>
  </w:style>
  <w:style w:type="character" w:customStyle="1" w:styleId="Char9">
    <w:name w:val="正文缩进 Char"/>
    <w:link w:val="NormalIndent"/>
    <w:qFormat/>
    <w:rPr>
      <w:rFonts w:ascii="Calibri" w:eastAsia="宋体" w:hAnsi="Calibri" w:cs="Times New Roman"/>
      <w:sz w:val="20"/>
      <w:szCs w:val="24"/>
    </w:rPr>
  </w:style>
  <w:style w:type="character" w:customStyle="1" w:styleId="3Char0">
    <w:name w:val="标题 3+ Char"/>
    <w:link w:val="3"/>
    <w:qFormat/>
    <w:rPr>
      <w:rFonts w:ascii="楷体_GB2312" w:eastAsia="楷体_GB2312" w:hAnsi="Arial" w:cs="Times New Roman"/>
      <w:b/>
      <w:kern w:val="0"/>
      <w:sz w:val="24"/>
      <w:szCs w:val="20"/>
    </w:rPr>
  </w:style>
  <w:style w:type="paragraph" w:customStyle="1" w:styleId="11">
    <w:name w:val="正文缩进1"/>
    <w:basedOn w:val="Normal"/>
    <w:qFormat/>
    <w:pPr>
      <w:ind w:firstLine="200" w:firstLineChars="200"/>
    </w:pPr>
    <w:rPr>
      <w:rFonts w:ascii="Calibri" w:hAnsi="Calibri"/>
      <w:sz w:val="28"/>
    </w:rPr>
  </w:style>
  <w:style w:type="character" w:customStyle="1" w:styleId="3Char1">
    <w:name w:val="正文文本 3 Char"/>
    <w:basedOn w:val="DefaultParagraphFont"/>
    <w:link w:val="BodyText3"/>
    <w:qFormat/>
    <w:rPr>
      <w:rFonts w:ascii="Times New Roman" w:eastAsia="宋体" w:hAnsi="Times New Roman" w:cs="Times New Roman"/>
      <w:sz w:val="16"/>
      <w:szCs w:val="16"/>
    </w:rPr>
  </w:style>
  <w:style w:type="character" w:customStyle="1" w:styleId="2Char2">
    <w:name w:val="正文文本 2 Char"/>
    <w:basedOn w:val="DefaultParagraphFont"/>
    <w:link w:val="BodyText2"/>
    <w:uiPriority w:val="99"/>
    <w:semiHidden/>
    <w:qFormat/>
    <w:rPr>
      <w:rFonts w:ascii="Times New Roman" w:eastAsia="宋体" w:hAnsi="Times New Roman" w:cs="Times New Roman"/>
      <w:szCs w:val="24"/>
    </w:rPr>
  </w:style>
  <w:style w:type="paragraph" w:customStyle="1" w:styleId="a6">
    <w:name w:val="表格内容"/>
    <w:basedOn w:val="Normal"/>
    <w:qFormat/>
    <w:pPr>
      <w:overflowPunct w:val="0"/>
      <w:adjustRightInd w:val="0"/>
      <w:spacing w:before="40" w:after="60" w:line="240" w:lineRule="atLeast"/>
      <w:textAlignment w:val="baseline"/>
    </w:pPr>
    <w:rPr>
      <w:rFonts w:ascii="Arial" w:eastAsia="仿宋_GB2312" w:hAnsi="Arial" w:cs="Arial"/>
      <w:kern w:val="0"/>
      <w:sz w:val="24"/>
    </w:rPr>
  </w:style>
  <w:style w:type="paragraph" w:customStyle="1" w:styleId="a7">
    <w:name w:val="表格标题"/>
    <w:basedOn w:val="Normal"/>
    <w:next w:val="a6"/>
    <w:qFormat/>
    <w:pPr>
      <w:jc w:val="center"/>
    </w:pPr>
    <w:rPr>
      <w:rFonts w:ascii="宋体" w:hAnsi="宋体"/>
      <w:b/>
      <w:color w:val="000000"/>
      <w:szCs w:val="21"/>
    </w:rPr>
  </w:style>
  <w:style w:type="paragraph" w:customStyle="1" w:styleId="Bodytext1">
    <w:name w:val="Body text|1"/>
    <w:basedOn w:val="Normal"/>
    <w:qFormat/>
    <w:pPr>
      <w:spacing w:line="386" w:lineRule="auto"/>
      <w:ind w:firstLine="400"/>
    </w:pPr>
    <w:rPr>
      <w:rFonts w:ascii="宋体" w:hAnsi="宋体" w:cs="宋体"/>
      <w:sz w:val="30"/>
      <w:szCs w:val="30"/>
      <w:lang w:val="zh-TW" w:eastAsia="zh-TW" w:bidi="zh-TW"/>
    </w:rPr>
  </w:style>
  <w:style w:type="paragraph" w:styleId="ListParagraph">
    <w:name w:val="List Paragraph"/>
    <w:basedOn w:val="Normal"/>
    <w:uiPriority w:val="1"/>
    <w:qFormat/>
    <w:pPr>
      <w:ind w:left="1237" w:hanging="703"/>
    </w:pPr>
    <w:rPr>
      <w:rFonts w:ascii="宋体" w:hAnsi="宋体" w:cs="宋体"/>
      <w:lang w:val="zh-CN" w:bidi="zh-CN"/>
    </w:rPr>
  </w:style>
  <w:style w:type="paragraph" w:customStyle="1" w:styleId="21">
    <w:name w:val="正文文本缩进 21"/>
    <w:basedOn w:val="Normal"/>
    <w:qFormat/>
    <w:pPr>
      <w:spacing w:line="288" w:lineRule="auto"/>
      <w:ind w:firstLine="495"/>
    </w:pPr>
    <w:rPr>
      <w:rFonts w:ascii="宋体"/>
      <w:color w:val="FF0000"/>
      <w:sz w:val="24"/>
    </w:rPr>
  </w:style>
  <w:style w:type="paragraph" w:customStyle="1" w:styleId="a8">
    <w:name w:val="正文啦"/>
    <w:basedOn w:val="Normal"/>
    <w:qFormat/>
    <w:pPr>
      <w:spacing w:line="360" w:lineRule="auto"/>
      <w:ind w:firstLine="200" w:firstLineChars="200"/>
    </w:pPr>
    <w:rPr>
      <w:rFonts w:eastAsia="Times New Roman"/>
      <w:sz w:val="24"/>
    </w:rPr>
  </w:style>
  <w:style w:type="paragraph" w:customStyle="1" w:styleId="a9">
    <w:name w:val="表内文字"/>
    <w:basedOn w:val="Normal"/>
    <w:qFormat/>
    <w:pPr>
      <w:jc w:val="center"/>
    </w:pPr>
    <w:rPr>
      <w:rFonts w:eastAsia="Times New Roman"/>
      <w:kern w:val="44"/>
      <w:szCs w:val="20"/>
    </w:rPr>
  </w:style>
  <w:style w:type="paragraph" w:customStyle="1" w:styleId="a10">
    <w:name w:val="二级标题"/>
    <w:basedOn w:val="Normal"/>
    <w:qFormat/>
    <w:pPr>
      <w:spacing w:beforeLines="50" w:afterLines="50" w:line="360" w:lineRule="auto"/>
      <w:jc w:val="left"/>
    </w:pPr>
    <w:rPr>
      <w:rFonts w:eastAsia="Times New Roman"/>
      <w:b/>
      <w:kern w:val="0"/>
      <w:sz w:val="24"/>
      <w:szCs w:val="20"/>
    </w:rPr>
  </w:style>
  <w:style w:type="paragraph" w:customStyle="1" w:styleId="a11">
    <w:name w:val="三级标题"/>
    <w:basedOn w:val="Normal"/>
    <w:qFormat/>
    <w:pPr>
      <w:spacing w:beforeLines="50" w:afterLines="50" w:line="360" w:lineRule="auto"/>
      <w:ind w:left="420" w:leftChars="200"/>
    </w:pPr>
    <w:rPr>
      <w:rFonts w:eastAsia="Times New Roman"/>
      <w:b/>
      <w:bCs/>
      <w:kern w:val="0"/>
      <w:sz w:val="24"/>
      <w:szCs w:val="20"/>
    </w:rPr>
  </w:style>
  <w:style w:type="paragraph" w:customStyle="1" w:styleId="a12">
    <w:name w:val="表题"/>
    <w:basedOn w:val="Normal"/>
    <w:qFormat/>
    <w:pPr>
      <w:adjustRightInd w:val="0"/>
      <w:snapToGrid w:val="0"/>
      <w:spacing w:beforeLines="25" w:line="360" w:lineRule="auto"/>
      <w:jc w:val="center"/>
      <w:textAlignment w:val="baseline"/>
    </w:pPr>
    <w:rPr>
      <w:rFonts w:hAnsi="宋体"/>
      <w:b/>
      <w:kern w:val="0"/>
      <w:szCs w:val="28"/>
    </w:rPr>
  </w:style>
  <w:style w:type="character" w:customStyle="1" w:styleId="apple-style-span">
    <w:name w:val="apple-style-span"/>
    <w:qFormat/>
  </w:style>
  <w:style w:type="paragraph" w:customStyle="1" w:styleId="a13">
    <w:name w:val="表头文字"/>
    <w:basedOn w:val="Normal"/>
    <w:qFormat/>
    <w:pPr>
      <w:spacing w:before="100" w:beforeLines="100" w:line="400" w:lineRule="exact"/>
      <w:jc w:val="center"/>
    </w:pPr>
    <w:rPr>
      <w:rFonts w:ascii="黑体" w:eastAsia="黑体" w:hAnsi="宋体"/>
      <w:sz w:val="24"/>
      <w:szCs w:val="20"/>
    </w:rPr>
  </w:style>
  <w:style w:type="paragraph" w:customStyle="1" w:styleId="2">
    <w:name w:val="样式 正文缩进 + 首行缩进:  2 字符"/>
    <w:basedOn w:val="NormalIndent"/>
    <w:qFormat/>
    <w:pPr>
      <w:spacing w:line="360" w:lineRule="auto"/>
      <w:ind w:firstLine="480"/>
    </w:pPr>
    <w:rPr>
      <w:rFonts w:ascii="宋体" w:hAnsi="宋体"/>
      <w:kern w:val="0"/>
      <w:sz w:val="24"/>
      <w:szCs w:val="20"/>
    </w:rPr>
  </w:style>
  <w:style w:type="paragraph" w:customStyle="1" w:styleId="Revision">
    <w:name w:val="Revision"/>
    <w:hidden/>
    <w:uiPriority w:val="99"/>
    <w:semiHidden/>
    <w:qFormat/>
    <w:rPr>
      <w:rFonts w:ascii="Times New Roman" w:eastAsia="宋体" w:hAnsi="Times New Roman" w:cs="Times New Roman"/>
      <w:kern w:val="2"/>
      <w:sz w:val="21"/>
      <w:szCs w:val="24"/>
      <w:lang w:val="en-US" w:eastAsia="zh-CN" w:bidi="ar-SA"/>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image" Target="media/image1.png"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hyperlink" Target="https://d.book118.com/515131141311011123" TargetMode="External" /><Relationship Id="rId28" Type="http://schemas.openxmlformats.org/officeDocument/2006/relationships/footer" Target="footer2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B2DD6F2-82B2-404D-B99F-59FE0D4D259B}">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23</Pages>
  <Words>4013</Words>
  <Characters>22879</Characters>
  <Application>Microsoft Office Word</Application>
  <DocSecurity>0</DocSecurity>
  <Lines>190</Lines>
  <Paragraphs>53</Paragraphs>
  <ScaleCrop>false</ScaleCrop>
  <Company/>
  <LinksUpToDate>false</LinksUpToDate>
  <CharactersWithSpaces>26839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委员</cp:lastModifiedBy>
  <cp:revision>15</cp:revision>
  <dcterms:created xsi:type="dcterms:W3CDTF">2019-10-25T08:25:00Z</dcterms:created>
  <dcterms:modified xsi:type="dcterms:W3CDTF">2024-03-09T09:42:22Z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336A1518A07B468BA03BE70418F619A6_12</vt:lpwstr>
  </property>
  <property fmtid="{D5CDD505-2E9C-101B-9397-08002B2CF9AE}" pid="3" name="KSOProductBuildVer">
    <vt:lpwstr>2052-12.1.0.15712</vt:lpwstr>
  </property>
</Properties>
</file>