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Autospacing="0" w:afterAutospacing="0" w:line="360" w:lineRule="auto"/>
        <w:jc w:val="center"/>
        <w:rPr>
          <w:rFonts w:ascii="Times New Roman" w:eastAsia="宋体" w:hAnsi="Times New Roman" w:cs="Times New Roman"/>
          <w:b/>
          <w:sz w:val="32"/>
          <w:szCs w:val="32"/>
        </w:rPr>
      </w:pPr>
      <w:r>
        <w:rPr>
          <w:rFonts w:ascii="Times New Roman" w:eastAsia="宋体" w:hAnsi="Times New Roman" w:cs="Times New Roman"/>
          <w:b/>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o:spid="_x0000_s1025" type="#_x0000_t75" style="width:29pt;height:31pt;margin-top:968pt;margin-left:876pt;mso-height-relative:page;mso-position-horizontal-relative:page;mso-position-vertical-relative:page;mso-width-relative:page;position:absolute;z-index:251658240" coordsize="21600,21600" o:preferrelative="t" filled="f" stroked="f">
            <v:stroke joinstyle="miter"/>
            <v:imagedata r:id="rId6" o:title=""/>
            <o:lock v:ext="edit" aspectratio="t"/>
          </v:shape>
        </w:pict>
      </w:r>
      <w:r>
        <w:rPr>
          <w:rFonts w:ascii="Times New Roman" w:eastAsia="宋体" w:hAnsi="Times New Roman" w:cs="Times New Roman"/>
          <w:b/>
          <w:sz w:val="32"/>
          <w:szCs w:val="32"/>
        </w:rPr>
        <w:drawing>
          <wp:anchor distT="0" distB="0" distL="114300" distR="114300" simplePos="0" relativeHeight="251659264" behindDoc="0" locked="0" layoutInCell="1" allowOverlap="1">
            <wp:simplePos x="0" y="0"/>
            <wp:positionH relativeFrom="page">
              <wp:posOffset>12573000</wp:posOffset>
            </wp:positionH>
            <wp:positionV relativeFrom="topMargin">
              <wp:posOffset>11544300</wp:posOffset>
            </wp:positionV>
            <wp:extent cx="368300" cy="393700"/>
            <wp:effectExtent l="0" t="0" r="0" b="0"/>
            <wp:wrapNone/>
            <wp:docPr id="100259" name="图片 100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59" name="图片 100259"/>
                    <pic:cNvPicPr>
                      <a:picLocks noChangeAspect="1"/>
                    </pic:cNvPicPr>
                  </pic:nvPicPr>
                  <pic:blipFill>
                    <a:blip xmlns:r="http://schemas.openxmlformats.org/officeDocument/2006/relationships" r:embed="rId7"/>
                    <a:stretch>
                      <a:fillRect/>
                    </a:stretch>
                  </pic:blipFill>
                  <pic:spPr>
                    <a:xfrm>
                      <a:off x="0" y="0"/>
                      <a:ext cx="368300" cy="393700"/>
                    </a:xfrm>
                    <a:prstGeom prst="rect">
                      <a:avLst/>
                    </a:prstGeom>
                  </pic:spPr>
                </pic:pic>
              </a:graphicData>
            </a:graphic>
          </wp:anchor>
        </w:drawing>
      </w:r>
      <w:r>
        <w:rPr>
          <w:rFonts w:ascii="Times New Roman" w:eastAsia="宋体" w:hAnsi="Times New Roman" w:cs="Times New Roman"/>
          <w:b/>
          <w:sz w:val="32"/>
          <w:szCs w:val="32"/>
        </w:rPr>
        <w:t>十年(2014-2023)年高考真题分项汇编</w:t>
      </w:r>
    </w:p>
    <w:p>
      <w:pPr>
        <w:spacing w:beforeAutospacing="0" w:afterAutospacing="0" w:line="360" w:lineRule="auto"/>
        <w:jc w:val="center"/>
        <w:rPr>
          <w:rFonts w:ascii="Times New Roman" w:eastAsia="华文行楷" w:hAnsi="Times New Roman" w:cs="Times New Roman"/>
          <w:b/>
          <w:sz w:val="44"/>
          <w:szCs w:val="44"/>
        </w:rPr>
      </w:pPr>
      <w:r>
        <w:rPr>
          <w:rFonts w:ascii="Times New Roman" w:eastAsia="华文行楷" w:hAnsi="Times New Roman" w:cs="Times New Roman"/>
          <w:b/>
          <w:sz w:val="44"/>
          <w:szCs w:val="44"/>
        </w:rPr>
        <w:t>专题</w:t>
      </w:r>
      <w:r>
        <w:rPr>
          <w:rFonts w:ascii="Times New Roman" w:eastAsia="华文行楷" w:hAnsi="Times New Roman" w:cs="Times New Roman" w:hint="eastAsia"/>
          <w:b/>
          <w:sz w:val="44"/>
          <w:szCs w:val="44"/>
        </w:rPr>
        <w:t>16资源、环境与国家安全</w:t>
      </w:r>
    </w:p>
    <w:p>
      <w:pPr>
        <w:spacing w:beforeAutospacing="0" w:afterAutospacing="0" w:line="360" w:lineRule="auto"/>
        <w:jc w:val="center"/>
        <w:rPr>
          <w:rFonts w:ascii="Times New Roman" w:eastAsia="宋体" w:hAnsi="Times New Roman" w:cs="Times New Roman"/>
          <w:b/>
          <w:color w:val="0000FF"/>
          <w:sz w:val="28"/>
          <w:szCs w:val="28"/>
        </w:rPr>
      </w:pPr>
      <w:r>
        <w:rPr>
          <w:rFonts w:ascii="Times New Roman" w:eastAsia="华文行楷" w:hAnsi="Times New Roman" w:cs="Times New Roman"/>
          <w:b/>
          <w:color w:val="00B050"/>
          <w:sz w:val="44"/>
          <w:szCs w:val="44"/>
        </w:rPr>
        <w:t>命题规律</w:t>
      </w:r>
    </w:p>
    <w:tbl>
      <w:tblPr>
        <w:tblStyle w:val="TableGrid"/>
        <w:tblW w:w="9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59"/>
        <w:gridCol w:w="1194"/>
        <w:gridCol w:w="1180"/>
        <w:gridCol w:w="1442"/>
        <w:gridCol w:w="1311"/>
        <w:gridCol w:w="1310"/>
        <w:gridCol w:w="1442"/>
      </w:tblGrid>
      <w:tr>
        <w:tblPrEx>
          <w:tblW w:w="9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87"/>
          <w:jc w:val="center"/>
        </w:trPr>
        <w:tc>
          <w:tcPr>
            <w:tcW w:w="1659" w:type="dxa"/>
            <w:vMerge w:val="restart"/>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考点</w:t>
            </w:r>
          </w:p>
        </w:tc>
        <w:tc>
          <w:tcPr>
            <w:tcW w:w="2374" w:type="dxa"/>
            <w:gridSpan w:val="2"/>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考频</w:t>
            </w:r>
          </w:p>
        </w:tc>
        <w:tc>
          <w:tcPr>
            <w:tcW w:w="2753" w:type="dxa"/>
            <w:gridSpan w:val="2"/>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出现位置</w:t>
            </w:r>
          </w:p>
        </w:tc>
        <w:tc>
          <w:tcPr>
            <w:tcW w:w="2752" w:type="dxa"/>
            <w:gridSpan w:val="2"/>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情景类型</w:t>
            </w:r>
          </w:p>
        </w:tc>
      </w:tr>
      <w:tr>
        <w:tblPrEx>
          <w:tblW w:w="9538" w:type="dxa"/>
          <w:jc w:val="center"/>
          <w:tblCellMar>
            <w:top w:w="0" w:type="dxa"/>
            <w:left w:w="108" w:type="dxa"/>
            <w:bottom w:w="0" w:type="dxa"/>
            <w:right w:w="108" w:type="dxa"/>
          </w:tblCellMar>
        </w:tblPrEx>
        <w:trPr>
          <w:trHeight w:val="387"/>
          <w:jc w:val="center"/>
        </w:trPr>
        <w:tc>
          <w:tcPr>
            <w:tcW w:w="1659" w:type="dxa"/>
            <w:vMerge/>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p>
        </w:tc>
        <w:tc>
          <w:tcPr>
            <w:tcW w:w="1194" w:type="dxa"/>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全国卷</w:t>
            </w:r>
          </w:p>
        </w:tc>
        <w:tc>
          <w:tcPr>
            <w:tcW w:w="1180" w:type="dxa"/>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新高考</w:t>
            </w:r>
          </w:p>
        </w:tc>
        <w:tc>
          <w:tcPr>
            <w:tcW w:w="1442" w:type="dxa"/>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全国卷</w:t>
            </w:r>
          </w:p>
        </w:tc>
        <w:tc>
          <w:tcPr>
            <w:tcW w:w="1311" w:type="dxa"/>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新高考</w:t>
            </w:r>
          </w:p>
        </w:tc>
        <w:tc>
          <w:tcPr>
            <w:tcW w:w="1310" w:type="dxa"/>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全国卷</w:t>
            </w:r>
          </w:p>
        </w:tc>
        <w:tc>
          <w:tcPr>
            <w:tcW w:w="1442" w:type="dxa"/>
            <w:shd w:val="clear" w:color="auto" w:fill="FBD5B5" w:themeFill="accent6" w:themeFillTint="66"/>
            <w:vAlign w:val="center"/>
          </w:tcPr>
          <w:p>
            <w:pPr>
              <w:spacing w:beforeAutospacing="0" w:afterAutospacing="0" w:line="360" w:lineRule="auto"/>
              <w:jc w:val="center"/>
              <w:rPr>
                <w:rFonts w:ascii="Times New Roman" w:eastAsia="黑体" w:hAnsi="Times New Roman" w:cs="Times New Roman"/>
                <w:bCs/>
                <w:szCs w:val="21"/>
              </w:rPr>
            </w:pPr>
            <w:r>
              <w:rPr>
                <w:rFonts w:ascii="Times New Roman" w:eastAsia="黑体" w:hAnsi="Times New Roman" w:cs="Times New Roman"/>
                <w:bCs/>
                <w:szCs w:val="21"/>
              </w:rPr>
              <w:t>新高考</w:t>
            </w:r>
          </w:p>
        </w:tc>
      </w:tr>
      <w:tr>
        <w:tblPrEx>
          <w:tblW w:w="9538" w:type="dxa"/>
          <w:jc w:val="center"/>
          <w:tblCellMar>
            <w:top w:w="0" w:type="dxa"/>
            <w:left w:w="108" w:type="dxa"/>
            <w:bottom w:w="0" w:type="dxa"/>
            <w:right w:w="108" w:type="dxa"/>
          </w:tblCellMar>
        </w:tblPrEx>
        <w:trPr>
          <w:trHeight w:val="765"/>
          <w:jc w:val="center"/>
        </w:trPr>
        <w:tc>
          <w:tcPr>
            <w:tcW w:w="1659"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hint="eastAsia"/>
                <w:bCs/>
                <w:szCs w:val="21"/>
              </w:rPr>
              <w:t>考点01自然环境与人类社会</w:t>
            </w:r>
            <w:r>
              <w:rPr>
                <w:rFonts w:ascii="Times New Roman" w:eastAsia="宋体" w:hAnsi="Times New Roman" w:cs="Times New Roman"/>
                <w:bCs/>
                <w:szCs w:val="21"/>
              </w:rPr>
              <w:t>(第1页)</w:t>
            </w:r>
          </w:p>
        </w:tc>
        <w:tc>
          <w:tcPr>
            <w:tcW w:w="1194"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5年</w:t>
            </w:r>
            <w:r>
              <w:rPr>
                <w:rFonts w:ascii="Times New Roman" w:eastAsia="宋体" w:hAnsi="Times New Roman" w:cs="Times New Roman" w:hint="eastAsia"/>
                <w:bCs/>
                <w:szCs w:val="21"/>
              </w:rPr>
              <w:t>0</w:t>
            </w:r>
            <w:r>
              <w:rPr>
                <w:rFonts w:ascii="Times New Roman" w:eastAsia="宋体" w:hAnsi="Times New Roman" w:cs="Times New Roman"/>
                <w:bCs/>
                <w:szCs w:val="21"/>
              </w:rPr>
              <w:t>考</w:t>
            </w:r>
          </w:p>
        </w:tc>
        <w:tc>
          <w:tcPr>
            <w:tcW w:w="1180"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4年</w:t>
            </w:r>
            <w:r>
              <w:rPr>
                <w:rFonts w:ascii="Times New Roman" w:eastAsia="宋体" w:hAnsi="Times New Roman" w:cs="Times New Roman" w:hint="eastAsia"/>
                <w:bCs/>
                <w:szCs w:val="21"/>
              </w:rPr>
              <w:t>5</w:t>
            </w:r>
            <w:r>
              <w:rPr>
                <w:rFonts w:ascii="Times New Roman" w:eastAsia="宋体" w:hAnsi="Times New Roman" w:cs="Times New Roman"/>
                <w:bCs/>
                <w:szCs w:val="21"/>
              </w:rPr>
              <w:t>考</w:t>
            </w:r>
          </w:p>
        </w:tc>
        <w:tc>
          <w:tcPr>
            <w:tcW w:w="1442" w:type="dxa"/>
            <w:vMerge w:val="restart"/>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hint="eastAsia"/>
                <w:bCs/>
                <w:szCs w:val="21"/>
              </w:rPr>
              <w:t>新增知识点，全国卷考查频率非常低</w:t>
            </w:r>
          </w:p>
        </w:tc>
        <w:tc>
          <w:tcPr>
            <w:tcW w:w="1311" w:type="dxa"/>
            <w:vMerge w:val="restart"/>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hint="eastAsia"/>
                <w:bCs/>
                <w:szCs w:val="21"/>
              </w:rPr>
              <w:t>选择题和综合题都有考查</w:t>
            </w:r>
          </w:p>
        </w:tc>
        <w:tc>
          <w:tcPr>
            <w:tcW w:w="1310" w:type="dxa"/>
            <w:vMerge w:val="restart"/>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hint="eastAsia"/>
                <w:bCs/>
                <w:szCs w:val="21"/>
              </w:rPr>
              <w:t>无</w:t>
            </w:r>
          </w:p>
        </w:tc>
        <w:tc>
          <w:tcPr>
            <w:tcW w:w="1442" w:type="dxa"/>
            <w:vMerge w:val="restart"/>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hint="eastAsia"/>
                <w:bCs/>
                <w:szCs w:val="21"/>
              </w:rPr>
              <w:t>情景多样，生活情境和学术情境增加</w:t>
            </w:r>
          </w:p>
        </w:tc>
      </w:tr>
      <w:tr>
        <w:tblPrEx>
          <w:tblW w:w="9538" w:type="dxa"/>
          <w:jc w:val="center"/>
          <w:tblCellMar>
            <w:top w:w="0" w:type="dxa"/>
            <w:left w:w="108" w:type="dxa"/>
            <w:bottom w:w="0" w:type="dxa"/>
            <w:right w:w="108" w:type="dxa"/>
          </w:tblCellMar>
        </w:tblPrEx>
        <w:trPr>
          <w:trHeight w:val="1143"/>
          <w:jc w:val="center"/>
        </w:trPr>
        <w:tc>
          <w:tcPr>
            <w:tcW w:w="1659"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考点02</w:t>
            </w:r>
            <w:r>
              <w:rPr>
                <w:rFonts w:ascii="Times New Roman" w:eastAsia="宋体" w:hAnsi="Times New Roman" w:cs="Times New Roman" w:hint="eastAsia"/>
                <w:bCs/>
                <w:szCs w:val="21"/>
              </w:rPr>
              <w:t>资源安全与国家安全</w:t>
            </w:r>
          </w:p>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(第</w:t>
            </w:r>
            <w:r>
              <w:rPr>
                <w:rFonts w:ascii="Times New Roman" w:eastAsia="宋体" w:hAnsi="Times New Roman" w:cs="Times New Roman" w:hint="eastAsia"/>
                <w:bCs/>
                <w:szCs w:val="21"/>
              </w:rPr>
              <w:t>8</w:t>
            </w:r>
            <w:r>
              <w:rPr>
                <w:rFonts w:ascii="Times New Roman" w:eastAsia="宋体" w:hAnsi="Times New Roman" w:cs="Times New Roman"/>
                <w:bCs/>
                <w:szCs w:val="21"/>
              </w:rPr>
              <w:t>页)</w:t>
            </w:r>
          </w:p>
        </w:tc>
        <w:tc>
          <w:tcPr>
            <w:tcW w:w="1194"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5年</w:t>
            </w:r>
            <w:r>
              <w:rPr>
                <w:rFonts w:ascii="Times New Roman" w:eastAsia="宋体" w:hAnsi="Times New Roman" w:cs="Times New Roman" w:hint="eastAsia"/>
                <w:bCs/>
                <w:szCs w:val="21"/>
              </w:rPr>
              <w:t>0</w:t>
            </w:r>
            <w:r>
              <w:rPr>
                <w:rFonts w:ascii="Times New Roman" w:eastAsia="宋体" w:hAnsi="Times New Roman" w:cs="Times New Roman"/>
                <w:bCs/>
                <w:szCs w:val="21"/>
              </w:rPr>
              <w:t>考</w:t>
            </w:r>
          </w:p>
        </w:tc>
        <w:tc>
          <w:tcPr>
            <w:tcW w:w="1180"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4年</w:t>
            </w:r>
            <w:r>
              <w:rPr>
                <w:rFonts w:ascii="Times New Roman" w:eastAsia="宋体" w:hAnsi="Times New Roman" w:cs="Times New Roman" w:hint="eastAsia"/>
                <w:bCs/>
                <w:szCs w:val="21"/>
              </w:rPr>
              <w:t>7</w:t>
            </w:r>
            <w:r>
              <w:rPr>
                <w:rFonts w:ascii="Times New Roman" w:eastAsia="宋体" w:hAnsi="Times New Roman" w:cs="Times New Roman"/>
                <w:bCs/>
                <w:szCs w:val="21"/>
              </w:rPr>
              <w:t>考</w:t>
            </w:r>
          </w:p>
        </w:tc>
        <w:tc>
          <w:tcPr>
            <w:tcW w:w="1442" w:type="dxa"/>
            <w:vMerge/>
            <w:vAlign w:val="center"/>
          </w:tcPr>
          <w:p>
            <w:pPr>
              <w:spacing w:beforeAutospacing="0" w:afterAutospacing="0" w:line="360" w:lineRule="auto"/>
              <w:jc w:val="center"/>
              <w:rPr>
                <w:rFonts w:ascii="Times New Roman" w:eastAsia="宋体" w:hAnsi="Times New Roman" w:cs="Times New Roman"/>
                <w:bCs/>
                <w:szCs w:val="21"/>
              </w:rPr>
            </w:pPr>
          </w:p>
        </w:tc>
        <w:tc>
          <w:tcPr>
            <w:tcW w:w="1311" w:type="dxa"/>
            <w:vMerge/>
            <w:vAlign w:val="center"/>
          </w:tcPr>
          <w:p>
            <w:pPr>
              <w:spacing w:beforeAutospacing="0" w:afterAutospacing="0" w:line="360" w:lineRule="auto"/>
              <w:jc w:val="center"/>
              <w:rPr>
                <w:rFonts w:ascii="Times New Roman" w:eastAsia="宋体" w:hAnsi="Times New Roman" w:cs="Times New Roman"/>
                <w:bCs/>
                <w:szCs w:val="21"/>
              </w:rPr>
            </w:pPr>
          </w:p>
        </w:tc>
        <w:tc>
          <w:tcPr>
            <w:tcW w:w="1310" w:type="dxa"/>
            <w:vMerge/>
            <w:vAlign w:val="center"/>
          </w:tcPr>
          <w:p>
            <w:pPr>
              <w:spacing w:beforeAutospacing="0" w:afterAutospacing="0" w:line="360" w:lineRule="auto"/>
              <w:jc w:val="center"/>
              <w:rPr>
                <w:rFonts w:ascii="Times New Roman" w:eastAsia="宋体" w:hAnsi="Times New Roman" w:cs="Times New Roman"/>
                <w:bCs/>
                <w:szCs w:val="21"/>
              </w:rPr>
            </w:pPr>
          </w:p>
        </w:tc>
        <w:tc>
          <w:tcPr>
            <w:tcW w:w="1442" w:type="dxa"/>
            <w:vMerge/>
            <w:vAlign w:val="center"/>
          </w:tcPr>
          <w:p>
            <w:pPr>
              <w:spacing w:beforeAutospacing="0" w:afterAutospacing="0" w:line="360" w:lineRule="auto"/>
              <w:jc w:val="center"/>
              <w:rPr>
                <w:rFonts w:ascii="Times New Roman" w:eastAsia="宋体" w:hAnsi="Times New Roman" w:cs="Times New Roman"/>
                <w:bCs/>
                <w:szCs w:val="21"/>
              </w:rPr>
            </w:pPr>
          </w:p>
        </w:tc>
      </w:tr>
      <w:tr>
        <w:tblPrEx>
          <w:tblW w:w="9538" w:type="dxa"/>
          <w:jc w:val="center"/>
          <w:tblCellMar>
            <w:top w:w="0" w:type="dxa"/>
            <w:left w:w="108" w:type="dxa"/>
            <w:bottom w:w="0" w:type="dxa"/>
            <w:right w:w="108" w:type="dxa"/>
          </w:tblCellMar>
        </w:tblPrEx>
        <w:trPr>
          <w:trHeight w:val="1143"/>
          <w:jc w:val="center"/>
        </w:trPr>
        <w:tc>
          <w:tcPr>
            <w:tcW w:w="1659"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考点0</w:t>
            </w:r>
            <w:r>
              <w:rPr>
                <w:rFonts w:ascii="Times New Roman" w:eastAsia="宋体" w:hAnsi="Times New Roman" w:cs="Times New Roman" w:hint="eastAsia"/>
                <w:bCs/>
                <w:szCs w:val="21"/>
              </w:rPr>
              <w:t>3环境安全与国家安全</w:t>
            </w:r>
            <w:r>
              <w:rPr>
                <w:rFonts w:ascii="Times New Roman" w:eastAsia="宋体" w:hAnsi="Times New Roman" w:cs="Times New Roman"/>
                <w:bCs/>
                <w:szCs w:val="21"/>
              </w:rPr>
              <w:t>(第</w:t>
            </w:r>
            <w:r>
              <w:rPr>
                <w:rFonts w:ascii="Times New Roman" w:eastAsia="宋体" w:hAnsi="Times New Roman" w:cs="Times New Roman" w:hint="eastAsia"/>
                <w:bCs/>
                <w:szCs w:val="21"/>
              </w:rPr>
              <w:t>13</w:t>
            </w:r>
            <w:r>
              <w:rPr>
                <w:rFonts w:ascii="Times New Roman" w:eastAsia="宋体" w:hAnsi="Times New Roman" w:cs="Times New Roman"/>
                <w:bCs/>
                <w:szCs w:val="21"/>
              </w:rPr>
              <w:t>页)</w:t>
            </w:r>
          </w:p>
        </w:tc>
        <w:tc>
          <w:tcPr>
            <w:tcW w:w="1194"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5年</w:t>
            </w:r>
            <w:r>
              <w:rPr>
                <w:rFonts w:ascii="Times New Roman" w:eastAsia="宋体" w:hAnsi="Times New Roman" w:cs="Times New Roman" w:hint="eastAsia"/>
                <w:bCs/>
                <w:szCs w:val="21"/>
              </w:rPr>
              <w:t>0</w:t>
            </w:r>
            <w:r>
              <w:rPr>
                <w:rFonts w:ascii="Times New Roman" w:eastAsia="宋体" w:hAnsi="Times New Roman" w:cs="Times New Roman"/>
                <w:bCs/>
                <w:szCs w:val="21"/>
              </w:rPr>
              <w:t>考</w:t>
            </w:r>
          </w:p>
        </w:tc>
        <w:tc>
          <w:tcPr>
            <w:tcW w:w="1180" w:type="dxa"/>
            <w:vAlign w:val="center"/>
          </w:tcPr>
          <w:p>
            <w:pPr>
              <w:spacing w:beforeAutospacing="0" w:afterAutospacing="0" w:line="360" w:lineRule="auto"/>
              <w:jc w:val="center"/>
              <w:rPr>
                <w:rFonts w:ascii="Times New Roman" w:eastAsia="宋体" w:hAnsi="Times New Roman" w:cs="Times New Roman"/>
                <w:bCs/>
                <w:szCs w:val="21"/>
              </w:rPr>
            </w:pPr>
            <w:r>
              <w:rPr>
                <w:rFonts w:ascii="Times New Roman" w:eastAsia="宋体" w:hAnsi="Times New Roman" w:cs="Times New Roman"/>
                <w:bCs/>
                <w:szCs w:val="21"/>
              </w:rPr>
              <w:t>4年</w:t>
            </w:r>
            <w:r>
              <w:rPr>
                <w:rFonts w:ascii="Times New Roman" w:eastAsia="宋体" w:hAnsi="Times New Roman" w:cs="Times New Roman" w:hint="eastAsia"/>
                <w:bCs/>
                <w:szCs w:val="21"/>
              </w:rPr>
              <w:t>4</w:t>
            </w:r>
            <w:r>
              <w:rPr>
                <w:rFonts w:ascii="Times New Roman" w:eastAsia="宋体" w:hAnsi="Times New Roman" w:cs="Times New Roman"/>
                <w:bCs/>
                <w:szCs w:val="21"/>
              </w:rPr>
              <w:t>考</w:t>
            </w:r>
          </w:p>
        </w:tc>
        <w:tc>
          <w:tcPr>
            <w:tcW w:w="1442" w:type="dxa"/>
            <w:vMerge/>
            <w:vAlign w:val="center"/>
          </w:tcPr>
          <w:p>
            <w:pPr>
              <w:spacing w:beforeAutospacing="0" w:afterAutospacing="0" w:line="360" w:lineRule="auto"/>
              <w:jc w:val="center"/>
              <w:rPr>
                <w:rFonts w:ascii="Times New Roman" w:eastAsia="宋体" w:hAnsi="Times New Roman" w:cs="Times New Roman"/>
                <w:bCs/>
                <w:szCs w:val="21"/>
              </w:rPr>
            </w:pPr>
          </w:p>
        </w:tc>
        <w:tc>
          <w:tcPr>
            <w:tcW w:w="1311" w:type="dxa"/>
            <w:vMerge/>
            <w:vAlign w:val="center"/>
          </w:tcPr>
          <w:p>
            <w:pPr>
              <w:spacing w:beforeAutospacing="0" w:afterAutospacing="0" w:line="360" w:lineRule="auto"/>
              <w:jc w:val="center"/>
              <w:rPr>
                <w:rFonts w:ascii="Times New Roman" w:eastAsia="宋体" w:hAnsi="Times New Roman" w:cs="Times New Roman"/>
                <w:bCs/>
                <w:szCs w:val="21"/>
              </w:rPr>
            </w:pPr>
          </w:p>
        </w:tc>
        <w:tc>
          <w:tcPr>
            <w:tcW w:w="1310" w:type="dxa"/>
            <w:vMerge/>
            <w:vAlign w:val="center"/>
          </w:tcPr>
          <w:p>
            <w:pPr>
              <w:spacing w:beforeAutospacing="0" w:afterAutospacing="0" w:line="360" w:lineRule="auto"/>
              <w:jc w:val="center"/>
              <w:rPr>
                <w:rFonts w:ascii="Times New Roman" w:eastAsia="宋体" w:hAnsi="Times New Roman" w:cs="Times New Roman"/>
                <w:bCs/>
                <w:szCs w:val="21"/>
              </w:rPr>
            </w:pPr>
          </w:p>
        </w:tc>
        <w:tc>
          <w:tcPr>
            <w:tcW w:w="1442" w:type="dxa"/>
            <w:vMerge/>
            <w:vAlign w:val="center"/>
          </w:tcPr>
          <w:p>
            <w:pPr>
              <w:spacing w:beforeAutospacing="0" w:afterAutospacing="0" w:line="360" w:lineRule="auto"/>
              <w:jc w:val="center"/>
              <w:rPr>
                <w:rFonts w:ascii="Times New Roman" w:eastAsia="宋体" w:hAnsi="Times New Roman" w:cs="Times New Roman"/>
                <w:bCs/>
                <w:szCs w:val="21"/>
              </w:rPr>
            </w:pPr>
          </w:p>
        </w:tc>
      </w:tr>
    </w:tbl>
    <w:p>
      <w:pPr>
        <w:spacing w:beforeAutospacing="0" w:afterAutospacing="0" w:line="360" w:lineRule="auto"/>
        <w:jc w:val="center"/>
        <w:rPr>
          <w:rFonts w:ascii="Times New Roman" w:eastAsia="华文行楷" w:hAnsi="Times New Roman" w:cs="Times New Roman"/>
          <w:b/>
          <w:color w:val="00B050"/>
          <w:sz w:val="44"/>
          <w:szCs w:val="44"/>
        </w:rPr>
      </w:pPr>
      <w:r>
        <w:rPr>
          <w:rFonts w:ascii="Times New Roman" w:eastAsia="华文行楷" w:hAnsi="Times New Roman" w:cs="Times New Roman"/>
          <w:b/>
          <w:color w:val="00B050"/>
          <w:sz w:val="44"/>
          <w:szCs w:val="44"/>
        </w:rPr>
        <w:t>考点分布</w:t>
      </w:r>
    </w:p>
    <w:p>
      <w:pPr>
        <w:spacing w:beforeAutospacing="0" w:afterAutospacing="0" w:line="360" w:lineRule="auto"/>
        <w:rPr>
          <w:rFonts w:ascii="宋体" w:eastAsia="宋体" w:hAnsi="宋体" w:cs="宋体"/>
          <w:b/>
        </w:rPr>
      </w:pPr>
      <w:r>
        <w:rPr>
          <w:rFonts w:ascii="Times New Roman" w:eastAsia="宋体" w:hAnsi="Times New Roman" w:cs="Times New Roman"/>
          <w:b/>
          <w:color w:val="E36C09" w:themeColor="accent6" w:themeShade="BF"/>
          <w:sz w:val="28"/>
          <w:szCs w:val="28"/>
          <w:u w:val="double"/>
        </w:rPr>
        <w:t>考点01</w:t>
      </w:r>
      <w:r>
        <w:rPr>
          <w:rFonts w:ascii="Times New Roman" w:eastAsia="宋体" w:hAnsi="Times New Roman" w:cs="Times New Roman" w:hint="eastAsia"/>
          <w:b/>
          <w:color w:val="E36C09" w:themeColor="accent6" w:themeShade="BF"/>
          <w:sz w:val="28"/>
          <w:szCs w:val="28"/>
          <w:u w:val="double"/>
        </w:rPr>
        <w:t>自然环境与人类社会</w:t>
      </w:r>
      <w:r>
        <w:rPr>
          <w:rFonts w:ascii="Times New Roman" w:eastAsia="黑体" w:hAnsi="Times New Roman" w:cs="Times New Roman"/>
          <w:color w:val="C00000"/>
        </w:rPr>
        <w:t>(2023·湖南</w:t>
      </w:r>
      <w:r>
        <w:rPr>
          <w:rFonts w:ascii="Times New Roman" w:eastAsia="黑体" w:hAnsi="Times New Roman" w:cs="Times New Roman" w:hint="eastAsia"/>
          <w:color w:val="C00000"/>
        </w:rPr>
        <w:t>卷</w:t>
      </w:r>
      <w:r>
        <w:rPr>
          <w:rFonts w:ascii="Times New Roman" w:eastAsia="黑体" w:hAnsi="Times New Roman" w:cs="Times New Roman"/>
          <w:color w:val="C00000"/>
        </w:rPr>
        <w:t>)</w:t>
      </w:r>
    </w:p>
    <w:p>
      <w:pPr>
        <w:spacing w:beforeAutospacing="0" w:afterAutospacing="0" w:line="360" w:lineRule="auto"/>
        <w:ind w:firstLine="420"/>
        <w:jc w:val="left"/>
        <w:textAlignment w:val="center"/>
      </w:pPr>
      <w:r>
        <w:rPr>
          <w:rFonts w:ascii="Times New Roman" w:eastAsia="黑体" w:hAnsi="Times New Roman" w:cs="Times New Roman"/>
          <w:color w:val="C00000"/>
        </w:rPr>
        <w:t>(2023·海南</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气候变化造成的不利影响在空间分布上是不均匀的，一些低收入国家和地区因全球变暖引起海平面上升而受到不利影响，他们的碳排放总量和人均量都很小，但其自然环境和社会经济受到的影响很大。据此完成下面小题。</w:t>
      </w:r>
    </w:p>
    <w:p>
      <w:pPr>
        <w:spacing w:beforeAutospacing="0" w:afterAutospacing="0" w:line="360" w:lineRule="auto"/>
        <w:jc w:val="left"/>
        <w:textAlignment w:val="center"/>
      </w:pPr>
      <w:r>
        <w:t>1．以下区域中，此类国家和地区主要分布在(</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ind w:left="300"/>
        <w:jc w:val="left"/>
        <w:textAlignment w:val="center"/>
      </w:pPr>
      <w:r>
        <w:t>A．欧洲西部</w:t>
      </w:r>
      <w:r>
        <w:tab/>
      </w:r>
      <w:r>
        <w:t>B．南太平洋</w:t>
      </w:r>
      <w:r>
        <w:tab/>
      </w:r>
      <w:r>
        <w:t>C．南美洲中部</w:t>
      </w:r>
      <w:r>
        <w:tab/>
      </w:r>
      <w:r>
        <w:t>D．中亚地区</w:t>
      </w:r>
    </w:p>
    <w:p>
      <w:pPr>
        <w:spacing w:beforeAutospacing="0" w:afterAutospacing="0" w:line="360" w:lineRule="auto"/>
        <w:jc w:val="left"/>
        <w:textAlignment w:val="center"/>
        <w:sectPr>
          <w:headerReference w:type="default" r:id="rId8"/>
          <w:footerReference w:type="default" r:id="rId9"/>
          <w:pgSz w:w="11906" w:h="16838"/>
          <w:pgMar w:top="1417" w:right="1077" w:bottom="1417" w:left="1077" w:header="708" w:footer="708" w:gutter="0"/>
          <w:cols w:num="1" w:space="708"/>
        </w:sectPr>
      </w:pPr>
      <w:r>
        <w:t>2．为减缓上述不利影响，下列措施中合理的是(</w:t>
      </w:r>
      <w:r>
        <w:rPr>
          <w:rFonts w:ascii="Times New Roman" w:eastAsia="Times New Roman" w:hAnsi="Times New Roman" w:cs="Times New Roman"/>
          <w:kern w:val="0"/>
          <w:sz w:val="24"/>
        </w:rPr>
        <w:t>   </w:t>
      </w:r>
      <w:r>
        <w:t>)</w:t>
      </w:r>
    </w:p>
    <w:p>
      <w:pPr>
        <w:tabs>
          <w:tab w:val="left" w:pos="4156"/>
        </w:tabs>
        <w:spacing w:beforeAutospacing="0" w:afterAutospacing="0" w:line="360" w:lineRule="auto"/>
        <w:ind w:left="300"/>
        <w:jc w:val="left"/>
        <w:textAlignment w:val="center"/>
      </w:pPr>
      <w:r>
        <w:t>A．禁止发达国家碳交易</w:t>
      </w:r>
      <w:r>
        <w:tab/>
      </w:r>
      <w:r>
        <w:t>B．加大区域间产业转移力度</w:t>
      </w:r>
    </w:p>
    <w:p>
      <w:pPr>
        <w:tabs>
          <w:tab w:val="left" w:pos="4156"/>
        </w:tabs>
        <w:spacing w:beforeAutospacing="0" w:afterAutospacing="0" w:line="360" w:lineRule="auto"/>
        <w:ind w:left="300"/>
        <w:jc w:val="left"/>
        <w:textAlignment w:val="center"/>
      </w:pPr>
      <w:r>
        <w:t>C．加强碳减排国际合作</w:t>
      </w:r>
      <w:r>
        <w:tab/>
      </w:r>
      <w:r>
        <w:t>D．鼓励发展中国家大量移民</w:t>
      </w:r>
    </w:p>
    <w:p>
      <w:pPr>
        <w:spacing w:beforeAutospacing="0" w:afterAutospacing="0" w:line="360" w:lineRule="auto"/>
        <w:ind w:firstLine="420"/>
        <w:jc w:val="left"/>
        <w:textAlignment w:val="center"/>
      </w:pPr>
      <w:r>
        <w:rPr>
          <w:rFonts w:ascii="Times New Roman" w:eastAsia="黑体" w:hAnsi="Times New Roman" w:cs="Times New Roman"/>
          <w:color w:val="C00000"/>
        </w:rPr>
        <w:t>(2023·浙江</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生态系统生产总值(GEP)是指生态系统能够为人类生活和社会发展提供的最终产品与服务价值的总和，由物质产品、调节服务和文化服务构成，2019年海南热带雨林国家公园GEP高达2045亿元，其各项价值量占比如图所示。完成下面小题。</w:t>
      </w:r>
    </w:p>
    <w:p>
      <w:pPr>
        <w:spacing w:beforeAutospacing="0" w:afterAutospacing="0" w:line="360" w:lineRule="auto"/>
        <w:jc w:val="left"/>
        <w:textAlignment w:val="center"/>
      </w:pPr>
      <w:r>
        <w:rPr>
          <w:rFonts w:ascii="Times New Roman" w:eastAsia="Times New Roman" w:hAnsi="Times New Roman" w:cs="Times New Roman"/>
          <w:kern w:val="0"/>
          <w:sz w:val="24"/>
        </w:rPr>
        <w:drawing>
          <wp:inline distT="0" distB="0" distL="114300" distR="114300">
            <wp:extent cx="4362450" cy="179070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10"/>
                    <a:stretch>
                      <a:fillRect/>
                    </a:stretch>
                  </pic:blipFill>
                  <pic:spPr>
                    <a:xfrm>
                      <a:off x="0" y="0"/>
                      <a:ext cx="4362450" cy="1790700"/>
                    </a:xfrm>
                    <a:prstGeom prst="rect">
                      <a:avLst/>
                    </a:prstGeom>
                  </pic:spPr>
                </pic:pic>
              </a:graphicData>
            </a:graphic>
          </wp:inline>
        </w:drawing>
      </w:r>
    </w:p>
    <w:p>
      <w:pPr>
        <w:spacing w:beforeAutospacing="0" w:afterAutospacing="0" w:line="360" w:lineRule="auto"/>
        <w:jc w:val="left"/>
        <w:textAlignment w:val="center"/>
      </w:pPr>
      <w:r>
        <w:t>3．属于图中“其它”项目的是(</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ind w:left="300"/>
        <w:jc w:val="left"/>
        <w:textAlignment w:val="center"/>
      </w:pPr>
      <w:r>
        <w:t>A．农林产品</w:t>
      </w:r>
      <w:r>
        <w:tab/>
      </w:r>
      <w:r>
        <w:t>B．科普教育</w:t>
      </w:r>
      <w:r>
        <w:tab/>
      </w:r>
      <w:r>
        <w:t>C．休闲旅游</w:t>
      </w:r>
      <w:r>
        <w:tab/>
      </w:r>
      <w:r>
        <w:t>D．净化空气</w:t>
      </w:r>
    </w:p>
    <w:p>
      <w:pPr>
        <w:spacing w:beforeAutospacing="0" w:afterAutospacing="0" w:line="360" w:lineRule="auto"/>
        <w:jc w:val="left"/>
        <w:textAlignment w:val="center"/>
      </w:pPr>
      <w:r>
        <w:t>4．该公园GEP高的主要原因是(</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ind w:left="300"/>
        <w:jc w:val="left"/>
        <w:textAlignment w:val="center"/>
      </w:pPr>
      <w:r>
        <w:t>A．土壤肥力高</w:t>
      </w:r>
      <w:r>
        <w:tab/>
      </w:r>
      <w:r>
        <w:t>B．科研价值高</w:t>
      </w:r>
      <w:r>
        <w:tab/>
      </w:r>
      <w:r>
        <w:t>C．森林面积大</w:t>
      </w:r>
      <w:r>
        <w:tab/>
      </w:r>
      <w:r>
        <w:t>D．纬度跨度大</w:t>
      </w:r>
    </w:p>
    <w:p>
      <w:pPr>
        <w:spacing w:beforeAutospacing="0" w:afterAutospacing="0" w:line="360" w:lineRule="auto"/>
        <w:ind w:firstLine="420"/>
        <w:jc w:val="left"/>
        <w:textAlignment w:val="center"/>
      </w:pPr>
      <w:r>
        <w:rPr>
          <w:rFonts w:ascii="Times New Roman" w:eastAsia="黑体" w:hAnsi="Times New Roman" w:cs="Times New Roman"/>
          <w:color w:val="C00000"/>
        </w:rPr>
        <w:t>(2021·福建</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下图示意黄土高原某地区考古挖掘出的古聚落遗址，遗址中有许多黄土烧制的陶器。仰韶文化晚期，我国亚热带-暖温带界线南移。在人类活动和环境变化的双重影响下，该地区聚落向高处迁移。为避免坍塌，窑洞宽度须小于窑顶黄土厚度。据此完成下面小题。</w:t>
      </w:r>
    </w:p>
    <w:p>
      <w:pPr>
        <w:spacing w:beforeAutospacing="0" w:afterAutospacing="0" w:line="360" w:lineRule="auto"/>
        <w:jc w:val="left"/>
        <w:textAlignment w:val="center"/>
      </w:pPr>
      <w:r>
        <w:drawing>
          <wp:inline distT="0" distB="0" distL="114300" distR="114300">
            <wp:extent cx="3524250" cy="167640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11"/>
                    <a:stretch>
                      <a:fillRect/>
                    </a:stretch>
                  </pic:blipFill>
                  <pic:spPr>
                    <a:xfrm>
                      <a:off x="0" y="0"/>
                      <a:ext cx="3524742" cy="1676634"/>
                    </a:xfrm>
                    <a:prstGeom prst="rect">
                      <a:avLst/>
                    </a:prstGeom>
                  </pic:spPr>
                </pic:pic>
              </a:graphicData>
            </a:graphic>
          </wp:inline>
        </w:drawing>
      </w:r>
    </w:p>
    <w:p>
      <w:pPr>
        <w:spacing w:beforeAutospacing="0" w:afterAutospacing="0" w:line="360" w:lineRule="auto"/>
        <w:jc w:val="left"/>
        <w:textAlignment w:val="center"/>
      </w:pPr>
      <w:r>
        <w:t>5．仰韶文化晚期，该地区气候趋向(</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ind w:left="300"/>
        <w:jc w:val="left"/>
        <w:textAlignment w:val="center"/>
      </w:pPr>
      <w:r>
        <w:t>A．冷湿</w:t>
      </w:r>
      <w:r>
        <w:tab/>
      </w:r>
      <w:r>
        <w:t>B．冷干</w:t>
      </w:r>
      <w:r>
        <w:tab/>
      </w:r>
      <w:r>
        <w:t>C．暖湿</w:t>
      </w:r>
      <w:r>
        <w:tab/>
      </w:r>
      <w:r>
        <w:t>D．暖干</w:t>
      </w:r>
    </w:p>
    <w:p>
      <w:pPr>
        <w:spacing w:beforeAutospacing="0" w:afterAutospacing="0" w:line="360" w:lineRule="auto"/>
        <w:jc w:val="left"/>
        <w:textAlignment w:val="center"/>
        <w:sectPr>
          <w:headerReference w:type="default" r:id="rId12"/>
          <w:footerReference w:type="default" r:id="rId13"/>
          <w:type w:val="nextPage"/>
          <w:pgSz w:w="11906" w:h="16838"/>
          <w:pgMar w:top="1417" w:right="1077" w:bottom="1417" w:left="1077" w:header="708" w:footer="708" w:gutter="0"/>
          <w:pgNumType w:start="2"/>
          <w:cols w:num="1" w:space="708"/>
          <w:titlePg w:val="0"/>
        </w:sectPr>
      </w:pPr>
      <w:r>
        <w:t>6．仰韶文化晚期，该地区聚落向高处迁移是由于(</w:t>
      </w:r>
      <w:r>
        <w:rPr>
          <w:rFonts w:ascii="Times New Roman" w:eastAsia="Times New Roman" w:hAnsi="Times New Roman" w:cs="Times New Roman"/>
          <w:kern w:val="0"/>
          <w:sz w:val="24"/>
        </w:rPr>
        <w:t>   </w:t>
      </w:r>
      <w:r>
        <w:t>)</w:t>
      </w:r>
    </w:p>
    <w:p>
      <w:pPr>
        <w:tabs>
          <w:tab w:val="left" w:pos="4156"/>
        </w:tabs>
        <w:spacing w:beforeAutospacing="0" w:afterAutospacing="0" w:line="360" w:lineRule="auto"/>
        <w:ind w:left="300"/>
        <w:jc w:val="left"/>
        <w:textAlignment w:val="center"/>
      </w:pPr>
      <w:r>
        <w:t>A．水土流失加剧，河床抬升</w:t>
      </w:r>
      <w:r>
        <w:tab/>
      </w:r>
      <w:r>
        <w:t>B．人口增长迅速，耕地不足</w:t>
      </w:r>
    </w:p>
    <w:p>
      <w:pPr>
        <w:tabs>
          <w:tab w:val="left" w:pos="4156"/>
        </w:tabs>
        <w:spacing w:beforeAutospacing="0" w:afterAutospacing="0" w:line="360" w:lineRule="auto"/>
        <w:ind w:left="300"/>
        <w:jc w:val="left"/>
        <w:textAlignment w:val="center"/>
      </w:pPr>
      <w:r>
        <w:t>C．蓄水技术提高，供水充足</w:t>
      </w:r>
      <w:r>
        <w:tab/>
      </w:r>
      <w:r>
        <w:t>D．土壤肥力下降，作物减产</w:t>
      </w:r>
    </w:p>
    <w:p>
      <w:pPr>
        <w:spacing w:beforeAutospacing="0" w:afterAutospacing="0" w:line="360" w:lineRule="auto"/>
        <w:jc w:val="left"/>
        <w:textAlignment w:val="center"/>
      </w:pPr>
      <w:r>
        <w:t>7．龙山文化时期，该地区坡地的窑洞平面形态最可能是上图中的(</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ind w:left="300"/>
        <w:jc w:val="left"/>
        <w:textAlignment w:val="center"/>
      </w:pPr>
      <w:r>
        <w:t>A．</w:t>
      </w:r>
      <w:r>
        <w:drawing>
          <wp:inline distT="0" distB="0" distL="114300" distR="114300">
            <wp:extent cx="685800" cy="110490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14"/>
                    <a:stretch>
                      <a:fillRect/>
                    </a:stretch>
                  </pic:blipFill>
                  <pic:spPr>
                    <a:xfrm>
                      <a:off x="0" y="0"/>
                      <a:ext cx="685896" cy="1105054"/>
                    </a:xfrm>
                    <a:prstGeom prst="rect">
                      <a:avLst/>
                    </a:prstGeom>
                  </pic:spPr>
                </pic:pic>
              </a:graphicData>
            </a:graphic>
          </wp:inline>
        </w:drawing>
      </w:r>
      <w:r>
        <w:tab/>
      </w:r>
      <w:r>
        <w:t>B．</w:t>
      </w:r>
      <w:r>
        <w:drawing>
          <wp:inline distT="0" distB="0" distL="114300" distR="114300">
            <wp:extent cx="857250" cy="11049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15"/>
                    <a:stretch>
                      <a:fillRect/>
                    </a:stretch>
                  </pic:blipFill>
                  <pic:spPr>
                    <a:xfrm>
                      <a:off x="0" y="0"/>
                      <a:ext cx="857370" cy="1105054"/>
                    </a:xfrm>
                    <a:prstGeom prst="rect">
                      <a:avLst/>
                    </a:prstGeom>
                  </pic:spPr>
                </pic:pic>
              </a:graphicData>
            </a:graphic>
          </wp:inline>
        </w:drawing>
      </w:r>
      <w:r>
        <w:tab/>
      </w:r>
      <w:r>
        <w:t>C．</w:t>
      </w:r>
      <w:r>
        <w:drawing>
          <wp:inline distT="0" distB="0" distL="114300" distR="114300">
            <wp:extent cx="790575" cy="1104900"/>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16"/>
                    <a:stretch>
                      <a:fillRect/>
                    </a:stretch>
                  </pic:blipFill>
                  <pic:spPr>
                    <a:xfrm>
                      <a:off x="0" y="0"/>
                      <a:ext cx="790685" cy="1105054"/>
                    </a:xfrm>
                    <a:prstGeom prst="rect">
                      <a:avLst/>
                    </a:prstGeom>
                  </pic:spPr>
                </pic:pic>
              </a:graphicData>
            </a:graphic>
          </wp:inline>
        </w:drawing>
      </w:r>
      <w:r>
        <w:tab/>
      </w:r>
      <w:r>
        <w:t>D．</w:t>
      </w:r>
      <w:r>
        <w:drawing>
          <wp:inline distT="0" distB="0" distL="114300" distR="114300">
            <wp:extent cx="790575" cy="1104900"/>
            <wp:effectExtent l="0" t="0" r="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17"/>
                    <a:stretch>
                      <a:fillRect/>
                    </a:stretch>
                  </pic:blipFill>
                  <pic:spPr>
                    <a:xfrm>
                      <a:off x="0" y="0"/>
                      <a:ext cx="790685" cy="1105054"/>
                    </a:xfrm>
                    <a:prstGeom prst="rect">
                      <a:avLst/>
                    </a:prstGeom>
                  </pic:spPr>
                </pic:pic>
              </a:graphicData>
            </a:graphic>
          </wp:inline>
        </w:drawing>
      </w:r>
    </w:p>
    <w:p>
      <w:pPr>
        <w:spacing w:beforeAutospacing="0" w:afterAutospacing="0" w:line="360" w:lineRule="auto"/>
        <w:ind w:firstLine="420"/>
        <w:jc w:val="left"/>
        <w:textAlignment w:val="center"/>
      </w:pPr>
      <w:r>
        <w:rPr>
          <w:rFonts w:ascii="Times New Roman" w:eastAsia="黑体" w:hAnsi="Times New Roman" w:cs="Times New Roman"/>
          <w:color w:val="C00000"/>
        </w:rPr>
        <w:t>(2021·湖北</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我国高耗能产业碳排放量大，降低高耗能产业碳排放强度是我国实现2030年碳达峰和2060年碳中和目标的重要抓手。下图示意2015年我国高耗能产业碳排放强度的空间分布。据此完成下面小题。</w:t>
      </w:r>
    </w:p>
    <w:p>
      <w:pPr>
        <w:spacing w:beforeAutospacing="0" w:afterAutospacing="0" w:line="360" w:lineRule="auto"/>
        <w:jc w:val="left"/>
        <w:textAlignment w:val="center"/>
      </w:pPr>
      <w:r>
        <w:drawing>
          <wp:inline distT="0" distB="0" distL="114300" distR="114300">
            <wp:extent cx="2475230" cy="2049780"/>
            <wp:effectExtent l="0" t="0" r="0" b="0"/>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pic:cNvPicPr>
                      <a:picLocks noChangeAspect="1"/>
                    </pic:cNvPicPr>
                  </pic:nvPicPr>
                  <pic:blipFill>
                    <a:blip xmlns:r="http://schemas.openxmlformats.org/officeDocument/2006/relationships" r:embed="rId18"/>
                    <a:stretch>
                      <a:fillRect/>
                    </a:stretch>
                  </pic:blipFill>
                  <pic:spPr>
                    <a:xfrm>
                      <a:off x="0" y="0"/>
                      <a:ext cx="2475230" cy="2049780"/>
                    </a:xfrm>
                    <a:prstGeom prst="rect">
                      <a:avLst/>
                    </a:prstGeom>
                  </pic:spPr>
                </pic:pic>
              </a:graphicData>
            </a:graphic>
          </wp:inline>
        </w:drawing>
      </w:r>
    </w:p>
    <w:p>
      <w:pPr>
        <w:spacing w:beforeAutospacing="0" w:afterAutospacing="0" w:line="360" w:lineRule="auto"/>
        <w:jc w:val="left"/>
        <w:textAlignment w:val="center"/>
      </w:pPr>
      <w:r>
        <w:t>8．2015年，我国高耗能产业碳排放强度的空间差异表现为(</w:t>
      </w:r>
      <w:r>
        <w:rPr>
          <w:rFonts w:ascii="Times New Roman" w:eastAsia="Times New Roman" w:hAnsi="Times New Roman" w:cs="Times New Roman"/>
          <w:kern w:val="0"/>
          <w:sz w:val="24"/>
        </w:rPr>
        <w:t>   </w:t>
      </w:r>
      <w:r>
        <w:t>)</w:t>
      </w:r>
    </w:p>
    <w:p>
      <w:pPr>
        <w:tabs>
          <w:tab w:val="left" w:pos="4156"/>
        </w:tabs>
        <w:spacing w:beforeAutospacing="0" w:afterAutospacing="0" w:line="360" w:lineRule="auto"/>
        <w:ind w:left="300"/>
        <w:jc w:val="left"/>
        <w:textAlignment w:val="center"/>
      </w:pPr>
      <w:r>
        <w:t>A．东西差异大于南北差异</w:t>
      </w:r>
      <w:r>
        <w:tab/>
      </w:r>
      <w:r>
        <w:t>B．东高西低</w:t>
      </w:r>
    </w:p>
    <w:p>
      <w:pPr>
        <w:tabs>
          <w:tab w:val="left" w:pos="4156"/>
        </w:tabs>
        <w:spacing w:beforeAutospacing="0" w:afterAutospacing="0" w:line="360" w:lineRule="auto"/>
        <w:ind w:left="300"/>
        <w:jc w:val="left"/>
        <w:textAlignment w:val="center"/>
      </w:pPr>
      <w:r>
        <w:t>C．南北变化大于东西变化</w:t>
      </w:r>
      <w:r>
        <w:tab/>
      </w:r>
      <w:r>
        <w:t>D．北高南低</w:t>
      </w:r>
    </w:p>
    <w:p>
      <w:pPr>
        <w:spacing w:beforeAutospacing="0" w:afterAutospacing="0" w:line="360" w:lineRule="auto"/>
        <w:jc w:val="left"/>
        <w:textAlignment w:val="center"/>
      </w:pPr>
      <w:r>
        <w:t>9．影响我国高耗能产业碳排放强度空间差异的主要因素是(</w:t>
      </w:r>
      <w:r>
        <w:rPr>
          <w:rFonts w:ascii="Times New Roman" w:eastAsia="Times New Roman" w:hAnsi="Times New Roman" w:cs="Times New Roman"/>
          <w:kern w:val="0"/>
          <w:sz w:val="24"/>
        </w:rPr>
        <w:t>   </w:t>
      </w:r>
      <w:r>
        <w:t>)</w:t>
      </w:r>
    </w:p>
    <w:p>
      <w:pPr>
        <w:spacing w:beforeAutospacing="0" w:afterAutospacing="0" w:line="360" w:lineRule="auto"/>
        <w:jc w:val="left"/>
        <w:textAlignment w:val="center"/>
      </w:pPr>
      <w:r>
        <w:t>①能源消费结构②国内生产总值③能源利用技术④地区人口总量</w:t>
      </w:r>
    </w:p>
    <w:p>
      <w:pPr>
        <w:tabs>
          <w:tab w:val="left" w:pos="2078"/>
          <w:tab w:val="left" w:pos="4156"/>
          <w:tab w:val="left" w:pos="6234"/>
        </w:tabs>
        <w:spacing w:beforeAutospacing="0" w:afterAutospacing="0" w:line="360" w:lineRule="auto"/>
        <w:ind w:left="300"/>
        <w:jc w:val="left"/>
        <w:textAlignment w:val="center"/>
      </w:pPr>
      <w:r>
        <w:t>A．①②</w:t>
      </w:r>
      <w:r>
        <w:tab/>
      </w:r>
      <w:r>
        <w:t>B．①③</w:t>
      </w:r>
      <w:r>
        <w:tab/>
      </w:r>
      <w:r>
        <w:t>C．②③</w:t>
      </w:r>
      <w:r>
        <w:tab/>
      </w:r>
      <w:r>
        <w:t>D．③④</w:t>
      </w:r>
    </w:p>
    <w:p>
      <w:pPr>
        <w:spacing w:beforeAutospacing="0" w:afterAutospacing="0" w:line="360" w:lineRule="auto"/>
        <w:jc w:val="left"/>
        <w:textAlignment w:val="center"/>
      </w:pPr>
      <w:r>
        <w:t>10．为实现我国碳减排目标，下列区域差异化减排措施合理的是(</w:t>
      </w:r>
      <w:r>
        <w:rPr>
          <w:rFonts w:ascii="Times New Roman" w:eastAsia="Times New Roman" w:hAnsi="Times New Roman" w:cs="Times New Roman"/>
          <w:kern w:val="0"/>
          <w:sz w:val="24"/>
        </w:rPr>
        <w:t>   </w:t>
      </w:r>
      <w:r>
        <w:t>)</w:t>
      </w:r>
    </w:p>
    <w:p>
      <w:pPr>
        <w:spacing w:beforeAutospacing="0" w:afterAutospacing="0" w:line="360" w:lineRule="auto"/>
        <w:jc w:val="left"/>
        <w:textAlignment w:val="center"/>
      </w:pPr>
      <w:r>
        <w:t>①东部地区推进自主创新，大力发展循环经济</w:t>
      </w:r>
    </w:p>
    <w:p>
      <w:pPr>
        <w:spacing w:beforeAutospacing="0" w:afterAutospacing="0" w:line="360" w:lineRule="auto"/>
        <w:jc w:val="left"/>
        <w:textAlignment w:val="center"/>
        <w:sectPr>
          <w:headerReference w:type="default" r:id="rId19"/>
          <w:footerReference w:type="default" r:id="rId20"/>
          <w:type w:val="nextPage"/>
          <w:pgSz w:w="11906" w:h="16838"/>
          <w:pgMar w:top="1417" w:right="1077" w:bottom="1417" w:left="1077" w:header="708" w:footer="708" w:gutter="0"/>
          <w:pgNumType w:start="3"/>
          <w:cols w:num="1" w:space="708"/>
          <w:titlePg w:val="0"/>
        </w:sectPr>
      </w:pPr>
      <w:r>
        <w:t>②西部地区加强环境监管，合理推进产业布局</w:t>
      </w:r>
    </w:p>
    <w:p>
      <w:pPr>
        <w:spacing w:beforeAutospacing="0" w:afterAutospacing="0" w:line="360" w:lineRule="auto"/>
        <w:jc w:val="left"/>
        <w:textAlignment w:val="center"/>
      </w:pPr>
      <w:r>
        <w:t>③北方地区优化能源消费结构，逐步降低高消耗、高排放产业比例</w:t>
      </w:r>
    </w:p>
    <w:p>
      <w:pPr>
        <w:spacing w:beforeAutospacing="0" w:afterAutospacing="0" w:line="360" w:lineRule="auto"/>
        <w:jc w:val="left"/>
        <w:textAlignment w:val="center"/>
      </w:pPr>
      <w:r>
        <w:t>④南方地区大力开发太阳能，提高清洁能源在能源消费结构中比重</w:t>
      </w:r>
    </w:p>
    <w:p>
      <w:pPr>
        <w:tabs>
          <w:tab w:val="left" w:pos="2078"/>
          <w:tab w:val="left" w:pos="4156"/>
          <w:tab w:val="left" w:pos="6234"/>
        </w:tabs>
        <w:spacing w:beforeAutospacing="0" w:afterAutospacing="0" w:line="360" w:lineRule="auto"/>
        <w:ind w:left="380"/>
        <w:jc w:val="left"/>
        <w:textAlignment w:val="center"/>
      </w:pPr>
      <w:r>
        <w:t>A．①②③</w:t>
      </w:r>
      <w:r>
        <w:tab/>
      </w:r>
      <w:r>
        <w:t>B．①②④</w:t>
      </w:r>
      <w:r>
        <w:tab/>
      </w:r>
      <w:r>
        <w:t>C．①③④</w:t>
      </w:r>
      <w:r>
        <w:tab/>
      </w:r>
      <w:r>
        <w:t>D．②③④</w:t>
      </w:r>
    </w:p>
    <w:p>
      <w:pPr>
        <w:spacing w:beforeAutospacing="0" w:afterAutospacing="0" w:line="360" w:lineRule="auto"/>
        <w:ind w:firstLine="420"/>
        <w:jc w:val="left"/>
        <w:textAlignment w:val="center"/>
      </w:pPr>
      <w:r>
        <w:rPr>
          <w:rFonts w:ascii="Times New Roman" w:eastAsia="黑体" w:hAnsi="Times New Roman" w:cs="Times New Roman"/>
          <w:color w:val="C00000"/>
        </w:rPr>
        <w:t>(2021·河北</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冰川物质平衡是单位时间内冰川以固态降水为主的物质收入和以消融为主的物质支出的代数和，天山和阿尔卑斯山都是世界上典型的山岳冰川分布区，前者冰温(℃)恒为负，后者接近0℃，下表为两山区代表性冰川物质平衡情况，下图表示两山区冰川累积物质平衡年际变化。据此完成下列各题。</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710"/>
        <w:gridCol w:w="1500"/>
        <w:gridCol w:w="1080"/>
        <w:gridCol w:w="221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地区</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冰川代号</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朝向</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物质平衡毫米</w:t>
            </w:r>
            <w:r>
              <w:t>/</w:t>
            </w:r>
            <w:r>
              <w:rPr>
                <w:rFonts w:ascii="楷体" w:eastAsia="楷体" w:hAnsi="楷体" w:cs="楷体"/>
              </w:rPr>
              <w:t>年</w:t>
            </w:r>
          </w:p>
        </w:tc>
      </w:tr>
      <w:tr>
        <w:tblPrEx>
          <w:tblW w:w="0" w:type="auto"/>
          <w:tblInd w:w="0" w:type="dxa"/>
          <w:tblCellMar>
            <w:top w:w="120" w:type="dxa"/>
            <w:left w:w="120" w:type="dxa"/>
            <w:bottom w:w="120" w:type="dxa"/>
            <w:right w:w="120" w:type="dxa"/>
          </w:tblCellMar>
        </w:tblPrEx>
        <w:tc>
          <w:tcPr>
            <w:tcW w:w="0" w:type="auto"/>
            <w:vMerge w:val="restart"/>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天山</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T1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N</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-423</w:t>
            </w:r>
          </w:p>
        </w:tc>
      </w:tr>
      <w:tr>
        <w:tblPrEx>
          <w:tblW w:w="0" w:type="auto"/>
          <w:tblInd w:w="0" w:type="dxa"/>
          <w:tblCellMar>
            <w:top w:w="120" w:type="dxa"/>
            <w:left w:w="120" w:type="dxa"/>
            <w:bottom w:w="120" w:type="dxa"/>
            <w:right w:w="120" w:type="dxa"/>
          </w:tblCellMar>
        </w:tblPrEx>
        <w:tc>
          <w:tcPr>
            <w:tcW w:w="0" w:type="auto"/>
            <w:vMerge/>
            <w:tcBorders>
              <w:top w:val="single" w:sz="6" w:space="0" w:color="000000"/>
              <w:left w:val="single" w:sz="6" w:space="0" w:color="000000"/>
              <w:bottom w:val="single" w:sz="6" w:space="0" w:color="000000"/>
              <w:right w:val="single" w:sz="6" w:space="0" w:color="000000"/>
            </w:tcBorders>
          </w:tcPr>
          <w:p>
            <w:pPr>
              <w:spacing w:beforeAutospacing="0" w:afterAutospacing="0" w:line="360" w:lineRule="auto"/>
              <w:ind w:firstLine="420"/>
              <w:jc w:val="left"/>
              <w:textAlignment w:val="center"/>
            </w:pP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T2</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NE</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-116</w:t>
            </w:r>
          </w:p>
        </w:tc>
      </w:tr>
      <w:tr>
        <w:tblPrEx>
          <w:tblW w:w="0" w:type="auto"/>
          <w:tblInd w:w="0" w:type="dxa"/>
          <w:tblCellMar>
            <w:top w:w="120" w:type="dxa"/>
            <w:left w:w="120" w:type="dxa"/>
            <w:bottom w:w="120" w:type="dxa"/>
            <w:right w:w="120" w:type="dxa"/>
          </w:tblCellMar>
        </w:tblPrEx>
        <w:tc>
          <w:tcPr>
            <w:tcW w:w="0" w:type="auto"/>
            <w:vMerge/>
            <w:tcBorders>
              <w:top w:val="single" w:sz="6" w:space="0" w:color="000000"/>
              <w:left w:val="single" w:sz="6" w:space="0" w:color="000000"/>
              <w:bottom w:val="single" w:sz="6" w:space="0" w:color="000000"/>
              <w:right w:val="single" w:sz="6" w:space="0" w:color="000000"/>
            </w:tcBorders>
          </w:tcPr>
          <w:p>
            <w:pPr>
              <w:spacing w:beforeAutospacing="0" w:afterAutospacing="0" w:line="360" w:lineRule="auto"/>
              <w:ind w:firstLine="420"/>
              <w:jc w:val="left"/>
              <w:textAlignment w:val="center"/>
            </w:pP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T3</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W</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261</w:t>
            </w:r>
          </w:p>
        </w:tc>
      </w:tr>
      <w:tr>
        <w:tblPrEx>
          <w:tblW w:w="0" w:type="auto"/>
          <w:tblInd w:w="0" w:type="dxa"/>
          <w:tblCellMar>
            <w:top w:w="120" w:type="dxa"/>
            <w:left w:w="120" w:type="dxa"/>
            <w:bottom w:w="120" w:type="dxa"/>
            <w:right w:w="120" w:type="dxa"/>
          </w:tblCellMar>
        </w:tblPrEx>
        <w:tc>
          <w:tcPr>
            <w:tcW w:w="0" w:type="auto"/>
            <w:vMerge w:val="restart"/>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rPr>
                <w:rFonts w:ascii="楷体" w:eastAsia="楷体" w:hAnsi="楷体" w:cs="楷体"/>
              </w:rPr>
              <w:t>阿尔卑斯山</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H1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N</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-455</w:t>
            </w:r>
          </w:p>
        </w:tc>
      </w:tr>
      <w:tr>
        <w:tblPrEx>
          <w:tblW w:w="0" w:type="auto"/>
          <w:tblInd w:w="0" w:type="dxa"/>
          <w:tblCellMar>
            <w:top w:w="120" w:type="dxa"/>
            <w:left w:w="120" w:type="dxa"/>
            <w:bottom w:w="120" w:type="dxa"/>
            <w:right w:w="120" w:type="dxa"/>
          </w:tblCellMar>
        </w:tblPrEx>
        <w:tc>
          <w:tcPr>
            <w:tcW w:w="0" w:type="auto"/>
            <w:vMerge/>
            <w:tcBorders>
              <w:top w:val="single" w:sz="6" w:space="0" w:color="000000"/>
              <w:left w:val="single" w:sz="6" w:space="0" w:color="000000"/>
              <w:bottom w:val="single" w:sz="6" w:space="0" w:color="000000"/>
              <w:right w:val="single" w:sz="6" w:space="0" w:color="000000"/>
            </w:tcBorders>
          </w:tcPr>
          <w:p>
            <w:pPr>
              <w:spacing w:beforeAutospacing="0" w:afterAutospacing="0" w:line="360" w:lineRule="auto"/>
              <w:ind w:firstLine="420"/>
              <w:jc w:val="left"/>
              <w:textAlignment w:val="center"/>
            </w:pP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H2</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NE</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-381</w:t>
            </w:r>
          </w:p>
        </w:tc>
      </w:tr>
      <w:tr>
        <w:tblPrEx>
          <w:tblW w:w="0" w:type="auto"/>
          <w:tblInd w:w="0" w:type="dxa"/>
          <w:tblCellMar>
            <w:top w:w="120" w:type="dxa"/>
            <w:left w:w="120" w:type="dxa"/>
            <w:bottom w:w="120" w:type="dxa"/>
            <w:right w:w="120" w:type="dxa"/>
          </w:tblCellMar>
        </w:tblPrEx>
        <w:tc>
          <w:tcPr>
            <w:tcW w:w="0" w:type="auto"/>
            <w:vMerge/>
            <w:tcBorders>
              <w:top w:val="single" w:sz="6" w:space="0" w:color="000000"/>
              <w:left w:val="single" w:sz="6" w:space="0" w:color="000000"/>
              <w:bottom w:val="single" w:sz="6" w:space="0" w:color="000000"/>
              <w:right w:val="single" w:sz="6" w:space="0" w:color="000000"/>
            </w:tcBorders>
          </w:tcPr>
          <w:p>
            <w:pPr>
              <w:spacing w:beforeAutospacing="0" w:afterAutospacing="0" w:line="360" w:lineRule="auto"/>
              <w:ind w:firstLine="420"/>
              <w:jc w:val="left"/>
              <w:textAlignment w:val="center"/>
            </w:pP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H3</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NW</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56</w:t>
            </w:r>
          </w:p>
        </w:tc>
      </w:tr>
      <w:tr>
        <w:tblPrEx>
          <w:tblW w:w="0" w:type="auto"/>
          <w:tblInd w:w="0" w:type="dxa"/>
          <w:tblCellMar>
            <w:top w:w="120" w:type="dxa"/>
            <w:left w:w="120" w:type="dxa"/>
            <w:bottom w:w="120" w:type="dxa"/>
            <w:right w:w="120" w:type="dxa"/>
          </w:tblCellMar>
        </w:tblPrEx>
        <w:tc>
          <w:tcPr>
            <w:tcW w:w="0" w:type="auto"/>
            <w:vMerge/>
            <w:tcBorders>
              <w:top w:val="single" w:sz="6" w:space="0" w:color="000000"/>
              <w:left w:val="single" w:sz="6" w:space="0" w:color="000000"/>
              <w:bottom w:val="single" w:sz="6" w:space="0" w:color="000000"/>
              <w:right w:val="single" w:sz="6" w:space="0" w:color="000000"/>
            </w:tcBorders>
          </w:tcPr>
          <w:p>
            <w:pPr>
              <w:spacing w:beforeAutospacing="0" w:afterAutospacing="0" w:line="360" w:lineRule="auto"/>
              <w:ind w:firstLine="420"/>
              <w:jc w:val="left"/>
              <w:textAlignment w:val="center"/>
            </w:pP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H4</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SE</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pPr>
              <w:spacing w:beforeAutospacing="0" w:afterAutospacing="0" w:line="360" w:lineRule="auto"/>
              <w:ind w:firstLine="420"/>
              <w:jc w:val="left"/>
              <w:textAlignment w:val="center"/>
            </w:pPr>
            <w:r>
              <w:t>27</w:t>
            </w:r>
          </w:p>
        </w:tc>
      </w:tr>
    </w:tbl>
    <w:p>
      <w:pPr>
        <w:spacing w:beforeAutospacing="0" w:afterAutospacing="0" w:line="360" w:lineRule="auto"/>
        <w:ind w:firstLine="420"/>
        <w:jc w:val="left"/>
        <w:textAlignment w:val="center"/>
      </w:pPr>
      <w:r>
        <w:rPr>
          <w:rFonts w:ascii="Times New Roman" w:eastAsia="Times New Roman" w:hAnsi="Times New Roman" w:cs="Times New Roman"/>
          <w:kern w:val="0"/>
          <w:sz w:val="24"/>
        </w:rPr>
        <w:drawing>
          <wp:inline distT="0" distB="0" distL="114300" distR="114300">
            <wp:extent cx="5124450" cy="2590800"/>
            <wp:effectExtent l="0" t="0" r="0" b="0"/>
            <wp:docPr id="100017"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pic:cNvPicPr>
                      <a:picLocks noChangeAspect="1"/>
                    </pic:cNvPicPr>
                  </pic:nvPicPr>
                  <pic:blipFill>
                    <a:blip xmlns:r="http://schemas.openxmlformats.org/officeDocument/2006/relationships" r:embed="rId21"/>
                    <a:stretch>
                      <a:fillRect/>
                    </a:stretch>
                  </pic:blipFill>
                  <pic:spPr>
                    <a:xfrm>
                      <a:off x="0" y="0"/>
                      <a:ext cx="5124450" cy="2590800"/>
                    </a:xfrm>
                    <a:prstGeom prst="rect">
                      <a:avLst/>
                    </a:prstGeom>
                  </pic:spPr>
                </pic:pic>
              </a:graphicData>
            </a:graphic>
          </wp:inline>
        </w:drawing>
      </w:r>
    </w:p>
    <w:p>
      <w:pPr>
        <w:spacing w:beforeAutospacing="0" w:afterAutospacing="0" w:line="360" w:lineRule="auto"/>
        <w:jc w:val="left"/>
        <w:textAlignment w:val="center"/>
        <w:sectPr>
          <w:headerReference w:type="default" r:id="rId22"/>
          <w:footerReference w:type="default" r:id="rId23"/>
          <w:type w:val="nextPage"/>
          <w:pgSz w:w="11906" w:h="16838"/>
          <w:pgMar w:top="1417" w:right="1077" w:bottom="1417" w:left="1077" w:header="708" w:footer="708" w:gutter="0"/>
          <w:pgNumType w:start="4"/>
          <w:cols w:num="1" w:space="708"/>
          <w:titlePg w:val="0"/>
        </w:sectPr>
      </w:pPr>
      <w:r>
        <w:t>11．导致两山区不同坡向冰川物质平衡差异的主要因素为(</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ind w:left="380"/>
        <w:jc w:val="left"/>
        <w:textAlignment w:val="center"/>
      </w:pPr>
      <w:r>
        <w:t>A．到海距离</w:t>
      </w:r>
      <w:r>
        <w:tab/>
      </w:r>
      <w:r>
        <w:t>B．主导风向</w:t>
      </w:r>
      <w:r>
        <w:tab/>
      </w:r>
      <w:r>
        <w:t>C．冰川覆盖</w:t>
      </w:r>
      <w:r>
        <w:tab/>
      </w:r>
      <w:r>
        <w:t>D．山地坡度</w:t>
      </w:r>
    </w:p>
    <w:p>
      <w:pPr>
        <w:spacing w:beforeAutospacing="0" w:afterAutospacing="0" w:line="360" w:lineRule="auto"/>
        <w:jc w:val="left"/>
        <w:textAlignment w:val="center"/>
      </w:pPr>
      <w:r>
        <w:t>12．1990年以后，两山区冰川的变化指示出(</w:t>
      </w:r>
      <w:r>
        <w:rPr>
          <w:rFonts w:ascii="Times New Roman" w:eastAsia="Times New Roman" w:hAnsi="Times New Roman" w:cs="Times New Roman"/>
          <w:kern w:val="0"/>
          <w:sz w:val="24"/>
        </w:rPr>
        <w:t>    </w:t>
      </w:r>
      <w:r>
        <w:t>)</w:t>
      </w:r>
    </w:p>
    <w:p>
      <w:pPr>
        <w:tabs>
          <w:tab w:val="left" w:pos="4156"/>
        </w:tabs>
        <w:spacing w:beforeAutospacing="0" w:afterAutospacing="0" w:line="360" w:lineRule="auto"/>
        <w:ind w:left="380"/>
        <w:jc w:val="left"/>
        <w:textAlignment w:val="center"/>
      </w:pPr>
      <w:r>
        <w:t>A．天山冰川消融量较大</w:t>
      </w:r>
      <w:r>
        <w:tab/>
      </w:r>
      <w:r>
        <w:t>B．天山冰川扩张更明显</w:t>
      </w:r>
    </w:p>
    <w:p>
      <w:pPr>
        <w:tabs>
          <w:tab w:val="left" w:pos="4156"/>
        </w:tabs>
        <w:spacing w:beforeAutospacing="0" w:afterAutospacing="0" w:line="360" w:lineRule="auto"/>
        <w:ind w:left="380"/>
        <w:jc w:val="left"/>
        <w:textAlignment w:val="center"/>
      </w:pPr>
      <w:r>
        <w:t>C．二者的平均雪线高度都在上升</w:t>
      </w:r>
      <w:r>
        <w:tab/>
      </w:r>
      <w:r>
        <w:t>D．阿尔卑斯山冰川积累速度较快</w:t>
      </w:r>
    </w:p>
    <w:p>
      <w:pPr>
        <w:spacing w:beforeAutospacing="0" w:afterAutospacing="0" w:line="360" w:lineRule="auto"/>
        <w:jc w:val="left"/>
        <w:textAlignment w:val="center"/>
      </w:pPr>
      <w:r>
        <w:t>13．影响两山区冰川物质平衡变化的关键是(</w:t>
      </w:r>
      <w:r>
        <w:rPr>
          <w:rFonts w:ascii="Times New Roman" w:eastAsia="Times New Roman" w:hAnsi="Times New Roman" w:cs="Times New Roman"/>
          <w:kern w:val="0"/>
          <w:sz w:val="24"/>
        </w:rPr>
        <w:t>    </w:t>
      </w:r>
      <w:r>
        <w:t>)</w:t>
      </w:r>
    </w:p>
    <w:p>
      <w:pPr>
        <w:tabs>
          <w:tab w:val="left" w:pos="2078"/>
          <w:tab w:val="left" w:pos="4156"/>
          <w:tab w:val="left" w:pos="6234"/>
        </w:tabs>
        <w:spacing w:beforeAutospacing="0" w:afterAutospacing="0" w:line="360" w:lineRule="auto"/>
        <w:ind w:left="380"/>
        <w:jc w:val="left"/>
        <w:textAlignment w:val="center"/>
      </w:pPr>
      <w:r>
        <w:t>A．所处山体隆起</w:t>
      </w:r>
      <w:r>
        <w:tab/>
      </w:r>
      <w:r>
        <w:t>B．臭氧空洞扩大</w:t>
      </w:r>
      <w:r>
        <w:tab/>
      </w:r>
      <w:r>
        <w:t>C．全球气候变暖</w:t>
      </w:r>
      <w:r>
        <w:tab/>
      </w:r>
      <w:r>
        <w:t>D．山地林线上升</w:t>
      </w:r>
    </w:p>
    <w:p>
      <w:pPr>
        <w:spacing w:beforeAutospacing="0" w:afterAutospacing="0" w:line="360" w:lineRule="auto"/>
        <w:ind w:firstLine="420"/>
        <w:jc w:val="left"/>
        <w:textAlignment w:val="center"/>
      </w:pPr>
      <w:r>
        <w:rPr>
          <w:rFonts w:ascii="Times New Roman" w:eastAsia="黑体" w:hAnsi="Times New Roman" w:cs="Times New Roman"/>
          <w:color w:val="C00000"/>
        </w:rPr>
        <w:t>(2019·全国</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近年来，位于高纬的西伯利亚地区气候发生了明显变化，土地覆被也随之变化，平地上的耕地明显减少，洼地上的草地大量转化为湿地，越年积雪(积雪期超过一年)面积减少。</w:t>
      </w:r>
    </w:p>
    <w:p>
      <w:pPr>
        <w:spacing w:beforeAutospacing="0" w:afterAutospacing="0" w:line="360" w:lineRule="auto"/>
        <w:jc w:val="left"/>
        <w:textAlignment w:val="center"/>
      </w:pPr>
      <w:r>
        <w:t>据此完成下面小题。</w:t>
      </w:r>
    </w:p>
    <w:p>
      <w:pPr>
        <w:spacing w:beforeAutospacing="0" w:afterAutospacing="0" w:line="360" w:lineRule="auto"/>
        <w:jc w:val="left"/>
        <w:textAlignment w:val="center"/>
      </w:pPr>
      <w:r>
        <w:t>14．导致西伯利亚地区土地覆被变化的首要原因是</w:t>
      </w:r>
    </w:p>
    <w:p>
      <w:pPr>
        <w:tabs>
          <w:tab w:val="left" w:pos="4156"/>
        </w:tabs>
        <w:spacing w:beforeAutospacing="0" w:afterAutospacing="0" w:line="360" w:lineRule="auto"/>
        <w:ind w:left="380"/>
        <w:jc w:val="left"/>
        <w:textAlignment w:val="center"/>
      </w:pPr>
      <w:r>
        <w:t>A．气温升高</w:t>
      </w:r>
      <w:r>
        <w:tab/>
      </w:r>
      <w:r>
        <w:t>B．气温降低</w:t>
      </w:r>
    </w:p>
    <w:p>
      <w:pPr>
        <w:tabs>
          <w:tab w:val="left" w:pos="4156"/>
        </w:tabs>
        <w:spacing w:beforeAutospacing="0" w:afterAutospacing="0" w:line="360" w:lineRule="auto"/>
        <w:ind w:left="380"/>
        <w:jc w:val="left"/>
        <w:textAlignment w:val="center"/>
      </w:pPr>
      <w:r>
        <w:t>C．降水增多</w:t>
      </w:r>
      <w:r>
        <w:tab/>
      </w:r>
      <w:r>
        <w:t>D．降水减少</w:t>
      </w:r>
    </w:p>
    <w:p>
      <w:pPr>
        <w:spacing w:beforeAutospacing="0" w:afterAutospacing="0" w:line="360" w:lineRule="auto"/>
        <w:jc w:val="left"/>
        <w:textAlignment w:val="center"/>
      </w:pPr>
      <w:r>
        <w:t>15．湿地面积增加主要是因为当地</w:t>
      </w:r>
    </w:p>
    <w:p>
      <w:pPr>
        <w:tabs>
          <w:tab w:val="left" w:pos="4156"/>
        </w:tabs>
        <w:spacing w:beforeAutospacing="0" w:afterAutospacing="0" w:line="360" w:lineRule="auto"/>
        <w:ind w:left="380"/>
        <w:jc w:val="left"/>
        <w:textAlignment w:val="center"/>
      </w:pPr>
      <w:r>
        <w:t>A．洪水暴涨</w:t>
      </w:r>
      <w:r>
        <w:tab/>
      </w:r>
      <w:r>
        <w:t>B．退耕还湿</w:t>
      </w:r>
    </w:p>
    <w:p>
      <w:pPr>
        <w:tabs>
          <w:tab w:val="left" w:pos="4156"/>
        </w:tabs>
        <w:spacing w:beforeAutospacing="0" w:afterAutospacing="0" w:line="360" w:lineRule="auto"/>
        <w:ind w:left="380"/>
        <w:jc w:val="left"/>
        <w:textAlignment w:val="center"/>
      </w:pPr>
      <w:r>
        <w:t>C．地面沉降</w:t>
      </w:r>
      <w:r>
        <w:tab/>
      </w:r>
      <w:r>
        <w:t>D．冻土融化</w:t>
      </w:r>
    </w:p>
    <w:p>
      <w:pPr>
        <w:spacing w:beforeAutospacing="0" w:afterAutospacing="0" w:line="360" w:lineRule="auto"/>
        <w:jc w:val="left"/>
        <w:textAlignment w:val="center"/>
      </w:pPr>
      <w:r>
        <w:t>16．西伯利亚地区平地上减少的耕地主要转化为</w:t>
      </w:r>
    </w:p>
    <w:p>
      <w:pPr>
        <w:tabs>
          <w:tab w:val="left" w:pos="4156"/>
        </w:tabs>
        <w:spacing w:beforeAutospacing="0" w:afterAutospacing="0" w:line="360" w:lineRule="auto"/>
        <w:ind w:left="380"/>
        <w:jc w:val="left"/>
        <w:textAlignment w:val="center"/>
      </w:pPr>
      <w:r>
        <w:t>A．林地</w:t>
      </w:r>
      <w:r>
        <w:tab/>
      </w:r>
      <w:r>
        <w:t>B．湿地</w:t>
      </w:r>
    </w:p>
    <w:p>
      <w:pPr>
        <w:tabs>
          <w:tab w:val="left" w:pos="4156"/>
        </w:tabs>
        <w:spacing w:beforeAutospacing="0" w:afterAutospacing="0" w:line="360" w:lineRule="auto"/>
        <w:ind w:left="380"/>
        <w:jc w:val="left"/>
        <w:textAlignment w:val="center"/>
      </w:pPr>
      <w:r>
        <w:t>C．草地</w:t>
      </w:r>
      <w:r>
        <w:tab/>
      </w:r>
      <w:r>
        <w:t>D．寒漠</w:t>
      </w:r>
    </w:p>
    <w:p>
      <w:pPr>
        <w:spacing w:beforeAutospacing="0" w:afterAutospacing="0" w:line="360" w:lineRule="auto"/>
        <w:ind w:firstLine="630" w:firstLineChars="300"/>
        <w:jc w:val="left"/>
        <w:textAlignment w:val="center"/>
      </w:pPr>
      <w:r>
        <w:rPr>
          <w:rFonts w:ascii="Times New Roman" w:eastAsia="黑体" w:hAnsi="Times New Roman" w:cs="Times New Roman"/>
          <w:color w:val="C00000"/>
        </w:rPr>
        <w:t>(2018·天津</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全球变暖导致冰川融化和海平面上升。为减缓全球变暖，发展低碳经济是人类社会的必然选择。读图文材料，回答下面小题。</w:t>
      </w:r>
    </w:p>
    <w:p>
      <w:pPr>
        <w:spacing w:beforeAutospacing="0" w:afterAutospacing="0" w:line="360" w:lineRule="auto"/>
        <w:jc w:val="left"/>
        <w:textAlignment w:val="center"/>
        <w:sectPr>
          <w:headerReference w:type="default" r:id="rId24"/>
          <w:footerReference w:type="default" r:id="rId25"/>
          <w:type w:val="nextPage"/>
          <w:pgSz w:w="11906" w:h="16838"/>
          <w:pgMar w:top="1417" w:right="1077" w:bottom="1417" w:left="1077" w:header="708" w:footer="708" w:gutter="0"/>
          <w:pgNumType w:start="5"/>
          <w:cols w:num="1" w:space="708"/>
          <w:titlePg w:val="0"/>
        </w:sectPr>
      </w:pPr>
      <w:r>
        <w:rPr>
          <w:rFonts w:ascii="楷体" w:eastAsia="楷体" w:hAnsi="楷体" w:cs="楷体"/>
        </w:rPr>
        <w:t>科学家们考察了美国西北部某山岳冰川消融的状况(如图)及产生的影响。</w:t>
      </w:r>
    </w:p>
    <w:p>
      <w:pPr>
        <w:spacing w:beforeAutospacing="0" w:afterAutospacing="0" w:line="360" w:lineRule="auto"/>
        <w:jc w:val="left"/>
        <w:textAlignment w:val="center"/>
      </w:pPr>
      <w:r>
        <w:rPr>
          <w:rFonts w:ascii="Times New Roman" w:eastAsia="Times New Roman" w:hAnsi="Times New Roman" w:cs="Times New Roman"/>
          <w:kern w:val="0"/>
          <w:sz w:val="24"/>
        </w:rPr>
        <w:drawing>
          <wp:inline distT="0" distB="0" distL="114300" distR="114300">
            <wp:extent cx="4038600" cy="1524000"/>
            <wp:effectExtent l="0" t="0" r="0" b="0"/>
            <wp:docPr id="100019"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pic:cNvPicPr>
                      <a:picLocks noChangeAspect="1"/>
                    </pic:cNvPicPr>
                  </pic:nvPicPr>
                  <pic:blipFill>
                    <a:blip xmlns:r="http://schemas.openxmlformats.org/officeDocument/2006/relationships" r:embed="rId26"/>
                    <a:stretch>
                      <a:fillRect/>
                    </a:stretch>
                  </pic:blipFill>
                  <pic:spPr>
                    <a:xfrm>
                      <a:off x="0" y="0"/>
                      <a:ext cx="4038600" cy="1524000"/>
                    </a:xfrm>
                    <a:prstGeom prst="rect">
                      <a:avLst/>
                    </a:prstGeom>
                  </pic:spPr>
                </pic:pic>
              </a:graphicData>
            </a:graphic>
          </wp:inline>
        </w:drawing>
      </w:r>
    </w:p>
    <w:p>
      <w:pPr>
        <w:spacing w:beforeAutospacing="0" w:afterAutospacing="0" w:line="360" w:lineRule="auto"/>
        <w:jc w:val="left"/>
        <w:textAlignment w:val="center"/>
      </w:pPr>
      <w:r>
        <w:t>17．对如图所示地区1936~2015年期间地表环境变化的表述，与实际情况相符的是</w:t>
      </w:r>
    </w:p>
    <w:p>
      <w:pPr>
        <w:tabs>
          <w:tab w:val="left" w:pos="4156"/>
        </w:tabs>
        <w:spacing w:beforeAutospacing="0" w:afterAutospacing="0" w:line="360" w:lineRule="auto"/>
        <w:ind w:left="380"/>
        <w:jc w:val="left"/>
        <w:textAlignment w:val="center"/>
      </w:pPr>
      <w:r>
        <w:t>A．年蒸发量始终不变</w:t>
      </w:r>
      <w:r>
        <w:tab/>
      </w:r>
      <w:r>
        <w:t>B．河湖水量持续稳定增加</w:t>
      </w:r>
    </w:p>
    <w:p>
      <w:pPr>
        <w:tabs>
          <w:tab w:val="left" w:pos="4156"/>
        </w:tabs>
        <w:spacing w:beforeAutospacing="0" w:afterAutospacing="0" w:line="360" w:lineRule="auto"/>
        <w:ind w:left="380"/>
        <w:jc w:val="left"/>
        <w:textAlignment w:val="center"/>
      </w:pPr>
      <w:r>
        <w:t>C．生物种类保持不变</w:t>
      </w:r>
      <w:r>
        <w:tab/>
      </w:r>
      <w:r>
        <w:t>D．地表淡水资源总量减少</w:t>
      </w:r>
    </w:p>
    <w:p>
      <w:pPr>
        <w:spacing w:beforeAutospacing="0" w:afterAutospacing="0" w:line="360" w:lineRule="auto"/>
        <w:jc w:val="left"/>
        <w:textAlignment w:val="center"/>
      </w:pPr>
      <w:r>
        <w:t>18．科学家们在推断海平面上升所淹没的陆地范围时，不作为主要依据的是</w:t>
      </w:r>
    </w:p>
    <w:p>
      <w:pPr>
        <w:spacing w:beforeAutospacing="0" w:afterAutospacing="0" w:line="360" w:lineRule="auto"/>
        <w:ind w:left="380"/>
        <w:jc w:val="left"/>
        <w:textAlignment w:val="center"/>
      </w:pPr>
      <w:r>
        <w:t>A．沿海地区的海拔高度</w:t>
      </w:r>
    </w:p>
    <w:p>
      <w:pPr>
        <w:spacing w:beforeAutospacing="0" w:afterAutospacing="0" w:line="360" w:lineRule="auto"/>
        <w:ind w:left="380"/>
        <w:jc w:val="left"/>
        <w:textAlignment w:val="center"/>
      </w:pPr>
      <w:r>
        <w:t>B．海水受热膨胀的幅度</w:t>
      </w:r>
    </w:p>
    <w:p>
      <w:pPr>
        <w:spacing w:beforeAutospacing="0" w:afterAutospacing="0" w:line="360" w:lineRule="auto"/>
        <w:ind w:left="380"/>
        <w:jc w:val="left"/>
        <w:textAlignment w:val="center"/>
      </w:pPr>
      <w:r>
        <w:t>C．全球冰川融化的总量</w:t>
      </w:r>
    </w:p>
    <w:p>
      <w:pPr>
        <w:spacing w:beforeAutospacing="0" w:afterAutospacing="0" w:line="360" w:lineRule="auto"/>
        <w:ind w:left="380"/>
        <w:jc w:val="left"/>
        <w:textAlignment w:val="center"/>
      </w:pPr>
      <w:r>
        <w:t>D．潮汐规模和洋流方向</w:t>
      </w:r>
    </w:p>
    <w:p>
      <w:pPr>
        <w:spacing w:beforeAutospacing="0" w:afterAutospacing="0" w:line="360" w:lineRule="auto"/>
        <w:jc w:val="left"/>
        <w:textAlignment w:val="center"/>
      </w:pPr>
      <w:r>
        <w:t>19．循环经济是低碳经济的重要形式之一。循环经济旨在生产过程中对物质资源循环高效利用，实现无害、减量排放。天津市采用了许多循环经济的模式。</w:t>
      </w:r>
    </w:p>
    <w:p>
      <w:pPr>
        <w:spacing w:beforeAutospacing="0" w:afterAutospacing="0" w:line="360" w:lineRule="auto"/>
        <w:jc w:val="left"/>
        <w:textAlignment w:val="center"/>
      </w:pPr>
      <w:r>
        <w:t>在下列经济活动中，不属于循环经济的是</w:t>
      </w:r>
    </w:p>
    <w:p>
      <w:pPr>
        <w:numPr>
          <w:ilvl w:val="0"/>
          <w:numId w:val="2"/>
        </w:numPr>
        <w:tabs>
          <w:tab w:val="left" w:pos="2078"/>
          <w:tab w:val="left" w:pos="4156"/>
          <w:tab w:val="left" w:pos="6234"/>
        </w:tabs>
        <w:spacing w:beforeAutospacing="0" w:afterAutospacing="0" w:line="360" w:lineRule="auto"/>
        <w:ind w:left="380"/>
        <w:jc w:val="left"/>
        <w:textAlignment w:val="center"/>
        <w:rPr>
          <w:rFonts w:ascii="Times New Roman" w:eastAsia="Times New Roman" w:hAnsi="Times New Roman" w:cs="Times New Roman"/>
          <w:kern w:val="0"/>
          <w:sz w:val="24"/>
        </w:rPr>
      </w:pPr>
      <w:r>
        <w:rPr>
          <w:rFonts w:ascii="Times New Roman" w:eastAsia="Times New Roman" w:hAnsi="Times New Roman" w:cs="Times New Roman"/>
          <w:kern w:val="0"/>
          <w:sz w:val="24"/>
        </w:rPr>
        <w:drawing>
          <wp:inline distT="0" distB="0" distL="114300" distR="114300">
            <wp:extent cx="1666875" cy="1133475"/>
            <wp:effectExtent l="0" t="0" r="0" b="0"/>
            <wp:docPr id="100021" name="图片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pic:cNvPicPr>
                      <a:picLocks noChangeAspect="1"/>
                    </pic:cNvPicPr>
                  </pic:nvPicPr>
                  <pic:blipFill>
                    <a:blip xmlns:r="http://schemas.openxmlformats.org/officeDocument/2006/relationships" r:embed="rId27"/>
                    <a:stretch>
                      <a:fillRect/>
                    </a:stretch>
                  </pic:blipFill>
                  <pic:spPr>
                    <a:xfrm>
                      <a:off x="0" y="0"/>
                      <a:ext cx="1666875" cy="1133475"/>
                    </a:xfrm>
                    <a:prstGeom prst="rect">
                      <a:avLst/>
                    </a:prstGeom>
                  </pic:spPr>
                </pic:pic>
              </a:graphicData>
            </a:graphic>
          </wp:inline>
        </w:drawing>
      </w:r>
      <w:r>
        <w:tab/>
      </w:r>
      <w:r>
        <w:t>B．</w:t>
      </w:r>
      <w:r>
        <w:rPr>
          <w:rFonts w:ascii="Times New Roman" w:eastAsia="Times New Roman" w:hAnsi="Times New Roman" w:cs="Times New Roman"/>
          <w:kern w:val="0"/>
          <w:sz w:val="24"/>
        </w:rPr>
        <w:drawing>
          <wp:inline distT="0" distB="0" distL="114300" distR="114300">
            <wp:extent cx="1543050" cy="1057275"/>
            <wp:effectExtent l="0" t="0" r="0" b="0"/>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pic:cNvPicPr>
                      <a:picLocks noChangeAspect="1"/>
                    </pic:cNvPicPr>
                  </pic:nvPicPr>
                  <pic:blipFill>
                    <a:blip xmlns:r="http://schemas.openxmlformats.org/officeDocument/2006/relationships" r:embed="rId28"/>
                    <a:stretch>
                      <a:fillRect/>
                    </a:stretch>
                  </pic:blipFill>
                  <pic:spPr>
                    <a:xfrm>
                      <a:off x="0" y="0"/>
                      <a:ext cx="1543050" cy="1057275"/>
                    </a:xfrm>
                    <a:prstGeom prst="rect">
                      <a:avLst/>
                    </a:prstGeom>
                  </pic:spPr>
                </pic:pic>
              </a:graphicData>
            </a:graphic>
          </wp:inline>
        </w:drawing>
      </w:r>
    </w:p>
    <w:p>
      <w:pPr>
        <w:spacing w:beforeAutospacing="0" w:afterAutospacing="0" w:line="360" w:lineRule="auto"/>
        <w:ind w:firstLine="420"/>
        <w:jc w:val="left"/>
        <w:textAlignment w:val="center"/>
        <w:sectPr>
          <w:headerReference w:type="default" r:id="rId29"/>
          <w:footerReference w:type="default" r:id="rId30"/>
          <w:type w:val="nextPage"/>
          <w:pgSz w:w="11906" w:h="16838"/>
          <w:pgMar w:top="1417" w:right="1077" w:bottom="1417" w:left="1077" w:header="708" w:footer="708" w:gutter="0"/>
          <w:pgNumType w:start="6"/>
          <w:cols w:num="1" w:space="708"/>
          <w:titlePg w:val="0"/>
        </w:sectPr>
      </w:pPr>
      <w:r>
        <w:t>C．</w:t>
      </w:r>
      <w:r>
        <w:rPr>
          <w:rFonts w:ascii="Times New Roman" w:eastAsia="Times New Roman" w:hAnsi="Times New Roman" w:cs="Times New Roman"/>
          <w:kern w:val="0"/>
          <w:sz w:val="24"/>
        </w:rPr>
        <w:drawing>
          <wp:inline distT="0" distB="0" distL="114300" distR="114300">
            <wp:extent cx="1466850" cy="1123950"/>
            <wp:effectExtent l="0" t="0" r="0" b="0"/>
            <wp:docPr id="100025"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pic:cNvPicPr>
                      <a:picLocks noChangeAspect="1"/>
                    </pic:cNvPicPr>
                  </pic:nvPicPr>
                  <pic:blipFill>
                    <a:blip xmlns:r="http://schemas.openxmlformats.org/officeDocument/2006/relationships" r:embed="rId31"/>
                    <a:stretch>
                      <a:fillRect/>
                    </a:stretch>
                  </pic:blipFill>
                  <pic:spPr>
                    <a:xfrm>
                      <a:off x="0" y="0"/>
                      <a:ext cx="1466850" cy="1123950"/>
                    </a:xfrm>
                    <a:prstGeom prst="rect">
                      <a:avLst/>
                    </a:prstGeom>
                  </pic:spPr>
                </pic:pic>
              </a:graphicData>
            </a:graphic>
          </wp:inline>
        </w:drawing>
      </w:r>
      <w:r>
        <w:tab/>
      </w:r>
      <w:r>
        <w:t>D．</w:t>
      </w:r>
      <w:r>
        <w:rPr>
          <w:rFonts w:ascii="Times New Roman" w:eastAsia="Times New Roman" w:hAnsi="Times New Roman" w:cs="Times New Roman"/>
          <w:kern w:val="0"/>
          <w:sz w:val="24"/>
        </w:rPr>
        <w:drawing>
          <wp:inline distT="0" distB="0" distL="114300" distR="114300">
            <wp:extent cx="1562100" cy="1123950"/>
            <wp:effectExtent l="0" t="0" r="0" b="0"/>
            <wp:docPr id="100027" name="图片 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pic:cNvPicPr>
                      <a:picLocks noChangeAspect="1"/>
                    </pic:cNvPicPr>
                  </pic:nvPicPr>
                  <pic:blipFill>
                    <a:blip xmlns:r="http://schemas.openxmlformats.org/officeDocument/2006/relationships" r:embed="rId32"/>
                    <a:stretch>
                      <a:fillRect/>
                    </a:stretch>
                  </pic:blipFill>
                  <pic:spPr>
                    <a:xfrm>
                      <a:off x="0" y="0"/>
                      <a:ext cx="1562100" cy="1123950"/>
                    </a:xfrm>
                    <a:prstGeom prst="rect">
                      <a:avLst/>
                    </a:prstGeom>
                  </pic:spPr>
                </pic:pic>
              </a:graphicData>
            </a:graphic>
          </wp:inline>
        </w:drawing>
      </w:r>
      <w:r>
        <w:rPr>
          <w:rFonts w:ascii="Times New Roman" w:eastAsia="黑体" w:hAnsi="Times New Roman" w:cs="Times New Roman"/>
          <w:color w:val="C00000"/>
        </w:rPr>
        <w:t>(2017·浙江</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下图为北半球和全球平均气温距平(相对于1971～2000年平均值)变化图。完成下列各题。</w:t>
      </w:r>
    </w:p>
    <w:p>
      <w:pPr>
        <w:spacing w:beforeAutospacing="0" w:afterAutospacing="0" w:line="360" w:lineRule="auto"/>
        <w:ind w:firstLine="420"/>
        <w:jc w:val="left"/>
        <w:textAlignment w:val="center"/>
      </w:pPr>
      <w:r>
        <w:rPr>
          <w:rFonts w:ascii="Times New Roman" w:eastAsia="Times New Roman" w:hAnsi="Times New Roman" w:cs="Times New Roman"/>
          <w:kern w:val="0"/>
          <w:sz w:val="24"/>
        </w:rPr>
        <w:drawing>
          <wp:inline distT="0" distB="0" distL="114300" distR="114300">
            <wp:extent cx="4371975" cy="2771775"/>
            <wp:effectExtent l="0" t="0" r="0" b="0"/>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pic:cNvPicPr>
                      <a:picLocks noChangeAspect="1"/>
                    </pic:cNvPicPr>
                  </pic:nvPicPr>
                  <pic:blipFill>
                    <a:blip xmlns:r="http://schemas.openxmlformats.org/officeDocument/2006/relationships" r:embed="rId33"/>
                    <a:stretch>
                      <a:fillRect/>
                    </a:stretch>
                  </pic:blipFill>
                  <pic:spPr>
                    <a:xfrm>
                      <a:off x="0" y="0"/>
                      <a:ext cx="4371975" cy="2771775"/>
                    </a:xfrm>
                    <a:prstGeom prst="rect">
                      <a:avLst/>
                    </a:prstGeom>
                  </pic:spPr>
                </pic:pic>
              </a:graphicData>
            </a:graphic>
          </wp:inline>
        </w:drawing>
      </w:r>
    </w:p>
    <w:p>
      <w:pPr>
        <w:spacing w:beforeAutospacing="0" w:afterAutospacing="0" w:line="360" w:lineRule="auto"/>
        <w:jc w:val="left"/>
        <w:textAlignment w:val="center"/>
      </w:pPr>
      <w:r>
        <w:t>20．北半球气温上升幅度最大的时段是(　　)</w:t>
      </w:r>
    </w:p>
    <w:p>
      <w:pPr>
        <w:tabs>
          <w:tab w:val="left" w:pos="4156"/>
        </w:tabs>
        <w:spacing w:beforeAutospacing="0" w:afterAutospacing="0" w:line="360" w:lineRule="auto"/>
        <w:ind w:left="380"/>
        <w:jc w:val="left"/>
        <w:textAlignment w:val="center"/>
      </w:pPr>
      <w:r>
        <w:t>A．1900～1910年</w:t>
      </w:r>
      <w:r>
        <w:tab/>
      </w:r>
      <w:r>
        <w:t>B．1910～1940年</w:t>
      </w:r>
    </w:p>
    <w:p>
      <w:pPr>
        <w:tabs>
          <w:tab w:val="left" w:pos="4156"/>
        </w:tabs>
        <w:spacing w:beforeAutospacing="0" w:afterAutospacing="0" w:line="360" w:lineRule="auto"/>
        <w:ind w:left="380"/>
        <w:jc w:val="left"/>
        <w:textAlignment w:val="center"/>
      </w:pPr>
      <w:r>
        <w:t>C．1940～1975年</w:t>
      </w:r>
      <w:r>
        <w:tab/>
      </w:r>
      <w:r>
        <w:t>D．1975～2010年</w:t>
      </w:r>
    </w:p>
    <w:p>
      <w:pPr>
        <w:spacing w:beforeAutospacing="0" w:afterAutospacing="0" w:line="360" w:lineRule="auto"/>
        <w:jc w:val="left"/>
        <w:textAlignment w:val="center"/>
      </w:pPr>
      <w:r>
        <w:t>21．北半球气温变化显著大于全球，主要是因为北半球(　　)</w:t>
      </w:r>
    </w:p>
    <w:p>
      <w:pPr>
        <w:tabs>
          <w:tab w:val="left" w:pos="4156"/>
        </w:tabs>
        <w:spacing w:beforeAutospacing="0" w:afterAutospacing="0" w:line="360" w:lineRule="auto"/>
        <w:ind w:left="380"/>
        <w:jc w:val="left"/>
        <w:textAlignment w:val="center"/>
      </w:pPr>
      <w:r>
        <w:t>A．纬度较高</w:t>
      </w:r>
      <w:r>
        <w:tab/>
      </w:r>
      <w:r>
        <w:t>B．海拔较低</w:t>
      </w:r>
    </w:p>
    <w:p>
      <w:pPr>
        <w:tabs>
          <w:tab w:val="left" w:pos="4156"/>
        </w:tabs>
        <w:spacing w:beforeAutospacing="0" w:afterAutospacing="0" w:line="360" w:lineRule="auto"/>
        <w:ind w:left="380"/>
        <w:jc w:val="left"/>
        <w:textAlignment w:val="center"/>
      </w:pPr>
      <w:r>
        <w:t>C．陆地面积比例较大</w:t>
      </w:r>
      <w:r>
        <w:tab/>
      </w:r>
      <w:r>
        <w:t>D．森林覆盖面积较大</w:t>
      </w:r>
    </w:p>
    <w:p>
      <w:pPr>
        <w:spacing w:beforeAutospacing="0" w:afterAutospacing="0" w:line="360" w:lineRule="auto"/>
        <w:ind w:firstLine="420" w:firstLineChars="200"/>
        <w:jc w:val="left"/>
        <w:textAlignment w:val="center"/>
      </w:pPr>
      <w:r>
        <w:rPr>
          <w:rFonts w:ascii="Times New Roman" w:eastAsia="黑体" w:hAnsi="Times New Roman" w:cs="Times New Roman"/>
          <w:color w:val="C00000"/>
        </w:rPr>
        <w:t>(2016·上海</w:t>
      </w:r>
      <w:r>
        <w:rPr>
          <w:rFonts w:ascii="Times New Roman" w:eastAsia="黑体" w:hAnsi="Times New Roman" w:cs="Times New Roman" w:hint="eastAsia"/>
          <w:color w:val="C00000"/>
        </w:rPr>
        <w:t>卷</w:t>
      </w:r>
      <w:r>
        <w:rPr>
          <w:rFonts w:ascii="Times New Roman" w:eastAsia="黑体" w:hAnsi="Times New Roman" w:cs="Times New Roman"/>
          <w:color w:val="C00000"/>
        </w:rPr>
        <w:t>)</w:t>
      </w:r>
      <w:r>
        <w:t>气候异常是当今人类面临的重大环境问题,它严重威胁与影响人类的生存与生活。据此完成下面小题。</w:t>
      </w:r>
    </w:p>
    <w:p>
      <w:pPr>
        <w:spacing w:beforeAutospacing="0" w:afterAutospacing="0" w:line="360" w:lineRule="auto"/>
        <w:jc w:val="left"/>
        <w:textAlignment w:val="center"/>
      </w:pPr>
      <w:r>
        <w:t>22．全球气候变暖的趋势会导致</w:t>
      </w:r>
      <w:r>
        <w:rPr>
          <w:rFonts w:ascii="Times New Roman" w:eastAsia="Times New Roman" w:hAnsi="Times New Roman" w:cs="Times New Roman"/>
          <w:kern w:val="0"/>
          <w:sz w:val="24"/>
        </w:rPr>
        <w:t>    </w:t>
      </w:r>
      <w:r>
        <w:t>(　　)</w:t>
      </w:r>
    </w:p>
    <w:p>
      <w:pPr>
        <w:spacing w:beforeAutospacing="0" w:afterAutospacing="0" w:line="360" w:lineRule="auto"/>
        <w:jc w:val="left"/>
        <w:textAlignment w:val="center"/>
      </w:pPr>
      <w:r>
        <w:t>①欧亚大陆的冰川后退　</w:t>
      </w:r>
    </w:p>
    <w:p>
      <w:pPr>
        <w:spacing w:beforeAutospacing="0" w:afterAutospacing="0" w:line="360" w:lineRule="auto"/>
        <w:jc w:val="left"/>
        <w:textAlignment w:val="center"/>
      </w:pPr>
      <w:r>
        <w:t>②太平洋部分岛屿逐渐消失</w:t>
      </w:r>
    </w:p>
    <w:p>
      <w:pPr>
        <w:spacing w:beforeAutospacing="0" w:afterAutospacing="0" w:line="360" w:lineRule="auto"/>
        <w:jc w:val="left"/>
        <w:textAlignment w:val="center"/>
      </w:pPr>
      <w:r>
        <w:t>③北美中高纬小麦减产　</w:t>
      </w:r>
    </w:p>
    <w:p>
      <w:pPr>
        <w:spacing w:beforeAutospacing="0" w:afterAutospacing="0" w:line="360" w:lineRule="auto"/>
        <w:jc w:val="left"/>
        <w:textAlignment w:val="center"/>
      </w:pPr>
      <w:r>
        <w:t>④影响东亚的台风数量减少</w:t>
      </w:r>
    </w:p>
    <w:p>
      <w:pPr>
        <w:tabs>
          <w:tab w:val="left" w:pos="2078"/>
          <w:tab w:val="left" w:pos="4156"/>
          <w:tab w:val="left" w:pos="6234"/>
        </w:tabs>
        <w:spacing w:beforeAutospacing="0" w:afterAutospacing="0" w:line="360" w:lineRule="auto"/>
        <w:ind w:left="380"/>
        <w:jc w:val="left"/>
        <w:textAlignment w:val="center"/>
      </w:pPr>
      <w:r>
        <w:t>A．①②</w:t>
      </w:r>
      <w:r>
        <w:tab/>
      </w:r>
      <w:r>
        <w:t>B．②③</w:t>
      </w:r>
      <w:r>
        <w:tab/>
      </w:r>
      <w:r>
        <w:t>C．③④</w:t>
      </w:r>
      <w:r>
        <w:tab/>
      </w:r>
      <w:r>
        <w:t>D．①④</w:t>
      </w:r>
    </w:p>
    <w:p>
      <w:pPr>
        <w:spacing w:beforeAutospacing="0" w:afterAutospacing="0" w:line="360" w:lineRule="auto"/>
        <w:jc w:val="left"/>
        <w:textAlignment w:val="center"/>
      </w:pPr>
      <w:r>
        <w:t>23．2018年4月,太平洋周边某些国家出现异常高温干旱天气,有专家认为这与厄尔尼诺有关。根据厄尔尼诺影响的一般规律判断,发生干旱的国家可能是 (　　)</w:t>
      </w:r>
    </w:p>
    <w:p>
      <w:pPr>
        <w:tabs>
          <w:tab w:val="left" w:pos="4156"/>
        </w:tabs>
        <w:spacing w:beforeAutospacing="0" w:afterAutospacing="0" w:line="360" w:lineRule="auto"/>
        <w:ind w:left="380"/>
        <w:jc w:val="left"/>
        <w:textAlignment w:val="center"/>
        <w:sectPr>
          <w:headerReference w:type="default" r:id="rId34"/>
          <w:footerReference w:type="default" r:id="rId35"/>
          <w:type w:val="nextPage"/>
          <w:pgSz w:w="11906" w:h="16838"/>
          <w:pgMar w:top="1417" w:right="1077" w:bottom="1417" w:left="1077" w:header="708" w:footer="708" w:gutter="0"/>
          <w:pgNumType w:start="7"/>
          <w:cols w:num="1" w:space="708"/>
          <w:titlePg w:val="0"/>
        </w:sectPr>
      </w:pPr>
      <w:r>
        <w:t>A．日本</w:t>
      </w:r>
      <w:r>
        <w:tab/>
      </w:r>
      <w:r>
        <w:t>B．泰国</w:t>
      </w:r>
    </w:p>
    <w:p>
      <w:pPr>
        <w:tabs>
          <w:tab w:val="left" w:pos="4156"/>
        </w:tabs>
        <w:spacing w:beforeAutospacing="0" w:afterAutospacing="0" w:line="360" w:lineRule="auto"/>
        <w:ind w:left="380"/>
        <w:jc w:val="left"/>
        <w:textAlignment w:val="center"/>
      </w:pPr>
      <w:r>
        <w:t>C．智利</w:t>
      </w:r>
      <w:r>
        <w:tab/>
      </w:r>
      <w:r>
        <w:t>D．秘鲁</w:t>
      </w:r>
    </w:p>
    <w:p>
      <w:pPr>
        <w:spacing w:beforeAutospacing="0" w:afterAutospacing="0" w:line="360" w:lineRule="auto"/>
        <w:ind w:firstLine="630" w:firstLineChars="300"/>
        <w:jc w:val="left"/>
        <w:textAlignment w:val="center"/>
      </w:pPr>
      <w:r>
        <w:rPr>
          <w:rFonts w:ascii="Times New Roman" w:eastAsia="黑体" w:hAnsi="Times New Roman" w:cs="Times New Roman"/>
          <w:color w:val="C00000"/>
        </w:rPr>
        <w:t>(2014·福建</w:t>
      </w:r>
      <w:r>
        <w:rPr>
          <w:rFonts w:ascii="Times New Roman" w:eastAsia="黑体" w:hAnsi="Times New Roman" w:cs="Times New Roman" w:hint="eastAsia"/>
          <w:color w:val="C00000"/>
        </w:rPr>
        <w:t>卷</w:t>
      </w:r>
      <w:r>
        <w:rPr>
          <w:rFonts w:ascii="Times New Roman" w:eastAsia="黑体" w:hAnsi="Times New Roman" w:cs="Times New Roman"/>
          <w:color w:val="C00000"/>
        </w:rPr>
        <w:t>)</w:t>
      </w:r>
      <w:r>
        <w:t>下图示意1972~2011年我国西北地区某流域不同朝向冰川面积的变化(单位:km</w:t>
      </w:r>
      <w:r>
        <w:rPr>
          <w:vertAlign w:val="superscript"/>
        </w:rPr>
        <w:t>2</w:t>
      </w:r>
      <w:r>
        <w:t>)。读图,完成第下面小题。</w:t>
      </w:r>
    </w:p>
    <w:p>
      <w:pPr>
        <w:spacing w:beforeAutospacing="0" w:afterAutospacing="0" w:line="360" w:lineRule="auto"/>
        <w:jc w:val="left"/>
        <w:textAlignment w:val="center"/>
      </w:pPr>
      <w:r>
        <w:rPr>
          <w:rFonts w:ascii="Times New Roman" w:eastAsia="Times New Roman" w:hAnsi="Times New Roman" w:cs="Times New Roman"/>
          <w:kern w:val="0"/>
          <w:sz w:val="24"/>
        </w:rPr>
        <w:drawing>
          <wp:inline distT="0" distB="0" distL="114300" distR="114300">
            <wp:extent cx="1790700" cy="1514475"/>
            <wp:effectExtent l="0" t="0" r="0" b="0"/>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pic:cNvPicPr>
                      <a:picLocks noChangeAspect="1"/>
                    </pic:cNvPicPr>
                  </pic:nvPicPr>
                  <pic:blipFill>
                    <a:blip xmlns:r="http://schemas.openxmlformats.org/officeDocument/2006/relationships" r:embed="rId36" cstate="print"/>
                    <a:stretch>
                      <a:fillRect/>
                    </a:stretch>
                  </pic:blipFill>
                  <pic:spPr>
                    <a:xfrm>
                      <a:off x="0" y="0"/>
                      <a:ext cx="1790700" cy="1514475"/>
                    </a:xfrm>
                    <a:prstGeom prst="rect">
                      <a:avLst/>
                    </a:prstGeom>
                  </pic:spPr>
                </pic:pic>
              </a:graphicData>
            </a:graphic>
          </wp:inline>
        </w:drawing>
      </w:r>
    </w:p>
    <w:p>
      <w:pPr>
        <w:spacing w:beforeAutospacing="0" w:afterAutospacing="0" w:line="360" w:lineRule="auto"/>
        <w:jc w:val="left"/>
        <w:textAlignment w:val="center"/>
      </w:pPr>
      <w:r>
        <w:t>24．造成该流域冰川面积变化的主要原因是(　　)</w:t>
      </w:r>
    </w:p>
    <w:p>
      <w:pPr>
        <w:tabs>
          <w:tab w:val="left" w:pos="4156"/>
        </w:tabs>
        <w:spacing w:beforeAutospacing="0" w:afterAutospacing="0" w:line="360" w:lineRule="auto"/>
        <w:ind w:left="380"/>
        <w:jc w:val="left"/>
        <w:textAlignment w:val="center"/>
      </w:pPr>
      <w:r>
        <w:t>A．气候变暖</w:t>
      </w:r>
      <w:r>
        <w:tab/>
      </w:r>
      <w:r>
        <w:t>B．地壳抬升</w:t>
      </w:r>
    </w:p>
    <w:p>
      <w:pPr>
        <w:tabs>
          <w:tab w:val="left" w:pos="4156"/>
        </w:tabs>
        <w:spacing w:beforeAutospacing="0" w:afterAutospacing="0" w:line="360" w:lineRule="auto"/>
        <w:ind w:left="380"/>
        <w:jc w:val="left"/>
        <w:textAlignment w:val="center"/>
      </w:pPr>
      <w:r>
        <w:t>C．流水搬运</w:t>
      </w:r>
      <w:r>
        <w:tab/>
      </w:r>
      <w:r>
        <w:t>D．风力侵蚀</w:t>
      </w:r>
    </w:p>
    <w:p>
      <w:pPr>
        <w:spacing w:beforeAutospacing="0" w:afterAutospacing="0" w:line="360" w:lineRule="auto"/>
        <w:jc w:val="left"/>
        <w:textAlignment w:val="center"/>
      </w:pPr>
      <w:r>
        <w:t>25．若该流域冰川面积变化趋势不变,将导致(　　)</w:t>
      </w:r>
    </w:p>
    <w:p>
      <w:pPr>
        <w:tabs>
          <w:tab w:val="left" w:pos="4156"/>
        </w:tabs>
        <w:spacing w:beforeAutospacing="0" w:afterAutospacing="0" w:line="360" w:lineRule="auto"/>
        <w:ind w:left="380"/>
        <w:jc w:val="left"/>
        <w:textAlignment w:val="center"/>
      </w:pPr>
      <w:r>
        <w:t>A．冰蚀作用增强</w:t>
      </w:r>
      <w:r>
        <w:tab/>
      </w:r>
      <w:r>
        <w:t>B．绿洲面积增大</w:t>
      </w:r>
    </w:p>
    <w:p>
      <w:pPr>
        <w:tabs>
          <w:tab w:val="left" w:pos="4156"/>
        </w:tabs>
        <w:spacing w:beforeAutospacing="0" w:afterAutospacing="0" w:line="360" w:lineRule="auto"/>
        <w:ind w:left="380"/>
        <w:jc w:val="left"/>
        <w:textAlignment w:val="center"/>
      </w:pPr>
      <w:r>
        <w:t>C．干旱程度加剧</w:t>
      </w:r>
      <w:r>
        <w:tab/>
      </w:r>
      <w:r>
        <w:t>D．流域面积扩大</w:t>
      </w:r>
    </w:p>
    <w:p>
      <w:pPr>
        <w:spacing w:beforeAutospacing="0" w:afterAutospacing="0" w:line="360" w:lineRule="auto"/>
        <w:ind w:firstLine="420"/>
        <w:jc w:val="left"/>
        <w:textAlignment w:val="center"/>
      </w:pPr>
      <w:r>
        <w:rPr>
          <w:rFonts w:ascii="Times New Roman" w:eastAsia="黑体" w:hAnsi="Times New Roman" w:cs="Times New Roman"/>
          <w:color w:val="C00000"/>
        </w:rPr>
        <w:t>(2017·浙江</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多年冻土是长期在0℃或0℃以下冻结并含有冰的土石层。读我国东北地区多年冻土南界变化示意图。完成下列各题。</w:t>
      </w:r>
    </w:p>
    <w:p>
      <w:pPr>
        <w:spacing w:beforeAutospacing="0" w:afterAutospacing="0" w:line="360" w:lineRule="auto"/>
        <w:ind w:firstLine="420"/>
        <w:jc w:val="left"/>
        <w:textAlignment w:val="center"/>
      </w:pPr>
      <w:r>
        <w:drawing>
          <wp:inline distT="0" distB="0" distL="114300" distR="114300">
            <wp:extent cx="2771775" cy="2009775"/>
            <wp:effectExtent l="0" t="0" r="0" b="0"/>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pic:cNvPicPr>
                      <a:picLocks noChangeAspect="1"/>
                    </pic:cNvPicPr>
                  </pic:nvPicPr>
                  <pic:blipFill>
                    <a:blip xmlns:r="http://schemas.openxmlformats.org/officeDocument/2006/relationships" r:embed="rId37"/>
                    <a:stretch>
                      <a:fillRect/>
                    </a:stretch>
                  </pic:blipFill>
                  <pic:spPr>
                    <a:xfrm>
                      <a:off x="0" y="0"/>
                      <a:ext cx="2772162" cy="2010056"/>
                    </a:xfrm>
                    <a:prstGeom prst="rect">
                      <a:avLst/>
                    </a:prstGeom>
                  </pic:spPr>
                </pic:pic>
              </a:graphicData>
            </a:graphic>
          </wp:inline>
        </w:drawing>
      </w:r>
    </w:p>
    <w:p>
      <w:pPr>
        <w:spacing w:beforeAutospacing="0" w:afterAutospacing="0" w:line="360" w:lineRule="auto"/>
        <w:jc w:val="left"/>
        <w:textAlignment w:val="center"/>
      </w:pPr>
      <w:r>
        <w:t>26．与现今相比，该区域17—18世纪处于</w:t>
      </w:r>
    </w:p>
    <w:p>
      <w:pPr>
        <w:tabs>
          <w:tab w:val="left" w:pos="4156"/>
        </w:tabs>
        <w:spacing w:beforeAutospacing="0" w:afterAutospacing="0" w:line="360" w:lineRule="auto"/>
        <w:ind w:left="380"/>
        <w:jc w:val="left"/>
        <w:textAlignment w:val="center"/>
      </w:pPr>
      <w:r>
        <w:t>A．冰期</w:t>
      </w:r>
      <w:r>
        <w:tab/>
      </w:r>
      <w:r>
        <w:t>B．间冰期</w:t>
      </w:r>
    </w:p>
    <w:p>
      <w:pPr>
        <w:tabs>
          <w:tab w:val="left" w:pos="4156"/>
        </w:tabs>
        <w:spacing w:beforeAutospacing="0" w:afterAutospacing="0" w:line="360" w:lineRule="auto"/>
        <w:ind w:left="380"/>
        <w:jc w:val="left"/>
        <w:textAlignment w:val="center"/>
        <w:sectPr>
          <w:headerReference w:type="default" r:id="rId38"/>
          <w:footerReference w:type="default" r:id="rId39"/>
          <w:type w:val="nextPage"/>
          <w:pgSz w:w="11906" w:h="16838"/>
          <w:pgMar w:top="1417" w:right="1077" w:bottom="1417" w:left="1077" w:header="708" w:footer="708" w:gutter="0"/>
          <w:pgNumType w:start="8"/>
          <w:cols w:num="1" w:space="708"/>
          <w:titlePg w:val="0"/>
        </w:sectPr>
      </w:pPr>
      <w:r>
        <w:t>C．温暖期</w:t>
      </w:r>
      <w:r>
        <w:tab/>
      </w:r>
      <w:r>
        <w:t>D．寒冷期</w:t>
      </w:r>
    </w:p>
    <w:p>
      <w:pPr>
        <w:spacing w:beforeAutospacing="0" w:afterAutospacing="0" w:line="360" w:lineRule="auto"/>
        <w:jc w:val="left"/>
        <w:textAlignment w:val="center"/>
      </w:pPr>
      <w:r>
        <w:t>27．多年冻土南界变化后，甲地土壤</w:t>
      </w:r>
    </w:p>
    <w:p>
      <w:pPr>
        <w:tabs>
          <w:tab w:val="left" w:pos="4156"/>
        </w:tabs>
        <w:spacing w:beforeAutospacing="0" w:afterAutospacing="0" w:line="360" w:lineRule="auto"/>
        <w:ind w:left="380"/>
        <w:jc w:val="left"/>
        <w:textAlignment w:val="center"/>
      </w:pPr>
      <w:r>
        <w:t>A．养分循环加快</w:t>
      </w:r>
      <w:r>
        <w:tab/>
      </w:r>
      <w:r>
        <w:t>B．污染程度减轻</w:t>
      </w:r>
    </w:p>
    <w:p>
      <w:pPr>
        <w:tabs>
          <w:tab w:val="left" w:pos="4156"/>
        </w:tabs>
        <w:spacing w:beforeAutospacing="0" w:afterAutospacing="0" w:line="360" w:lineRule="auto"/>
        <w:ind w:left="380"/>
        <w:jc w:val="left"/>
        <w:textAlignment w:val="center"/>
      </w:pPr>
      <w:r>
        <w:t>C．水热条件变差</w:t>
      </w:r>
      <w:r>
        <w:tab/>
      </w:r>
      <w:r>
        <w:t>D．生产潜力下降</w:t>
      </w:r>
    </w:p>
    <w:p>
      <w:pPr>
        <w:spacing w:beforeAutospacing="0" w:afterAutospacing="0" w:line="360" w:lineRule="auto"/>
        <w:jc w:val="left"/>
        <w:textAlignment w:val="center"/>
      </w:pPr>
    </w:p>
    <w:p>
      <w:pPr>
        <w:spacing w:beforeAutospacing="0" w:afterAutospacing="0" w:line="360" w:lineRule="auto"/>
        <w:ind w:firstLine="420"/>
        <w:jc w:val="left"/>
        <w:textAlignment w:val="center"/>
      </w:pPr>
      <w:r>
        <w:rPr>
          <w:rFonts w:ascii="Times New Roman" w:eastAsia="黑体" w:hAnsi="Times New Roman" w:cs="Times New Roman"/>
          <w:color w:val="C00000"/>
        </w:rPr>
        <w:t>(2015·海南</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全球变暖已经成为全世界共同面临的问题,但就升温幅度而言,北半球比南半球大,高纬度地区一般比低纬度地区大。据此完成下面小题。</w:t>
      </w:r>
    </w:p>
    <w:p>
      <w:pPr>
        <w:spacing w:beforeAutospacing="0" w:afterAutospacing="0" w:line="360" w:lineRule="auto"/>
        <w:jc w:val="left"/>
        <w:textAlignment w:val="center"/>
      </w:pPr>
      <w:r>
        <w:t>28．下列四地中升温幅度最大的是</w:t>
      </w:r>
      <w:r>
        <w:rPr>
          <w:rFonts w:ascii="Times New Roman" w:eastAsia="Times New Roman" w:hAnsi="Times New Roman" w:cs="Times New Roman"/>
          <w:kern w:val="0"/>
          <w:sz w:val="24"/>
        </w:rPr>
        <w:t>    </w:t>
      </w:r>
      <w:r>
        <w:t>(　　)</w:t>
      </w:r>
    </w:p>
    <w:p>
      <w:pPr>
        <w:spacing w:beforeAutospacing="0" w:afterAutospacing="0" w:line="360" w:lineRule="auto"/>
        <w:ind w:left="380"/>
        <w:jc w:val="left"/>
        <w:textAlignment w:val="center"/>
      </w:pPr>
      <w:r>
        <w:t>A．蒙古高原</w:t>
      </w:r>
    </w:p>
    <w:p>
      <w:pPr>
        <w:spacing w:beforeAutospacing="0" w:afterAutospacing="0" w:line="360" w:lineRule="auto"/>
        <w:ind w:left="380"/>
        <w:jc w:val="left"/>
        <w:textAlignment w:val="center"/>
      </w:pPr>
      <w:r>
        <w:t>B．亚马孙平原</w:t>
      </w:r>
    </w:p>
    <w:p>
      <w:pPr>
        <w:spacing w:beforeAutospacing="0" w:afterAutospacing="0" w:line="360" w:lineRule="auto"/>
        <w:ind w:left="380"/>
        <w:jc w:val="left"/>
        <w:textAlignment w:val="center"/>
      </w:pPr>
      <w:r>
        <w:t>C．巴西高原</w:t>
      </w:r>
    </w:p>
    <w:p>
      <w:pPr>
        <w:spacing w:beforeAutospacing="0" w:afterAutospacing="0" w:line="360" w:lineRule="auto"/>
        <w:ind w:left="380"/>
        <w:jc w:val="left"/>
        <w:textAlignment w:val="center"/>
      </w:pPr>
      <w:r>
        <w:t>D．长江中下游平原</w:t>
      </w:r>
    </w:p>
    <w:p>
      <w:pPr>
        <w:spacing w:beforeAutospacing="0" w:afterAutospacing="0" w:line="360" w:lineRule="auto"/>
        <w:jc w:val="left"/>
        <w:textAlignment w:val="center"/>
      </w:pPr>
      <w:r>
        <w:t>29．导致南北半球升温差异最主要的原因是</w:t>
      </w:r>
      <w:r>
        <w:rPr>
          <w:rFonts w:ascii="Times New Roman" w:eastAsia="Times New Roman" w:hAnsi="Times New Roman" w:cs="Times New Roman"/>
          <w:kern w:val="0"/>
          <w:sz w:val="24"/>
        </w:rPr>
        <w:t>    </w:t>
      </w:r>
      <w:r>
        <w:t>(　　)</w:t>
      </w:r>
    </w:p>
    <w:p>
      <w:pPr>
        <w:spacing w:beforeAutospacing="0" w:afterAutospacing="0" w:line="360" w:lineRule="auto"/>
        <w:ind w:left="380"/>
        <w:jc w:val="left"/>
        <w:textAlignment w:val="center"/>
      </w:pPr>
      <w:r>
        <w:t>A．大气成分的差异</w:t>
      </w:r>
    </w:p>
    <w:p>
      <w:pPr>
        <w:spacing w:beforeAutospacing="0" w:afterAutospacing="0" w:line="360" w:lineRule="auto"/>
        <w:ind w:left="380"/>
        <w:jc w:val="left"/>
        <w:textAlignment w:val="center"/>
      </w:pPr>
      <w:r>
        <w:t>B．海陆分布的差异</w:t>
      </w:r>
    </w:p>
    <w:p>
      <w:pPr>
        <w:spacing w:beforeAutospacing="0" w:afterAutospacing="0" w:line="360" w:lineRule="auto"/>
        <w:ind w:left="380"/>
        <w:jc w:val="left"/>
        <w:textAlignment w:val="center"/>
      </w:pPr>
      <w:r>
        <w:t>C．太阳辐射的差异</w:t>
      </w:r>
    </w:p>
    <w:p>
      <w:pPr>
        <w:spacing w:beforeAutospacing="0" w:afterAutospacing="0" w:line="360" w:lineRule="auto"/>
        <w:ind w:left="380"/>
        <w:jc w:val="left"/>
        <w:textAlignment w:val="center"/>
      </w:pPr>
      <w:r>
        <w:t>D．大洋环流的差异</w:t>
      </w:r>
    </w:p>
    <w:p>
      <w:pPr>
        <w:spacing w:beforeAutospacing="0" w:afterAutospacing="0" w:line="360" w:lineRule="auto"/>
        <w:ind w:firstLine="420"/>
        <w:jc w:val="left"/>
        <w:textAlignment w:val="center"/>
      </w:pPr>
      <w:r>
        <w:rPr>
          <w:rFonts w:ascii="Times New Roman" w:eastAsia="黑体" w:hAnsi="Times New Roman" w:cs="Times New Roman"/>
          <w:color w:val="C00000"/>
        </w:rPr>
        <w:t>(2020·江苏</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研究人员在调查青藏高原地理环境时，利用遥感技术获得了20世纪80年代以来青藏高原上一千多个湖泊面积的年际变化数据。下图为“青藏高原色林错地区1984年和2015年同期卫星影像图”。据此完成下面小题。</w:t>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https://d.book118.com/515140024304011121</w:t>
        </w:r>
      </w:hyperlink>
    </w:p>
    <w:p>
      <w:pPr>
        <w:spacing w:beforeAutospacing="0" w:afterAutospacing="0" w:line="360" w:lineRule="auto"/>
        <w:ind w:firstLine="420"/>
        <w:jc w:val="left"/>
        <w:textAlignment w:val="center"/>
      </w:pPr>
    </w:p>
    <w:sectPr>
      <w:headerReference w:type="default" r:id="rId41"/>
      <w:footerReference w:type="default" r:id="rId42"/>
      <w:type w:val="nextPage"/>
      <w:pgSz w:w="11906" w:h="16838"/>
      <w:pgMar w:top="1417" w:right="1077" w:bottom="1417" w:left="1077" w:header="708" w:footer="708" w:gutter="0"/>
      <w:pgNumType w:start="9"/>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bookmarkStart w:id="0" w:name="_GoBack"/>
    <w:bookmarkEnd w:id="0"/>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6DEBF15"/>
    <w:multiLevelType w:val="singleLevel"/>
    <w:tmpl w:val="B6DEBF15"/>
    <w:lvl w:ilvl="0">
      <w:start w:val="1"/>
      <w:numFmt w:val="upperLetter"/>
      <w:suff w:val="nothing"/>
      <w:lvlText w:val="%1．"/>
      <w:lvlJc w:val="left"/>
    </w:lvl>
  </w:abstractNum>
  <w:abstractNum w:abstractNumId="1">
    <w:nsid w:val="2C294A74"/>
    <w:multiLevelType w:val="singleLevel"/>
    <w:tmpl w:val="B6DEBF15"/>
    <w:lvl w:ilvl="0">
      <w:start w:val="1"/>
      <w:numFmt w:val="upperLetter"/>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2415"/>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enableOpenTypeFeatures" w:uri="http://schemas.microsoft.com/office/word" w:val="1"/>
    <w:compatSetting w:name="doNotFlipMirrorIndents" w:uri="http://schemas.microsoft.com/office/word" w:val="1"/>
    <w:compatSetting w:name="overrideTableStyleFontSizeAndJustification" w:uri="http://schemas.microsoft.com/office/word" w:val="0"/>
    <w:compatSetting w:name="differentiateMultirowTableHeaders" w:uri="http://schemas.microsoft.com/office/word" w:val="1"/>
  </w:compat>
  <w:rsids>
    <w:rsidRoot w:val="00011DFE"/>
    <w:rsid w:val="00011DFE"/>
    <w:rsid w:val="000F6C48"/>
    <w:rsid w:val="00183E93"/>
    <w:rsid w:val="001E2D3B"/>
    <w:rsid w:val="00242BC8"/>
    <w:rsid w:val="00260DD7"/>
    <w:rsid w:val="002A0771"/>
    <w:rsid w:val="002D135A"/>
    <w:rsid w:val="002D7DF8"/>
    <w:rsid w:val="002F21FF"/>
    <w:rsid w:val="00321139"/>
    <w:rsid w:val="004151FC"/>
    <w:rsid w:val="0046218F"/>
    <w:rsid w:val="00477B92"/>
    <w:rsid w:val="004F2380"/>
    <w:rsid w:val="0064421A"/>
    <w:rsid w:val="00667529"/>
    <w:rsid w:val="00686242"/>
    <w:rsid w:val="006B4E77"/>
    <w:rsid w:val="006D07AF"/>
    <w:rsid w:val="006D56E7"/>
    <w:rsid w:val="006D6B46"/>
    <w:rsid w:val="00717B68"/>
    <w:rsid w:val="007859B3"/>
    <w:rsid w:val="007B7D53"/>
    <w:rsid w:val="0087174D"/>
    <w:rsid w:val="008B5295"/>
    <w:rsid w:val="008E76E4"/>
    <w:rsid w:val="008F3E46"/>
    <w:rsid w:val="00A85543"/>
    <w:rsid w:val="00AB36F5"/>
    <w:rsid w:val="00AB45BF"/>
    <w:rsid w:val="00BE5C37"/>
    <w:rsid w:val="00C02FC6"/>
    <w:rsid w:val="00C65AF0"/>
    <w:rsid w:val="00D157FA"/>
    <w:rsid w:val="00D15D1B"/>
    <w:rsid w:val="00DA10E7"/>
    <w:rsid w:val="00E2057F"/>
    <w:rsid w:val="00FB55B7"/>
    <w:rsid w:val="00FC7954"/>
    <w:rsid w:val="021D0868"/>
    <w:rsid w:val="07DF7FF3"/>
    <w:rsid w:val="0AC23A5B"/>
    <w:rsid w:val="0C3F2E65"/>
    <w:rsid w:val="0CDF3C0C"/>
    <w:rsid w:val="20001C03"/>
    <w:rsid w:val="20580C17"/>
    <w:rsid w:val="258A1911"/>
    <w:rsid w:val="27492835"/>
    <w:rsid w:val="29FF1BC6"/>
    <w:rsid w:val="2B0B4AD7"/>
    <w:rsid w:val="32A60EFA"/>
    <w:rsid w:val="3C1B1ECF"/>
    <w:rsid w:val="3EC77786"/>
    <w:rsid w:val="49AA4F9B"/>
    <w:rsid w:val="4E217FEA"/>
    <w:rsid w:val="5A6000EC"/>
    <w:rsid w:val="66E12DD7"/>
    <w:rsid w:val="67A4786A"/>
    <w:rsid w:val="6C613F7C"/>
  </w:rsids>
  <w:docVars>
    <w:docVar w:name="commondata" w:val="eyJoZGlkIjoiNjY1YTZiYjU1OTA3ZTk5OGQzMzQ5ODc5OTAxMzYxNGQ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uiPriority="59"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b/>
      <w:bCs/>
      <w:color w:val="0000FF"/>
      <w:kern w:val="44"/>
      <w:sz w:val="3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PlainText">
    <w:name w:val="Plain Text"/>
    <w:basedOn w:val="Normal"/>
    <w:link w:val="Char1"/>
    <w:qFormat/>
    <w:rPr>
      <w:rFonts w:ascii="宋体" w:eastAsia="宋体" w:hAnsi="Courier New" w:cs="Courier New"/>
      <w:szCs w:val="21"/>
    </w:rPr>
  </w:style>
  <w:style w:type="paragraph" w:styleId="BalloonText">
    <w:name w:val="Balloon Text"/>
    <w:basedOn w:val="Normal"/>
    <w:link w:val="Char"/>
    <w:uiPriority w:val="99"/>
    <w:semiHidden/>
    <w:unhideWhenUsed/>
    <w:qFormat/>
    <w:rPr>
      <w:sz w:val="18"/>
      <w:szCs w:val="18"/>
    </w:rPr>
  </w:style>
  <w:style w:type="paragraph" w:styleId="Footer">
    <w:name w:val="footer"/>
    <w:basedOn w:val="Normal"/>
    <w:uiPriority w:val="99"/>
    <w:unhideWhenUsed/>
    <w:qFormat/>
    <w:pPr>
      <w:tabs>
        <w:tab w:val="center" w:pos="4153"/>
        <w:tab w:val="right" w:pos="8306"/>
      </w:tabs>
      <w:snapToGrid w:val="0"/>
      <w:jc w:val="left"/>
    </w:pPr>
    <w:rPr>
      <w:sz w:val="18"/>
    </w:rPr>
  </w:style>
  <w:style w:type="paragraph" w:styleId="Header">
    <w:name w:val="header"/>
    <w:basedOn w:val="Normal"/>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uiPriority w:val="39"/>
    <w:unhideWhenUsed/>
    <w:qFormat/>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rPr>
  </w:style>
  <w:style w:type="table" w:styleId="TableGrid">
    <w:name w:val="Table Grid"/>
    <w:basedOn w:val="TableNormal"/>
    <w:uiPriority w:val="59"/>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style>
  <w:style w:type="character" w:styleId="Hyperlink">
    <w:name w:val="Hyperlink"/>
    <w:basedOn w:val="DefaultParagraphFont"/>
    <w:uiPriority w:val="99"/>
    <w:unhideWhenUsed/>
    <w:qFormat/>
    <w:rPr>
      <w:color w:val="0000FF"/>
      <w:u w:val="single"/>
    </w:rPr>
  </w:style>
  <w:style w:type="character" w:customStyle="1" w:styleId="Char">
    <w:name w:val="批注框文本 Char"/>
    <w:basedOn w:val="DefaultParagraphFont"/>
    <w:link w:val="BalloonText"/>
    <w:uiPriority w:val="99"/>
    <w:semiHidden/>
    <w:qFormat/>
    <w:rPr>
      <w:sz w:val="18"/>
      <w:szCs w:val="18"/>
    </w:rPr>
  </w:style>
  <w:style w:type="paragraph" w:customStyle="1" w:styleId="1">
    <w:name w:val="正文1"/>
    <w:qFormat/>
    <w:pPr>
      <w:widowControl w:val="0"/>
      <w:jc w:val="both"/>
    </w:pPr>
    <w:rPr>
      <w:rFonts w:ascii="Calibri" w:eastAsia="宋体" w:hAnsi="Calibri" w:cs="Times New Roman"/>
      <w:kern w:val="2"/>
      <w:sz w:val="21"/>
      <w:szCs w:val="24"/>
      <w:lang w:val="en-US" w:eastAsia="zh-CN" w:bidi="ar-SA"/>
    </w:rPr>
  </w:style>
  <w:style w:type="character" w:customStyle="1" w:styleId="Char0">
    <w:name w:val="纯文本 Char"/>
    <w:basedOn w:val="DefaultParagraphFont"/>
    <w:uiPriority w:val="99"/>
    <w:semiHidden/>
    <w:qFormat/>
    <w:rPr>
      <w:rFonts w:ascii="宋体" w:eastAsia="宋体" w:hAnsi="Courier New" w:cs="Courier New"/>
      <w:szCs w:val="21"/>
    </w:rPr>
  </w:style>
  <w:style w:type="character" w:customStyle="1" w:styleId="Char1">
    <w:name w:val="纯文本 Char1"/>
    <w:link w:val="PlainText"/>
    <w:qFormat/>
    <w:locked/>
    <w:rPr>
      <w:rFonts w:ascii="宋体" w:eastAsia="宋体" w:hAnsi="Courier New" w:cs="Courier New"/>
      <w:szCs w:val="21"/>
    </w:rPr>
  </w:style>
  <w:style w:type="paragraph" w:customStyle="1" w:styleId="10">
    <w:name w:val="样式1"/>
    <w:basedOn w:val="Normal"/>
    <w:qFormat/>
    <w:pPr>
      <w:spacing w:line="360" w:lineRule="auto"/>
    </w:pPr>
    <w:rPr>
      <w:rFonts w:ascii="Times New Roman" w:eastAsia="宋体" w:hAnsi="Times New Roman" w:cs="Times New Roman"/>
    </w:rPr>
  </w:style>
  <w:style w:type="character" w:customStyle="1" w:styleId="1Char">
    <w:name w:val="标题 1 Char"/>
    <w:basedOn w:val="DefaultParagraphFont"/>
    <w:link w:val="Heading1"/>
    <w:uiPriority w:val="9"/>
    <w:qFormat/>
    <w:rPr>
      <w:b/>
      <w:bCs/>
      <w:color w:val="0000FF"/>
      <w:kern w:val="44"/>
      <w:sz w:val="30"/>
      <w:szCs w:val="44"/>
    </w:rPr>
  </w:style>
  <w:style w:type="paragraph" w:customStyle="1" w:styleId="TOC10">
    <w:name w:val="TOC 标题1"/>
    <w:basedOn w:val="Heading1"/>
    <w:next w:val="Normal"/>
    <w:uiPriority w:val="39"/>
    <w:semiHidden/>
    <w:unhideWhenUsed/>
    <w:qFormat/>
    <w:pPr>
      <w:widowControl/>
      <w:spacing w:before="480" w:after="0" w:line="276" w:lineRule="auto"/>
      <w:jc w:val="left"/>
      <w:outlineLvl w:val="9"/>
    </w:pPr>
    <w:rPr>
      <w:rFonts w:asciiTheme="majorHAnsi" w:eastAsiaTheme="majorEastAsia" w:hAnsiTheme="majorHAnsi" w:cstheme="majorBidi"/>
      <w:color w:val="3660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header" Target="header2.xml" /><Relationship Id="rId13" Type="http://schemas.openxmlformats.org/officeDocument/2006/relationships/footer" Target="footer2.xml"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image" Target="media/image9.png" /><Relationship Id="rId19" Type="http://schemas.openxmlformats.org/officeDocument/2006/relationships/header" Target="header3.xml" /><Relationship Id="rId2" Type="http://schemas.openxmlformats.org/officeDocument/2006/relationships/webSettings" Target="webSettings.xml" /><Relationship Id="rId20" Type="http://schemas.openxmlformats.org/officeDocument/2006/relationships/footer" Target="footer3.xml" /><Relationship Id="rId21" Type="http://schemas.openxmlformats.org/officeDocument/2006/relationships/image" Target="media/image10.png" /><Relationship Id="rId22" Type="http://schemas.openxmlformats.org/officeDocument/2006/relationships/header" Target="header4.xml" /><Relationship Id="rId23" Type="http://schemas.openxmlformats.org/officeDocument/2006/relationships/footer" Target="footer4.xml" /><Relationship Id="rId24" Type="http://schemas.openxmlformats.org/officeDocument/2006/relationships/header" Target="header5.xml" /><Relationship Id="rId25" Type="http://schemas.openxmlformats.org/officeDocument/2006/relationships/footer" Target="footer5.xml" /><Relationship Id="rId26" Type="http://schemas.openxmlformats.org/officeDocument/2006/relationships/image" Target="media/image11.png" /><Relationship Id="rId27" Type="http://schemas.openxmlformats.org/officeDocument/2006/relationships/image" Target="media/image12.png" /><Relationship Id="rId28" Type="http://schemas.openxmlformats.org/officeDocument/2006/relationships/image" Target="media/image13.png" /><Relationship Id="rId29" Type="http://schemas.openxmlformats.org/officeDocument/2006/relationships/header" Target="header6.xml" /><Relationship Id="rId3" Type="http://schemas.openxmlformats.org/officeDocument/2006/relationships/fontTable" Target="fontTable.xml" /><Relationship Id="rId30" Type="http://schemas.openxmlformats.org/officeDocument/2006/relationships/footer" Target="footer6.xml" /><Relationship Id="rId31" Type="http://schemas.openxmlformats.org/officeDocument/2006/relationships/image" Target="media/image14.png" /><Relationship Id="rId32" Type="http://schemas.openxmlformats.org/officeDocument/2006/relationships/image" Target="media/image15.png" /><Relationship Id="rId33" Type="http://schemas.openxmlformats.org/officeDocument/2006/relationships/image" Target="media/image16.png" /><Relationship Id="rId34" Type="http://schemas.openxmlformats.org/officeDocument/2006/relationships/header" Target="header7.xml" /><Relationship Id="rId35" Type="http://schemas.openxmlformats.org/officeDocument/2006/relationships/footer" Target="footer7.xml" /><Relationship Id="rId36" Type="http://schemas.openxmlformats.org/officeDocument/2006/relationships/image" Target="media/image17.png" /><Relationship Id="rId37" Type="http://schemas.openxmlformats.org/officeDocument/2006/relationships/image" Target="media/image18.png" /><Relationship Id="rId38" Type="http://schemas.openxmlformats.org/officeDocument/2006/relationships/header" Target="header8.xml" /><Relationship Id="rId39" Type="http://schemas.openxmlformats.org/officeDocument/2006/relationships/footer" Target="footer8.xml" /><Relationship Id="rId4" Type="http://schemas.openxmlformats.org/officeDocument/2006/relationships/customXml" Target="../customXml/item1.xml" /><Relationship Id="rId40" Type="http://schemas.openxmlformats.org/officeDocument/2006/relationships/hyperlink" Target="https://d.book118.com/515140024304011121" TargetMode="External" /><Relationship Id="rId41" Type="http://schemas.openxmlformats.org/officeDocument/2006/relationships/header" Target="header9.xml" /><Relationship Id="rId42" Type="http://schemas.openxmlformats.org/officeDocument/2006/relationships/footer" Target="footer9.xml" /><Relationship Id="rId43" Type="http://schemas.openxmlformats.org/officeDocument/2006/relationships/theme" Target="theme/theme1.xml" /><Relationship Id="rId44" Type="http://schemas.openxmlformats.org/officeDocument/2006/relationships/numbering" Target="numbering.xml" /><Relationship Id="rId45"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6EDA09-75B2-4C2E-952C-993C2CC56AB6}">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6305</Words>
  <Characters>6744</Characters>
  <Application>Microsoft Office Word</Application>
  <DocSecurity>0</DocSecurity>
  <Lines>52</Lines>
  <Paragraphs>14</Paragraphs>
  <ScaleCrop>false</ScaleCrop>
  <Company/>
  <LinksUpToDate>false</LinksUpToDate>
  <CharactersWithSpaces>7139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lyp</cp:lastModifiedBy>
  <cp:revision>10</cp:revision>
  <dcterms:created xsi:type="dcterms:W3CDTF">2023-06-21T00:24:00Z</dcterms:created>
  <dcterms:modified xsi:type="dcterms:W3CDTF">2024-03-11T21:00:55Z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