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464" w:lineRule="exact"/>
        <w:ind w:firstLine="13229"/>
      </w:pPr>
      <w:r>
        <w:drawing>
          <wp:anchor distT="0" distB="0" distL="0" distR="0" simplePos="0" relativeHeight="251658240" behindDoc="0" locked="0" layoutInCell="0" allowOverlap="1">
            <wp:simplePos x="0" y="0"/>
            <wp:positionH relativeFrom="page">
              <wp:posOffset>1074175</wp:posOffset>
            </wp:positionH>
            <wp:positionV relativeFrom="page">
              <wp:posOffset>5085123</wp:posOffset>
            </wp:positionV>
            <wp:extent cx="12138380" cy="12473"/>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12138380" cy="12473"/>
                    </a:xfrm>
                    <a:prstGeom prst="rect">
                      <a:avLst/>
                    </a:prstGeom>
                  </pic:spPr>
                </pic:pic>
              </a:graphicData>
            </a:graphic>
          </wp:anchor>
        </w:drawing>
      </w:r>
      <w:r>
        <w:drawing>
          <wp:anchor distT="0" distB="0" distL="0" distR="0" simplePos="0" relativeHeight="251659264" behindDoc="0" locked="0" layoutInCell="0" allowOverlap="1">
            <wp:simplePos x="0" y="0"/>
            <wp:positionH relativeFrom="page">
              <wp:posOffset>1067891</wp:posOffset>
            </wp:positionH>
            <wp:positionV relativeFrom="page">
              <wp:posOffset>17937546</wp:posOffset>
            </wp:positionV>
            <wp:extent cx="12113530" cy="12271"/>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5"/>
                    <a:stretch>
                      <a:fillRect/>
                    </a:stretch>
                  </pic:blipFill>
                  <pic:spPr>
                    <a:xfrm>
                      <a:off x="0" y="0"/>
                      <a:ext cx="12113530" cy="12271"/>
                    </a:xfrm>
                    <a:prstGeom prst="rect">
                      <a:avLst/>
                    </a:prstGeom>
                  </pic:spPr>
                </pic:pic>
              </a:graphicData>
            </a:graphic>
          </wp:anchor>
        </w:drawing>
      </w:r>
      <w:r>
        <w:rPr>
          <w:position w:val="-49"/>
        </w:rPr>
        <w:drawing>
          <wp:inline distT="0" distB="0" distL="0" distR="0">
            <wp:extent cx="3067297" cy="1564685"/>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6"/>
                    <a:stretch>
                      <a:fillRect/>
                    </a:stretch>
                  </pic:blipFill>
                  <pic:spPr>
                    <a:xfrm>
                      <a:off x="0" y="0"/>
                      <a:ext cx="3067297" cy="1564685"/>
                    </a:xfrm>
                    <a:prstGeom prst="rect">
                      <a:avLst/>
                    </a:prstGeom>
                  </pic:spPr>
                </pic:pic>
              </a:graphicData>
            </a:graphic>
          </wp:inline>
        </w:drawing>
      </w:r>
    </w:p>
    <w:p>
      <w:pPr>
        <w:spacing w:line="264" w:lineRule="auto"/>
        <w:rPr>
          <w:rFonts w:ascii="Arial"/>
          <w:sz w:val="21"/>
        </w:rPr>
      </w:pPr>
    </w:p>
    <w:p>
      <w:pPr>
        <w:spacing w:line="264" w:lineRule="auto"/>
        <w:rPr>
          <w:rFonts w:ascii="Arial"/>
          <w:sz w:val="21"/>
        </w:rPr>
      </w:pPr>
    </w:p>
    <w:p>
      <w:pPr>
        <w:spacing w:before="322" w:line="223" w:lineRule="auto"/>
        <w:ind w:left="268"/>
        <w:outlineLvl w:val="0"/>
        <w:rPr>
          <w:rFonts w:ascii="SimHei" w:eastAsia="SimHei" w:hAnsi="SimHei" w:cs="SimHei"/>
          <w:sz w:val="99"/>
          <w:szCs w:val="99"/>
        </w:rPr>
      </w:pPr>
      <w:r>
        <w:rPr>
          <w:rFonts w:ascii="SimHei" w:eastAsia="SimHei" w:hAnsi="SimHei" w:cs="SimHei"/>
          <w:b/>
          <w:bCs/>
          <w:spacing w:val="43"/>
          <w:sz w:val="99"/>
          <w:szCs w:val="99"/>
        </w:rPr>
        <w:t>中华人民共和国出入境检验检疫行业标准</w:t>
      </w:r>
    </w:p>
    <w:p>
      <w:pPr>
        <w:spacing w:line="330" w:lineRule="auto"/>
        <w:rPr>
          <w:rFonts w:ascii="Arial"/>
          <w:sz w:val="21"/>
        </w:rPr>
      </w:pPr>
    </w:p>
    <w:p>
      <w:pPr>
        <w:spacing w:line="331" w:lineRule="auto"/>
        <w:rPr>
          <w:rFonts w:ascii="Arial"/>
          <w:sz w:val="21"/>
        </w:rPr>
      </w:pPr>
    </w:p>
    <w:p>
      <w:pPr>
        <w:pStyle w:val="BodyText"/>
        <w:spacing w:before="192" w:line="226" w:lineRule="auto"/>
        <w:ind w:left="14256"/>
      </w:pPr>
      <w:r>
        <w:rPr>
          <w:spacing w:val="-9"/>
        </w:rPr>
        <w:t>SN/T 4470—2016</w:t>
      </w: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before="322" w:line="222" w:lineRule="auto"/>
        <w:ind w:left="1529"/>
        <w:rPr>
          <w:rFonts w:ascii="SimHei" w:eastAsia="SimHei" w:hAnsi="SimHei" w:cs="SimHei"/>
          <w:sz w:val="99"/>
          <w:szCs w:val="99"/>
        </w:rPr>
      </w:pPr>
      <w:r>
        <w:rPr>
          <w:rFonts w:ascii="SimHei" w:eastAsia="SimHei" w:hAnsi="SimHei" w:cs="SimHei"/>
          <w:b/>
          <w:bCs/>
          <w:spacing w:val="71"/>
          <w:sz w:val="99"/>
          <w:szCs w:val="99"/>
        </w:rPr>
        <w:t>进出口危险化学品检验规程</w:t>
      </w:r>
      <w:r>
        <w:rPr>
          <w:rFonts w:ascii="SimHei" w:eastAsia="SimHei" w:hAnsi="SimHei" w:cs="SimHei"/>
          <w:spacing w:val="71"/>
          <w:sz w:val="99"/>
          <w:szCs w:val="99"/>
        </w:rPr>
        <w:t xml:space="preserve">  </w:t>
      </w:r>
      <w:r>
        <w:rPr>
          <w:rFonts w:ascii="SimHei" w:eastAsia="SimHei" w:hAnsi="SimHei" w:cs="SimHei"/>
          <w:b/>
          <w:bCs/>
          <w:spacing w:val="71"/>
          <w:sz w:val="99"/>
          <w:szCs w:val="99"/>
        </w:rPr>
        <w:t>苯酚</w:t>
      </w:r>
    </w:p>
    <w:p>
      <w:pPr>
        <w:spacing w:line="260" w:lineRule="auto"/>
        <w:rPr>
          <w:rFonts w:ascii="Arial"/>
          <w:sz w:val="21"/>
        </w:rPr>
      </w:pPr>
    </w:p>
    <w:p>
      <w:pPr>
        <w:spacing w:line="261" w:lineRule="auto"/>
        <w:rPr>
          <w:rFonts w:ascii="Arial"/>
          <w:sz w:val="21"/>
        </w:rPr>
      </w:pPr>
    </w:p>
    <w:p>
      <w:pPr>
        <w:spacing w:line="261" w:lineRule="auto"/>
        <w:rPr>
          <w:rFonts w:ascii="Arial"/>
          <w:sz w:val="21"/>
        </w:rPr>
      </w:pPr>
    </w:p>
    <w:p>
      <w:pPr>
        <w:spacing w:before="144" w:line="192" w:lineRule="auto"/>
        <w:ind w:left="635"/>
        <w:rPr>
          <w:rFonts w:ascii="Times New Roman" w:eastAsia="Times New Roman" w:hAnsi="Times New Roman" w:cs="Times New Roman"/>
          <w:sz w:val="50"/>
          <w:szCs w:val="50"/>
        </w:rPr>
      </w:pPr>
      <w:r>
        <w:rPr>
          <w:rFonts w:ascii="Times New Roman" w:eastAsia="Times New Roman" w:hAnsi="Times New Roman" w:cs="Times New Roman"/>
          <w:b/>
          <w:bCs/>
          <w:sz w:val="50"/>
          <w:szCs w:val="50"/>
        </w:rPr>
        <w:t>Inspection</w:t>
      </w:r>
      <w:r>
        <w:rPr>
          <w:rFonts w:ascii="Times New Roman" w:eastAsia="Times New Roman" w:hAnsi="Times New Roman" w:cs="Times New Roman"/>
          <w:b/>
          <w:bCs/>
          <w:spacing w:val="24"/>
          <w:sz w:val="50"/>
          <w:szCs w:val="50"/>
        </w:rPr>
        <w:t xml:space="preserve">  </w:t>
      </w:r>
      <w:r>
        <w:rPr>
          <w:rFonts w:ascii="Times New Roman" w:eastAsia="Times New Roman" w:hAnsi="Times New Roman" w:cs="Times New Roman"/>
          <w:b/>
          <w:bCs/>
          <w:sz w:val="50"/>
          <w:szCs w:val="50"/>
        </w:rPr>
        <w:t>rules</w:t>
      </w:r>
      <w:r>
        <w:rPr>
          <w:rFonts w:ascii="Times New Roman" w:eastAsia="Times New Roman" w:hAnsi="Times New Roman" w:cs="Times New Roman"/>
          <w:b/>
          <w:bCs/>
          <w:spacing w:val="24"/>
          <w:sz w:val="50"/>
          <w:szCs w:val="50"/>
        </w:rPr>
        <w:t xml:space="preserve">  </w:t>
      </w:r>
      <w:r>
        <w:rPr>
          <w:rFonts w:ascii="Times New Roman" w:eastAsia="Times New Roman" w:hAnsi="Times New Roman" w:cs="Times New Roman"/>
          <w:b/>
          <w:bCs/>
          <w:sz w:val="50"/>
          <w:szCs w:val="50"/>
        </w:rPr>
        <w:t>for</w:t>
      </w:r>
      <w:r>
        <w:rPr>
          <w:rFonts w:ascii="Times New Roman" w:eastAsia="Times New Roman" w:hAnsi="Times New Roman" w:cs="Times New Roman"/>
          <w:b/>
          <w:bCs/>
          <w:spacing w:val="24"/>
          <w:sz w:val="50"/>
          <w:szCs w:val="50"/>
        </w:rPr>
        <w:t xml:space="preserve">  </w:t>
      </w:r>
      <w:r>
        <w:rPr>
          <w:rFonts w:ascii="Times New Roman" w:eastAsia="Times New Roman" w:hAnsi="Times New Roman" w:cs="Times New Roman"/>
          <w:b/>
          <w:bCs/>
          <w:sz w:val="50"/>
          <w:szCs w:val="50"/>
        </w:rPr>
        <w:t>import</w:t>
      </w:r>
      <w:r>
        <w:rPr>
          <w:rFonts w:ascii="Times New Roman" w:eastAsia="Times New Roman" w:hAnsi="Times New Roman" w:cs="Times New Roman"/>
          <w:b/>
          <w:bCs/>
          <w:spacing w:val="24"/>
          <w:sz w:val="50"/>
          <w:szCs w:val="50"/>
        </w:rPr>
        <w:t xml:space="preserve">  </w:t>
      </w:r>
      <w:r>
        <w:rPr>
          <w:rFonts w:ascii="Times New Roman" w:eastAsia="Times New Roman" w:hAnsi="Times New Roman" w:cs="Times New Roman"/>
          <w:b/>
          <w:bCs/>
          <w:sz w:val="50"/>
          <w:szCs w:val="50"/>
        </w:rPr>
        <w:t>and</w:t>
      </w:r>
      <w:r>
        <w:rPr>
          <w:rFonts w:ascii="Times New Roman" w:eastAsia="Times New Roman" w:hAnsi="Times New Roman" w:cs="Times New Roman"/>
          <w:b/>
          <w:bCs/>
          <w:spacing w:val="16"/>
          <w:sz w:val="50"/>
          <w:szCs w:val="50"/>
        </w:rPr>
        <w:t xml:space="preserve">  </w:t>
      </w:r>
      <w:r>
        <w:rPr>
          <w:rFonts w:ascii="Times New Roman" w:eastAsia="Times New Roman" w:hAnsi="Times New Roman" w:cs="Times New Roman"/>
          <w:b/>
          <w:bCs/>
          <w:sz w:val="50"/>
          <w:szCs w:val="50"/>
        </w:rPr>
        <w:t>export</w:t>
      </w:r>
      <w:r>
        <w:rPr>
          <w:rFonts w:ascii="Times New Roman" w:eastAsia="Times New Roman" w:hAnsi="Times New Roman" w:cs="Times New Roman"/>
          <w:b/>
          <w:bCs/>
          <w:spacing w:val="15"/>
          <w:sz w:val="50"/>
          <w:szCs w:val="50"/>
        </w:rPr>
        <w:t xml:space="preserve">  </w:t>
      </w:r>
      <w:r>
        <w:rPr>
          <w:rFonts w:ascii="Times New Roman" w:eastAsia="Times New Roman" w:hAnsi="Times New Roman" w:cs="Times New Roman"/>
          <w:b/>
          <w:bCs/>
          <w:sz w:val="50"/>
          <w:szCs w:val="50"/>
        </w:rPr>
        <w:t>dangerous</w:t>
      </w:r>
      <w:r>
        <w:rPr>
          <w:rFonts w:ascii="Times New Roman" w:eastAsia="Times New Roman" w:hAnsi="Times New Roman" w:cs="Times New Roman"/>
          <w:b/>
          <w:bCs/>
          <w:spacing w:val="16"/>
          <w:sz w:val="50"/>
          <w:szCs w:val="50"/>
        </w:rPr>
        <w:t xml:space="preserve">  </w:t>
      </w:r>
      <w:r>
        <w:rPr>
          <w:rFonts w:ascii="Times New Roman" w:eastAsia="Times New Roman" w:hAnsi="Times New Roman" w:cs="Times New Roman"/>
          <w:b/>
          <w:bCs/>
          <w:sz w:val="50"/>
          <w:szCs w:val="50"/>
        </w:rPr>
        <w:t>chemical</w:t>
      </w:r>
      <w:r>
        <w:rPr>
          <w:rFonts w:ascii="Times New Roman" w:eastAsia="Times New Roman" w:hAnsi="Times New Roman" w:cs="Times New Roman"/>
          <w:b/>
          <w:bCs/>
          <w:spacing w:val="10"/>
          <w:sz w:val="50"/>
          <w:szCs w:val="50"/>
        </w:rPr>
        <w:t xml:space="preserve">  </w:t>
      </w:r>
      <w:r>
        <w:rPr>
          <w:rFonts w:ascii="Times New Roman" w:eastAsia="Times New Roman" w:hAnsi="Times New Roman" w:cs="Times New Roman"/>
          <w:b/>
          <w:bCs/>
          <w:sz w:val="50"/>
          <w:szCs w:val="50"/>
        </w:rPr>
        <w:t>products</w:t>
      </w:r>
      <w:r>
        <w:rPr>
          <w:rFonts w:ascii="Times New Roman" w:eastAsia="Times New Roman" w:hAnsi="Times New Roman" w:cs="Times New Roman"/>
          <w:b/>
          <w:bCs/>
          <w:spacing w:val="24"/>
          <w:sz w:val="50"/>
          <w:szCs w:val="50"/>
        </w:rPr>
        <w:t>—</w:t>
      </w:r>
      <w:r>
        <w:rPr>
          <w:rFonts w:ascii="Times New Roman" w:eastAsia="Times New Roman" w:hAnsi="Times New Roman" w:cs="Times New Roman"/>
          <w:b/>
          <w:bCs/>
          <w:sz w:val="50"/>
          <w:szCs w:val="50"/>
        </w:rPr>
        <w:t>Phenol</w:t>
      </w: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sectPr>
          <w:pgSz w:w="22489" w:h="31680"/>
          <w:pgMar w:top="997" w:right="1681" w:bottom="0" w:left="1681" w:header="0" w:footer="0" w:gutter="0"/>
          <w:cols w:num="1" w:space="708" w:equalWidth="0">
            <w:col w:w="19126" w:space="0"/>
          </w:cols>
        </w:sectPr>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3"/>
      </w:pPr>
    </w:p>
    <w:p>
      <w:pPr>
        <w:spacing w:before="3"/>
      </w:pPr>
    </w:p>
    <w:p>
      <w:pPr>
        <w:spacing w:before="3"/>
      </w:pPr>
    </w:p>
    <w:p>
      <w:pPr>
        <w:spacing w:before="3"/>
      </w:pPr>
    </w:p>
    <w:p>
      <w:pPr>
        <w:spacing w:before="3"/>
      </w:pPr>
    </w:p>
    <w:p>
      <w:pPr>
        <w:spacing w:before="3"/>
      </w:pPr>
    </w:p>
    <w:p>
      <w:pPr>
        <w:spacing w:before="3"/>
      </w:pPr>
    </w:p>
    <w:p>
      <w:pPr>
        <w:sectPr>
          <w:type w:val="nextPage"/>
          <w:pgSz w:w="22489" w:h="31680"/>
          <w:pgMar w:top="997" w:right="1681" w:bottom="0" w:left="1681" w:header="0" w:footer="0" w:gutter="0"/>
          <w:pgNumType w:start="2"/>
          <w:cols w:num="1" w:space="708" w:equalWidth="0">
            <w:col w:w="19126" w:space="0"/>
          </w:cols>
          <w:titlePg w:val="0"/>
        </w:sectPr>
      </w:pPr>
    </w:p>
    <w:p>
      <w:pPr>
        <w:spacing w:before="109" w:line="191" w:lineRule="auto"/>
        <w:ind w:left="75"/>
        <w:rPr>
          <w:rFonts w:ascii="SimHei" w:eastAsia="SimHei" w:hAnsi="SimHei" w:cs="SimHei"/>
          <w:sz w:val="50"/>
          <w:szCs w:val="50"/>
        </w:rPr>
      </w:pPr>
      <w:r>
        <w:rPr>
          <w:rFonts w:ascii="SimHei" w:eastAsia="SimHei" w:hAnsi="SimHei" w:cs="SimHei"/>
          <w:b/>
          <w:bCs/>
          <w:spacing w:val="13"/>
          <w:sz w:val="50"/>
          <w:szCs w:val="50"/>
        </w:rPr>
        <w:t>2016-03-09发布</w:t>
      </w:r>
    </w:p>
    <w:p>
      <w:pPr>
        <w:spacing w:line="14" w:lineRule="auto"/>
        <w:rPr>
          <w:rFonts w:ascii="Arial"/>
          <w:sz w:val="2"/>
        </w:rPr>
      </w:pPr>
      <w:r>
        <w:rPr>
          <w:rFonts w:ascii="Arial" w:eastAsia="Arial" w:hAnsi="Arial" w:cs="Arial"/>
          <w:sz w:val="2"/>
          <w:szCs w:val="2"/>
        </w:rPr>
        <w:br w:type="column"/>
      </w:r>
    </w:p>
    <w:p>
      <w:pPr>
        <w:spacing w:before="102" w:line="193" w:lineRule="auto"/>
        <w:rPr>
          <w:rFonts w:ascii="SimHei" w:eastAsia="SimHei" w:hAnsi="SimHei" w:cs="SimHei"/>
          <w:sz w:val="50"/>
          <w:szCs w:val="50"/>
        </w:rPr>
      </w:pPr>
      <w:r>
        <w:rPr>
          <w:rFonts w:ascii="SimHei" w:eastAsia="SimHei" w:hAnsi="SimHei" w:cs="SimHei"/>
          <w:b/>
          <w:bCs/>
          <w:spacing w:val="-4"/>
          <w:sz w:val="50"/>
          <w:szCs w:val="50"/>
        </w:rPr>
        <w:t>2016-10-01</w:t>
      </w:r>
      <w:r>
        <w:rPr>
          <w:rFonts w:ascii="SimHei" w:eastAsia="SimHei" w:hAnsi="SimHei" w:cs="SimHei"/>
          <w:spacing w:val="-37"/>
          <w:sz w:val="50"/>
          <w:szCs w:val="50"/>
        </w:rPr>
        <w:t xml:space="preserve"> </w:t>
      </w:r>
      <w:r>
        <w:rPr>
          <w:rFonts w:ascii="SimHei" w:eastAsia="SimHei" w:hAnsi="SimHei" w:cs="SimHei"/>
          <w:b/>
          <w:bCs/>
          <w:spacing w:val="-4"/>
          <w:sz w:val="50"/>
          <w:szCs w:val="50"/>
        </w:rPr>
        <w:t>实施</w:t>
      </w:r>
    </w:p>
    <w:p>
      <w:pPr>
        <w:spacing w:line="193" w:lineRule="auto"/>
        <w:rPr>
          <w:rFonts w:ascii="SimHei" w:eastAsia="SimHei" w:hAnsi="SimHei" w:cs="SimHei"/>
          <w:sz w:val="50"/>
          <w:szCs w:val="50"/>
        </w:rPr>
        <w:sectPr>
          <w:type w:val="continuous"/>
          <w:pgSz w:w="22489" w:h="31680"/>
          <w:pgMar w:top="997" w:right="1681" w:bottom="0" w:left="1681" w:header="0" w:footer="0" w:gutter="0"/>
          <w:pgNumType w:start="3"/>
          <w:cols w:num="2" w:space="708" w:equalWidth="0">
            <w:col w:w="15200" w:space="100"/>
            <w:col w:w="3826" w:space="0"/>
          </w:cols>
        </w:sectPr>
      </w:pPr>
    </w:p>
    <w:p>
      <w:pPr>
        <w:spacing w:line="289" w:lineRule="auto"/>
        <w:rPr>
          <w:rFonts w:ascii="Arial"/>
          <w:sz w:val="21"/>
        </w:rPr>
      </w:pPr>
    </w:p>
    <w:p>
      <w:pPr>
        <w:spacing w:line="289" w:lineRule="auto"/>
        <w:rPr>
          <w:rFonts w:ascii="Arial"/>
          <w:sz w:val="21"/>
        </w:rPr>
      </w:pPr>
    </w:p>
    <w:p>
      <w:pPr>
        <w:spacing w:line="289" w:lineRule="auto"/>
        <w:rPr>
          <w:rFonts w:ascii="Arial"/>
          <w:sz w:val="21"/>
        </w:rPr>
      </w:pPr>
    </w:p>
    <w:p>
      <w:pPr>
        <w:spacing w:line="290" w:lineRule="auto"/>
        <w:rPr>
          <w:rFonts w:ascii="Arial"/>
          <w:sz w:val="21"/>
        </w:rPr>
      </w:pPr>
    </w:p>
    <w:p>
      <w:pPr>
        <w:pStyle w:val="BodyText"/>
        <w:spacing w:before="192" w:line="197" w:lineRule="auto"/>
        <w:ind w:left="3694"/>
        <w:rPr>
          <w:rFonts w:ascii="SimHei" w:eastAsia="SimHei" w:hAnsi="SimHei" w:cs="SimHei"/>
          <w:sz w:val="50"/>
          <w:szCs w:val="50"/>
        </w:rPr>
      </w:pPr>
      <w:r>
        <w:pict>
          <v:shapetype id="_x0000_t202" coordsize="21600,21600" o:spt="202" path="m,l,21600r21600,l21600,xe">
            <v:stroke joinstyle="miter"/>
            <v:path gradientshapeok="t" o:connecttype="rect"/>
          </v:shapetype>
          <v:shape id="_x0000_s1025" type="#_x0000_t202" style="width:493.7pt;height:37.4pt;margin-top:39.42pt;margin-left:184.72pt;position:absolute;z-index:251660288" filled="f" stroked="f">
            <o:lock v:ext="edit" aspectratio="f"/>
            <v:textbox inset="0,0,0,0">
              <w:txbxContent>
                <w:p>
                  <w:pPr>
                    <w:pStyle w:val="BodyText"/>
                    <w:spacing w:before="21" w:line="221" w:lineRule="auto"/>
                    <w:jc w:val="right"/>
                  </w:pPr>
                  <w:r>
                    <w:rPr>
                      <w:b/>
                      <w:bCs/>
                      <w:spacing w:val="-25"/>
                    </w:rPr>
                    <w:t>国</w:t>
                  </w:r>
                  <w:r>
                    <w:rPr>
                      <w:spacing w:val="-25"/>
                    </w:rPr>
                    <w:t xml:space="preserve"> </w:t>
                  </w:r>
                  <w:r>
                    <w:rPr>
                      <w:b/>
                      <w:bCs/>
                      <w:spacing w:val="-25"/>
                    </w:rPr>
                    <w:t>家</w:t>
                  </w:r>
                  <w:r>
                    <w:rPr>
                      <w:spacing w:val="-25"/>
                    </w:rPr>
                    <w:t xml:space="preserve"> </w:t>
                  </w:r>
                  <w:r>
                    <w:rPr>
                      <w:b/>
                      <w:bCs/>
                      <w:spacing w:val="-25"/>
                    </w:rPr>
                    <w:t>质</w:t>
                  </w:r>
                  <w:r>
                    <w:rPr>
                      <w:spacing w:val="-25"/>
                    </w:rPr>
                    <w:t xml:space="preserve"> </w:t>
                  </w:r>
                  <w:r>
                    <w:rPr>
                      <w:b/>
                      <w:bCs/>
                      <w:spacing w:val="-25"/>
                    </w:rPr>
                    <w:t>量</w:t>
                  </w:r>
                  <w:r>
                    <w:rPr>
                      <w:spacing w:val="-25"/>
                    </w:rPr>
                    <w:t xml:space="preserve"> </w:t>
                  </w:r>
                  <w:r>
                    <w:rPr>
                      <w:b/>
                      <w:bCs/>
                      <w:spacing w:val="-25"/>
                    </w:rPr>
                    <w:t>监</w:t>
                  </w:r>
                  <w:r>
                    <w:rPr>
                      <w:spacing w:val="-25"/>
                    </w:rPr>
                    <w:t xml:space="preserve"> </w:t>
                  </w:r>
                  <w:r>
                    <w:rPr>
                      <w:b/>
                      <w:bCs/>
                      <w:spacing w:val="-25"/>
                    </w:rPr>
                    <w:t>督</w:t>
                  </w:r>
                  <w:r>
                    <w:rPr>
                      <w:spacing w:val="-25"/>
                    </w:rPr>
                    <w:t xml:space="preserve"> </w:t>
                  </w:r>
                  <w:r>
                    <w:rPr>
                      <w:b/>
                      <w:bCs/>
                      <w:spacing w:val="-25"/>
                    </w:rPr>
                    <w:t>检</w:t>
                  </w:r>
                  <w:r>
                    <w:rPr>
                      <w:spacing w:val="-25"/>
                    </w:rPr>
                    <w:t xml:space="preserve"> </w:t>
                  </w:r>
                  <w:r>
                    <w:rPr>
                      <w:b/>
                      <w:bCs/>
                      <w:spacing w:val="-25"/>
                    </w:rPr>
                    <w:t>验</w:t>
                  </w:r>
                  <w:r>
                    <w:rPr>
                      <w:spacing w:val="-25"/>
                    </w:rPr>
                    <w:t xml:space="preserve"> </w:t>
                  </w:r>
                  <w:r>
                    <w:rPr>
                      <w:b/>
                      <w:bCs/>
                      <w:spacing w:val="-25"/>
                    </w:rPr>
                    <w:t>检</w:t>
                  </w:r>
                  <w:r>
                    <w:rPr>
                      <w:spacing w:val="-25"/>
                    </w:rPr>
                    <w:t xml:space="preserve"> </w:t>
                  </w:r>
                  <w:r>
                    <w:rPr>
                      <w:b/>
                      <w:bCs/>
                      <w:spacing w:val="-25"/>
                    </w:rPr>
                    <w:t>疫</w:t>
                  </w:r>
                  <w:r>
                    <w:rPr>
                      <w:spacing w:val="-25"/>
                    </w:rPr>
                    <w:t xml:space="preserve"> </w:t>
                  </w:r>
                  <w:r>
                    <w:rPr>
                      <w:b/>
                      <w:bCs/>
                      <w:spacing w:val="-25"/>
                    </w:rPr>
                    <w:t>总</w:t>
                  </w:r>
                  <w:r>
                    <w:rPr>
                      <w:spacing w:val="-25"/>
                    </w:rPr>
                    <w:t xml:space="preserve"> </w:t>
                  </w:r>
                  <w:r>
                    <w:rPr>
                      <w:b/>
                      <w:bCs/>
                      <w:spacing w:val="-25"/>
                    </w:rPr>
                    <w:t>局</w:t>
                  </w:r>
                </w:p>
              </w:txbxContent>
            </v:textbox>
          </v:shape>
        </w:pict>
      </w:r>
      <w:r>
        <w:rPr>
          <w:b/>
          <w:bCs/>
          <w:spacing w:val="-32"/>
          <w:position w:val="4"/>
        </w:rPr>
        <w:t>中</w:t>
      </w:r>
      <w:r>
        <w:rPr>
          <w:spacing w:val="12"/>
          <w:position w:val="4"/>
        </w:rPr>
        <w:t xml:space="preserve">   </w:t>
      </w:r>
      <w:r>
        <w:rPr>
          <w:b/>
          <w:bCs/>
          <w:spacing w:val="-32"/>
          <w:position w:val="4"/>
        </w:rPr>
        <w:t>华</w:t>
      </w:r>
      <w:r>
        <w:rPr>
          <w:spacing w:val="23"/>
          <w:position w:val="4"/>
        </w:rPr>
        <w:t xml:space="preserve">   </w:t>
      </w:r>
      <w:r>
        <w:rPr>
          <w:b/>
          <w:bCs/>
          <w:spacing w:val="-32"/>
          <w:position w:val="4"/>
        </w:rPr>
        <w:t>人</w:t>
      </w:r>
      <w:r>
        <w:rPr>
          <w:spacing w:val="34"/>
          <w:position w:val="4"/>
        </w:rPr>
        <w:t xml:space="preserve">   </w:t>
      </w:r>
      <w:r>
        <w:rPr>
          <w:b/>
          <w:bCs/>
          <w:spacing w:val="-32"/>
          <w:position w:val="4"/>
        </w:rPr>
        <w:t>民</w:t>
      </w:r>
      <w:r>
        <w:rPr>
          <w:spacing w:val="29"/>
          <w:position w:val="4"/>
        </w:rPr>
        <w:t xml:space="preserve">   </w:t>
      </w:r>
      <w:r>
        <w:rPr>
          <w:b/>
          <w:bCs/>
          <w:spacing w:val="-32"/>
          <w:position w:val="4"/>
        </w:rPr>
        <w:t>共</w:t>
      </w:r>
      <w:r>
        <w:rPr>
          <w:spacing w:val="18"/>
          <w:position w:val="4"/>
        </w:rPr>
        <w:t xml:space="preserve">   </w:t>
      </w:r>
      <w:r>
        <w:rPr>
          <w:b/>
          <w:bCs/>
          <w:spacing w:val="-32"/>
          <w:position w:val="4"/>
        </w:rPr>
        <w:t>和</w:t>
      </w:r>
      <w:r>
        <w:rPr>
          <w:spacing w:val="30"/>
          <w:position w:val="4"/>
        </w:rPr>
        <w:t xml:space="preserve">   </w:t>
      </w:r>
      <w:r>
        <w:rPr>
          <w:b/>
          <w:bCs/>
          <w:spacing w:val="-32"/>
          <w:position w:val="4"/>
        </w:rPr>
        <w:t>国</w:t>
      </w:r>
      <w:r>
        <w:rPr>
          <w:spacing w:val="-32"/>
          <w:position w:val="4"/>
        </w:rPr>
        <w:t xml:space="preserve">   </w:t>
      </w:r>
      <w:r>
        <w:rPr>
          <w:rFonts w:ascii="SimHei" w:eastAsia="SimHei" w:hAnsi="SimHei" w:cs="SimHei"/>
          <w:b/>
          <w:bCs/>
          <w:spacing w:val="-32"/>
          <w:position w:val="-20"/>
          <w:sz w:val="50"/>
          <w:szCs w:val="50"/>
        </w:rPr>
        <w:t>发</w:t>
      </w:r>
      <w:r>
        <w:rPr>
          <w:rFonts w:ascii="SimHei" w:eastAsia="SimHei" w:hAnsi="SimHei" w:cs="SimHei"/>
          <w:spacing w:val="80"/>
          <w:position w:val="-20"/>
          <w:sz w:val="50"/>
          <w:szCs w:val="50"/>
        </w:rPr>
        <w:t xml:space="preserve"> </w:t>
      </w:r>
      <w:r>
        <w:rPr>
          <w:rFonts w:ascii="SimHei" w:eastAsia="SimHei" w:hAnsi="SimHei" w:cs="SimHei"/>
          <w:b/>
          <w:bCs/>
          <w:spacing w:val="-32"/>
          <w:position w:val="-20"/>
          <w:sz w:val="50"/>
          <w:szCs w:val="50"/>
        </w:rPr>
        <w:t>布</w:t>
      </w:r>
    </w:p>
    <w:p>
      <w:pPr>
        <w:spacing w:line="197" w:lineRule="auto"/>
        <w:rPr>
          <w:rFonts w:ascii="SimHei" w:eastAsia="SimHei" w:hAnsi="SimHei" w:cs="SimHei"/>
          <w:sz w:val="50"/>
          <w:szCs w:val="50"/>
        </w:rPr>
        <w:sectPr>
          <w:type w:val="continuous"/>
          <w:pgSz w:w="22489" w:h="31680"/>
          <w:pgMar w:top="997" w:right="1681" w:bottom="0" w:left="1681" w:header="0" w:footer="0" w:gutter="0"/>
          <w:pgNumType w:start="4"/>
          <w:cols w:num="1" w:space="708" w:equalWidth="0">
            <w:col w:w="19126" w:space="0"/>
          </w:cols>
        </w:sectPr>
      </w:pPr>
    </w:p>
    <w:p>
      <w:pPr>
        <w:pStyle w:val="BodyText"/>
        <w:spacing w:before="79" w:line="225" w:lineRule="auto"/>
        <w:jc w:val="right"/>
        <w:rPr>
          <w:sz w:val="40"/>
          <w:szCs w:val="40"/>
        </w:rPr>
      </w:pPr>
      <w:r>
        <w:rPr>
          <w:b/>
          <w:bCs/>
          <w:spacing w:val="-7"/>
          <w:sz w:val="40"/>
          <w:szCs w:val="40"/>
        </w:rPr>
        <w:t>SN/T</w:t>
      </w:r>
      <w:r>
        <w:rPr>
          <w:spacing w:val="40"/>
          <w:sz w:val="40"/>
          <w:szCs w:val="40"/>
        </w:rPr>
        <w:t xml:space="preserve">  </w:t>
      </w:r>
      <w:r>
        <w:rPr>
          <w:b/>
          <w:bCs/>
          <w:spacing w:val="-7"/>
          <w:sz w:val="40"/>
          <w:szCs w:val="40"/>
        </w:rPr>
        <w:t>4470—2016</w:t>
      </w:r>
    </w:p>
    <w:p>
      <w:pPr>
        <w:spacing w:line="263"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before="195" w:line="224" w:lineRule="auto"/>
        <w:ind w:left="7058"/>
        <w:rPr>
          <w:rFonts w:ascii="SimHei" w:eastAsia="SimHei" w:hAnsi="SimHei" w:cs="SimHei"/>
          <w:sz w:val="60"/>
          <w:szCs w:val="60"/>
        </w:rPr>
      </w:pPr>
      <w:r>
        <w:rPr>
          <w:rFonts w:ascii="SimHei" w:eastAsia="SimHei" w:hAnsi="SimHei" w:cs="SimHei"/>
          <w:b/>
          <w:bCs/>
          <w:spacing w:val="-16"/>
          <w:sz w:val="60"/>
          <w:szCs w:val="60"/>
        </w:rPr>
        <w:t>前</w:t>
      </w:r>
      <w:r>
        <w:rPr>
          <w:rFonts w:ascii="SimHei" w:eastAsia="SimHei" w:hAnsi="SimHei" w:cs="SimHei"/>
          <w:spacing w:val="11"/>
          <w:sz w:val="60"/>
          <w:szCs w:val="60"/>
        </w:rPr>
        <w:t xml:space="preserve">    </w:t>
      </w:r>
      <w:r>
        <w:rPr>
          <w:rFonts w:ascii="SimHei" w:eastAsia="SimHei" w:hAnsi="SimHei" w:cs="SimHei"/>
          <w:b/>
          <w:bCs/>
          <w:spacing w:val="-16"/>
          <w:sz w:val="60"/>
          <w:szCs w:val="60"/>
        </w:rPr>
        <w:t>言</w:t>
      </w: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8" w:lineRule="auto"/>
        <w:rPr>
          <w:rFonts w:ascii="Arial"/>
          <w:sz w:val="21"/>
        </w:rPr>
      </w:pPr>
    </w:p>
    <w:p>
      <w:pPr>
        <w:pStyle w:val="BodyText"/>
        <w:spacing w:before="130" w:line="219" w:lineRule="auto"/>
        <w:rPr>
          <w:sz w:val="40"/>
          <w:szCs w:val="40"/>
        </w:rPr>
      </w:pPr>
      <w:r>
        <w:rPr>
          <w:spacing w:val="4"/>
          <w:sz w:val="40"/>
          <w:szCs w:val="40"/>
        </w:rPr>
        <w:t>本标准按照</w:t>
      </w:r>
      <w:r>
        <w:rPr>
          <w:sz w:val="40"/>
          <w:szCs w:val="40"/>
        </w:rPr>
        <w:t>GB</w:t>
      </w:r>
      <w:r>
        <w:rPr>
          <w:spacing w:val="4"/>
          <w:sz w:val="40"/>
          <w:szCs w:val="40"/>
        </w:rPr>
        <w:t>/T1.1—2009</w:t>
      </w:r>
      <w:r>
        <w:rPr>
          <w:spacing w:val="65"/>
          <w:sz w:val="40"/>
          <w:szCs w:val="40"/>
        </w:rPr>
        <w:t xml:space="preserve">  </w:t>
      </w:r>
      <w:r>
        <w:rPr>
          <w:spacing w:val="4"/>
          <w:sz w:val="40"/>
          <w:szCs w:val="40"/>
        </w:rPr>
        <w:t>给出的规则起草。</w:t>
      </w:r>
    </w:p>
    <w:p>
      <w:pPr>
        <w:pStyle w:val="BodyText"/>
        <w:spacing w:before="141" w:line="219" w:lineRule="auto"/>
        <w:rPr>
          <w:sz w:val="40"/>
          <w:szCs w:val="40"/>
        </w:rPr>
      </w:pPr>
      <w:r>
        <w:rPr>
          <w:spacing w:val="9"/>
          <w:sz w:val="40"/>
          <w:szCs w:val="40"/>
        </w:rPr>
        <w:t>本标准由国家认证认可监督管理委员会提出并归口。</w:t>
      </w:r>
    </w:p>
    <w:p>
      <w:pPr>
        <w:pStyle w:val="BodyText"/>
        <w:spacing w:before="141" w:line="219" w:lineRule="auto"/>
        <w:rPr>
          <w:sz w:val="40"/>
          <w:szCs w:val="40"/>
        </w:rPr>
      </w:pPr>
      <w:r>
        <w:rPr>
          <w:sz w:val="40"/>
          <w:szCs w:val="40"/>
        </w:rPr>
        <w:t>本标准起草单位：中华人民共和国江苏出入境检验检疫局。</w:t>
      </w:r>
    </w:p>
    <w:p>
      <w:pPr>
        <w:pStyle w:val="BodyText"/>
        <w:spacing w:before="142" w:line="219" w:lineRule="auto"/>
        <w:rPr>
          <w:sz w:val="40"/>
          <w:szCs w:val="40"/>
        </w:rPr>
      </w:pPr>
      <w:r>
        <w:rPr>
          <w:spacing w:val="-27"/>
          <w:sz w:val="40"/>
          <w:szCs w:val="40"/>
        </w:rPr>
        <w:t>本标准主要起草人：钱菊根、潘葵、王晓琼、吴珂、徐振东、</w:t>
      </w:r>
      <w:r>
        <w:rPr>
          <w:spacing w:val="-28"/>
          <w:sz w:val="40"/>
          <w:szCs w:val="40"/>
        </w:rPr>
        <w:t>朱益新。</w:t>
      </w: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sectPr>
          <w:pgSz w:w="22489" w:h="31680"/>
          <w:pgMar w:top="1818" w:right="2527" w:bottom="0" w:left="2552" w:header="0" w:footer="0" w:gutter="0"/>
          <w:pgNumType w:start="5"/>
          <w:cols w:space="708"/>
        </w:sect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129" w:line="188" w:lineRule="auto"/>
        <w:ind w:left="16671"/>
        <w:rPr>
          <w:rFonts w:ascii="Times New Roman" w:eastAsia="Times New Roman" w:hAnsi="Times New Roman" w:cs="Times New Roman"/>
          <w:sz w:val="45"/>
          <w:szCs w:val="45"/>
        </w:rPr>
      </w:pPr>
      <w:r>
        <w:rPr>
          <w:rFonts w:ascii="Times New Roman" w:eastAsia="Times New Roman" w:hAnsi="Times New Roman" w:cs="Times New Roman"/>
          <w:sz w:val="45"/>
          <w:szCs w:val="45"/>
        </w:rPr>
        <w:t>I</w:t>
      </w:r>
    </w:p>
    <w:p>
      <w:pPr>
        <w:spacing w:line="188" w:lineRule="auto"/>
        <w:rPr>
          <w:rFonts w:ascii="Times New Roman" w:eastAsia="Times New Roman" w:hAnsi="Times New Roman" w:cs="Times New Roman"/>
          <w:sz w:val="45"/>
          <w:szCs w:val="45"/>
        </w:rPr>
        <w:sectPr>
          <w:type w:val="nextPage"/>
          <w:pgSz w:w="22489" w:h="31680"/>
          <w:pgMar w:top="1818" w:right="2527" w:bottom="0" w:left="2552" w:header="0" w:footer="0" w:gutter="0"/>
          <w:pgNumType w:start="6"/>
          <w:cols w:space="708"/>
          <w:titlePg w:val="0"/>
        </w:sectPr>
      </w:pPr>
    </w:p>
    <w:p>
      <w:pPr>
        <w:pStyle w:val="BodyText"/>
        <w:spacing w:before="88" w:line="224" w:lineRule="auto"/>
        <w:ind w:left="6"/>
        <w:rPr>
          <w:sz w:val="44"/>
          <w:szCs w:val="44"/>
        </w:rPr>
      </w:pPr>
      <w:r>
        <w:rPr>
          <w:b/>
          <w:bCs/>
          <w:spacing w:val="-10"/>
          <w:sz w:val="44"/>
          <w:szCs w:val="44"/>
        </w:rPr>
        <w:t>SN/T</w:t>
      </w:r>
      <w:r>
        <w:rPr>
          <w:spacing w:val="-10"/>
          <w:sz w:val="44"/>
          <w:szCs w:val="44"/>
        </w:rPr>
        <w:t xml:space="preserve"> </w:t>
      </w:r>
      <w:r>
        <w:rPr>
          <w:b/>
          <w:bCs/>
          <w:spacing w:val="-10"/>
          <w:sz w:val="44"/>
          <w:szCs w:val="44"/>
        </w:rPr>
        <w:t>4470—2016</w:t>
      </w:r>
    </w:p>
    <w:p>
      <w:pPr>
        <w:spacing w:line="271" w:lineRule="auto"/>
        <w:rPr>
          <w:rFonts w:ascii="Arial"/>
          <w:sz w:val="21"/>
        </w:rPr>
      </w:pPr>
    </w:p>
    <w:p>
      <w:pPr>
        <w:spacing w:line="271" w:lineRule="auto"/>
        <w:rPr>
          <w:rFonts w:ascii="Arial"/>
          <w:sz w:val="21"/>
        </w:r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before="185" w:line="225" w:lineRule="auto"/>
        <w:ind w:left="7908"/>
        <w:rPr>
          <w:rFonts w:ascii="SimHei" w:eastAsia="SimHei" w:hAnsi="SimHei" w:cs="SimHei"/>
          <w:sz w:val="57"/>
          <w:szCs w:val="57"/>
        </w:rPr>
      </w:pPr>
      <w:r>
        <w:rPr>
          <w:rFonts w:ascii="SimHei" w:eastAsia="SimHei" w:hAnsi="SimHei" w:cs="SimHei"/>
          <w:b/>
          <w:bCs/>
          <w:spacing w:val="-39"/>
          <w:sz w:val="57"/>
          <w:szCs w:val="57"/>
        </w:rPr>
        <w:t>引</w:t>
      </w:r>
      <w:r>
        <w:rPr>
          <w:rFonts w:ascii="SimHei" w:eastAsia="SimHei" w:hAnsi="SimHei" w:cs="SimHei"/>
          <w:spacing w:val="41"/>
          <w:sz w:val="57"/>
          <w:szCs w:val="57"/>
        </w:rPr>
        <w:t xml:space="preserve">    </w:t>
      </w:r>
      <w:r>
        <w:rPr>
          <w:rFonts w:ascii="SimHei" w:eastAsia="SimHei" w:hAnsi="SimHei" w:cs="SimHei"/>
          <w:b/>
          <w:bCs/>
          <w:spacing w:val="-39"/>
          <w:sz w:val="57"/>
          <w:szCs w:val="57"/>
        </w:rPr>
        <w:t>言</w:t>
      </w:r>
    </w:p>
    <w:p>
      <w:pPr>
        <w:spacing w:line="270"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pStyle w:val="BodyText"/>
        <w:spacing w:before="127" w:line="292" w:lineRule="auto"/>
        <w:ind w:right="147" w:firstLine="870"/>
        <w:jc w:val="both"/>
        <w:rPr>
          <w:sz w:val="39"/>
          <w:szCs w:val="39"/>
        </w:rPr>
      </w:pPr>
      <w:r>
        <w:rPr>
          <w:spacing w:val="22"/>
          <w:sz w:val="39"/>
          <w:szCs w:val="39"/>
        </w:rPr>
        <w:t>苯酚，无色或白色晶体，有特殊气味。在空气中及光线作用下变为粉红色甚至红色。可混溶于乙</w:t>
      </w:r>
      <w:r>
        <w:rPr>
          <w:spacing w:val="1"/>
          <w:sz w:val="39"/>
          <w:szCs w:val="39"/>
        </w:rPr>
        <w:t xml:space="preserve"> </w:t>
      </w:r>
      <w:r>
        <w:rPr>
          <w:spacing w:val="-5"/>
          <w:sz w:val="39"/>
          <w:szCs w:val="39"/>
        </w:rPr>
        <w:t xml:space="preserve">醇、醚、氯仿、甘油。苯酚主要用于生产酚醛树脂、双酚 </w:t>
      </w:r>
      <w:r>
        <w:rPr>
          <w:rFonts w:ascii="Times New Roman" w:eastAsia="Times New Roman" w:hAnsi="Times New Roman" w:cs="Times New Roman"/>
          <w:spacing w:val="-5"/>
          <w:sz w:val="39"/>
          <w:szCs w:val="39"/>
        </w:rPr>
        <w:t>A</w:t>
      </w:r>
      <w:r>
        <w:rPr>
          <w:spacing w:val="-5"/>
          <w:sz w:val="39"/>
          <w:szCs w:val="39"/>
        </w:rPr>
        <w:t>、己内酰</w:t>
      </w:r>
      <w:r>
        <w:rPr>
          <w:spacing w:val="-6"/>
          <w:sz w:val="39"/>
          <w:szCs w:val="39"/>
        </w:rPr>
        <w:t>胺、苯胺、烷基酚等。在石油炼制工业</w:t>
      </w:r>
      <w:r>
        <w:rPr>
          <w:sz w:val="39"/>
          <w:szCs w:val="39"/>
        </w:rPr>
        <w:t xml:space="preserve"> </w:t>
      </w:r>
      <w:r>
        <w:rPr>
          <w:spacing w:val="13"/>
          <w:sz w:val="39"/>
          <w:szCs w:val="39"/>
        </w:rPr>
        <w:t>中用作润滑油精制的选择性抽提溶剂，也用于塑料和医药工业。苯酚主要产地有我国吉</w:t>
      </w:r>
      <w:r>
        <w:rPr>
          <w:spacing w:val="12"/>
          <w:sz w:val="39"/>
          <w:szCs w:val="39"/>
        </w:rPr>
        <w:t>林、浙江、江苏</w:t>
      </w:r>
    </w:p>
    <w:p>
      <w:pPr>
        <w:pStyle w:val="BodyText"/>
        <w:spacing w:before="1" w:line="219" w:lineRule="auto"/>
        <w:rPr>
          <w:sz w:val="39"/>
          <w:szCs w:val="39"/>
        </w:rPr>
      </w:pPr>
      <w:r>
        <w:rPr>
          <w:spacing w:val="1"/>
          <w:sz w:val="39"/>
          <w:szCs w:val="39"/>
        </w:rPr>
        <w:t>等。主要进口国为泰国、韩国等。</w:t>
      </w:r>
    </w:p>
    <w:p>
      <w:pPr>
        <w:pStyle w:val="BodyText"/>
        <w:spacing w:before="111" w:line="291" w:lineRule="auto"/>
        <w:ind w:firstLine="870"/>
        <w:jc w:val="both"/>
        <w:rPr>
          <w:sz w:val="39"/>
          <w:szCs w:val="39"/>
        </w:rPr>
      </w:pPr>
      <w:r>
        <w:rPr>
          <w:spacing w:val="18"/>
          <w:sz w:val="39"/>
          <w:szCs w:val="39"/>
        </w:rPr>
        <w:t>按照联合国《关于危险货物运输的建议书</w:t>
      </w:r>
      <w:r>
        <w:rPr>
          <w:spacing w:val="7"/>
          <w:sz w:val="39"/>
          <w:szCs w:val="39"/>
        </w:rPr>
        <w:t xml:space="preserve">  </w:t>
      </w:r>
      <w:r>
        <w:rPr>
          <w:spacing w:val="18"/>
          <w:sz w:val="39"/>
          <w:szCs w:val="39"/>
        </w:rPr>
        <w:t>规章范本》</w:t>
      </w:r>
      <w:r>
        <w:rPr>
          <w:rFonts w:ascii="Times New Roman" w:eastAsia="Times New Roman" w:hAnsi="Times New Roman" w:cs="Times New Roman"/>
          <w:spacing w:val="18"/>
          <w:sz w:val="39"/>
          <w:szCs w:val="39"/>
        </w:rPr>
        <w:t>(</w:t>
      </w:r>
      <w:r>
        <w:rPr>
          <w:rFonts w:ascii="Times New Roman" w:eastAsia="Times New Roman" w:hAnsi="Times New Roman" w:cs="Times New Roman"/>
          <w:sz w:val="39"/>
          <w:szCs w:val="39"/>
        </w:rPr>
        <w:t>UN</w:t>
      </w:r>
      <w:r>
        <w:rPr>
          <w:rFonts w:ascii="Times New Roman" w:eastAsia="Times New Roman" w:hAnsi="Times New Roman" w:cs="Times New Roman"/>
          <w:spacing w:val="18"/>
          <w:sz w:val="39"/>
          <w:szCs w:val="39"/>
        </w:rPr>
        <w:t xml:space="preserve">    </w:t>
      </w:r>
      <w:r>
        <w:rPr>
          <w:rFonts w:ascii="Times New Roman" w:eastAsia="Times New Roman" w:hAnsi="Times New Roman" w:cs="Times New Roman"/>
          <w:sz w:val="39"/>
          <w:szCs w:val="39"/>
        </w:rPr>
        <w:t>RTDG</w:t>
      </w:r>
      <w:r>
        <w:rPr>
          <w:rFonts w:ascii="Times New Roman" w:eastAsia="Times New Roman" w:hAnsi="Times New Roman" w:cs="Times New Roman"/>
          <w:spacing w:val="18"/>
          <w:sz w:val="39"/>
          <w:szCs w:val="39"/>
        </w:rPr>
        <w:t>)</w:t>
      </w:r>
      <w:r>
        <w:rPr>
          <w:spacing w:val="18"/>
          <w:sz w:val="39"/>
          <w:szCs w:val="39"/>
        </w:rPr>
        <w:t>分类为第6.1类(毒性物质)危</w:t>
      </w:r>
      <w:r>
        <w:rPr>
          <w:sz w:val="39"/>
          <w:szCs w:val="39"/>
        </w:rPr>
        <w:t xml:space="preserve"> </w:t>
      </w:r>
      <w:r>
        <w:rPr>
          <w:spacing w:val="12"/>
          <w:sz w:val="39"/>
          <w:szCs w:val="39"/>
        </w:rPr>
        <w:t>险货物，联合国编号为1671(固态苯酚)、2312(熔融苯酚)、2821(苯酚溶液)。苯酚对皮肤、粘膜有强烈</w:t>
      </w:r>
      <w:r>
        <w:rPr>
          <w:spacing w:val="5"/>
          <w:sz w:val="39"/>
          <w:szCs w:val="39"/>
        </w:rPr>
        <w:t xml:space="preserve"> </w:t>
      </w:r>
      <w:r>
        <w:rPr>
          <w:spacing w:val="-5"/>
          <w:sz w:val="39"/>
          <w:szCs w:val="39"/>
        </w:rPr>
        <w:t>的腐蚀作用，可抑制中枢神经和损害肝、肾功能。吸入高浓度蒸汽可致头痛、头晕、乏力、视物模糊、肺水</w:t>
      </w:r>
      <w:r>
        <w:rPr>
          <w:sz w:val="39"/>
          <w:szCs w:val="39"/>
        </w:rPr>
        <w:t xml:space="preserve">  </w:t>
      </w:r>
      <w:r>
        <w:rPr>
          <w:spacing w:val="17"/>
          <w:sz w:val="39"/>
          <w:szCs w:val="39"/>
        </w:rPr>
        <w:t>肿等。误服引起消化道灼伤。眼接触可致灼伤。可经灼伤皮肤吸收引起中毒，表现为心律失常、休克、</w:t>
      </w:r>
      <w:r>
        <w:rPr>
          <w:spacing w:val="7"/>
          <w:sz w:val="39"/>
          <w:szCs w:val="39"/>
        </w:rPr>
        <w:t xml:space="preserve"> </w:t>
      </w:r>
      <w:r>
        <w:rPr>
          <w:spacing w:val="4"/>
          <w:sz w:val="39"/>
          <w:szCs w:val="39"/>
        </w:rPr>
        <w:t>代谢性酸中毒、肾损害等，甚至引起急性肾功能衰竭。慢性中毒可引起头痛、头晕、咳嗽、食欲减退、恶</w:t>
      </w:r>
    </w:p>
    <w:p>
      <w:pPr>
        <w:pStyle w:val="BodyText"/>
        <w:spacing w:before="1" w:line="220" w:lineRule="auto"/>
        <w:rPr>
          <w:sz w:val="39"/>
          <w:szCs w:val="39"/>
        </w:rPr>
      </w:pPr>
      <w:r>
        <w:rPr>
          <w:spacing w:val="-4"/>
          <w:sz w:val="39"/>
          <w:szCs w:val="39"/>
        </w:rPr>
        <w:t>心、呕吐，严重者引起蛋白尿。可致皮炎。</w:t>
      </w:r>
    </w:p>
    <w:p>
      <w:pPr>
        <w:pStyle w:val="BodyText"/>
        <w:spacing w:before="186" w:line="287" w:lineRule="auto"/>
        <w:ind w:right="112" w:firstLine="870"/>
        <w:jc w:val="both"/>
        <w:rPr>
          <w:sz w:val="39"/>
          <w:szCs w:val="39"/>
        </w:rPr>
      </w:pPr>
      <w:r>
        <w:rPr>
          <w:spacing w:val="29"/>
          <w:sz w:val="39"/>
          <w:szCs w:val="39"/>
        </w:rPr>
        <w:t>国务院2011年3月发布的《危险化学品安全管理条例》[国务院第591号令]规定了检验检疫部门</w:t>
      </w:r>
      <w:r>
        <w:rPr>
          <w:spacing w:val="15"/>
          <w:sz w:val="39"/>
          <w:szCs w:val="39"/>
        </w:rPr>
        <w:t xml:space="preserve"> </w:t>
      </w:r>
      <w:r>
        <w:rPr>
          <w:spacing w:val="23"/>
          <w:sz w:val="39"/>
          <w:szCs w:val="39"/>
        </w:rPr>
        <w:t>负责对进出口危险化学品及其包装实施检验。为确保检验检疫相关业务工作的有效开展，规范进出口</w:t>
      </w:r>
    </w:p>
    <w:p>
      <w:pPr>
        <w:pStyle w:val="BodyText"/>
        <w:spacing w:line="219" w:lineRule="auto"/>
        <w:rPr>
          <w:sz w:val="39"/>
          <w:szCs w:val="39"/>
        </w:rPr>
      </w:pPr>
      <w:r>
        <w:rPr>
          <w:spacing w:val="8"/>
          <w:sz w:val="39"/>
          <w:szCs w:val="39"/>
        </w:rPr>
        <w:t>危险化学品及其包装的检验监管工作，制定本标准。</w:t>
      </w:r>
    </w:p>
    <w:p>
      <w:pPr>
        <w:spacing w:line="219" w:lineRule="auto"/>
        <w:rPr>
          <w:sz w:val="39"/>
          <w:szCs w:val="39"/>
        </w:rPr>
        <w:sectPr>
          <w:footerReference w:type="default" r:id="rId7"/>
          <w:pgSz w:w="22489" w:h="31680"/>
          <w:pgMar w:top="1783" w:right="1984" w:bottom="2194" w:left="2180" w:header="0" w:footer="1847" w:gutter="0"/>
          <w:pgNumType w:start="7"/>
          <w:cols w:space="708"/>
        </w:sectPr>
      </w:pPr>
    </w:p>
    <w:p>
      <w:pPr>
        <w:pStyle w:val="BodyText"/>
        <w:spacing w:before="76" w:line="225" w:lineRule="auto"/>
        <w:jc w:val="right"/>
        <w:rPr>
          <w:sz w:val="38"/>
          <w:szCs w:val="38"/>
        </w:rPr>
      </w:pPr>
      <w:r>
        <w:rPr>
          <w:b/>
          <w:bCs/>
          <w:spacing w:val="-6"/>
          <w:sz w:val="38"/>
          <w:szCs w:val="38"/>
        </w:rPr>
        <w:t>SN/T</w:t>
      </w:r>
      <w:r>
        <w:rPr>
          <w:spacing w:val="26"/>
          <w:sz w:val="38"/>
          <w:szCs w:val="38"/>
        </w:rPr>
        <w:t xml:space="preserve">  </w:t>
      </w:r>
      <w:r>
        <w:rPr>
          <w:b/>
          <w:bCs/>
          <w:spacing w:val="-6"/>
          <w:sz w:val="38"/>
          <w:szCs w:val="38"/>
        </w:rPr>
        <w:t>4470—2016</w:t>
      </w: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4" w:lineRule="auto"/>
        <w:rPr>
          <w:rFonts w:ascii="Arial"/>
          <w:sz w:val="21"/>
        </w:rPr>
      </w:pPr>
    </w:p>
    <w:p>
      <w:pPr>
        <w:spacing w:line="254" w:lineRule="auto"/>
        <w:rPr>
          <w:rFonts w:ascii="Arial"/>
          <w:sz w:val="21"/>
        </w:rPr>
      </w:pPr>
    </w:p>
    <w:p>
      <w:pPr>
        <w:spacing w:before="179" w:line="223" w:lineRule="auto"/>
        <w:ind w:left="4261"/>
        <w:rPr>
          <w:rFonts w:ascii="SimHei" w:eastAsia="SimHei" w:hAnsi="SimHei" w:cs="SimHei"/>
          <w:sz w:val="55"/>
          <w:szCs w:val="55"/>
        </w:rPr>
      </w:pPr>
      <w:r>
        <w:rPr>
          <w:rFonts w:ascii="SimHei" w:eastAsia="SimHei" w:hAnsi="SimHei" w:cs="SimHei"/>
          <w:b/>
          <w:bCs/>
          <w:spacing w:val="32"/>
          <w:sz w:val="55"/>
          <w:szCs w:val="55"/>
        </w:rPr>
        <w:t>进出口危险化学品检验规程</w:t>
      </w:r>
      <w:r>
        <w:rPr>
          <w:rFonts w:ascii="SimHei" w:eastAsia="SimHei" w:hAnsi="SimHei" w:cs="SimHei"/>
          <w:spacing w:val="20"/>
          <w:sz w:val="55"/>
          <w:szCs w:val="55"/>
        </w:rPr>
        <w:t xml:space="preserve">  </w:t>
      </w:r>
      <w:r>
        <w:rPr>
          <w:rFonts w:ascii="SimHei" w:eastAsia="SimHei" w:hAnsi="SimHei" w:cs="SimHei"/>
          <w:spacing w:val="32"/>
          <w:sz w:val="55"/>
          <w:szCs w:val="55"/>
        </w:rPr>
        <w:t>苯酚</w:t>
      </w: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before="123" w:line="285" w:lineRule="auto"/>
        <w:ind w:right="61" w:firstLine="792"/>
        <w:jc w:val="both"/>
        <w:rPr>
          <w:rFonts w:ascii="SimHei" w:eastAsia="SimHei" w:hAnsi="SimHei" w:cs="SimHei"/>
          <w:sz w:val="38"/>
          <w:szCs w:val="38"/>
        </w:rPr>
      </w:pPr>
      <w:r>
        <w:rPr>
          <w:rFonts w:ascii="SimHei" w:eastAsia="SimHei" w:hAnsi="SimHei" w:cs="SimHei"/>
          <w:spacing w:val="13"/>
          <w:sz w:val="38"/>
          <w:szCs w:val="38"/>
        </w:rPr>
        <w:t>警示——使用本标准的人员应具有相关的检验或检测工</w:t>
      </w:r>
      <w:r>
        <w:rPr>
          <w:rFonts w:ascii="SimHei" w:eastAsia="SimHei" w:hAnsi="SimHei" w:cs="SimHei"/>
          <w:spacing w:val="12"/>
          <w:sz w:val="38"/>
          <w:szCs w:val="38"/>
        </w:rPr>
        <w:t>作经验，并具有相关的资质。本标准并未</w:t>
      </w:r>
      <w:r>
        <w:rPr>
          <w:rFonts w:ascii="SimHei" w:eastAsia="SimHei" w:hAnsi="SimHei" w:cs="SimHei"/>
          <w:sz w:val="38"/>
          <w:szCs w:val="38"/>
        </w:rPr>
        <w:t xml:space="preserve"> </w:t>
      </w:r>
      <w:r>
        <w:rPr>
          <w:rFonts w:ascii="SimHei" w:eastAsia="SimHei" w:hAnsi="SimHei" w:cs="SimHei"/>
          <w:spacing w:val="13"/>
          <w:sz w:val="38"/>
          <w:szCs w:val="38"/>
        </w:rPr>
        <w:t>指出所有可能的安全问题。使用者有责任采用适当的安全和健康措施，并保证符合国家有</w:t>
      </w:r>
      <w:r>
        <w:rPr>
          <w:rFonts w:ascii="SimHei" w:eastAsia="SimHei" w:hAnsi="SimHei" w:cs="SimHei"/>
          <w:spacing w:val="12"/>
          <w:sz w:val="38"/>
          <w:szCs w:val="38"/>
        </w:rPr>
        <w:t>关法规规定</w:t>
      </w:r>
    </w:p>
    <w:p>
      <w:pPr>
        <w:spacing w:before="1" w:line="223" w:lineRule="auto"/>
        <w:rPr>
          <w:rFonts w:ascii="SimHei" w:eastAsia="SimHei" w:hAnsi="SimHei" w:cs="SimHei"/>
          <w:sz w:val="38"/>
          <w:szCs w:val="38"/>
        </w:rPr>
      </w:pPr>
      <w:r>
        <w:rPr>
          <w:rFonts w:ascii="SimHei" w:eastAsia="SimHei" w:hAnsi="SimHei" w:cs="SimHei"/>
          <w:spacing w:val="-4"/>
          <w:sz w:val="38"/>
          <w:szCs w:val="38"/>
        </w:rPr>
        <w:t>的条件。</w:t>
      </w:r>
    </w:p>
    <w:p>
      <w:pPr>
        <w:spacing w:line="289" w:lineRule="auto"/>
        <w:rPr>
          <w:rFonts w:ascii="Arial"/>
          <w:sz w:val="21"/>
        </w:rPr>
      </w:pPr>
    </w:p>
    <w:p>
      <w:pPr>
        <w:spacing w:line="290" w:lineRule="auto"/>
        <w:rPr>
          <w:rFonts w:ascii="Arial"/>
          <w:sz w:val="21"/>
        </w:rPr>
      </w:pPr>
    </w:p>
    <w:p>
      <w:pPr>
        <w:pStyle w:val="BodyText"/>
        <w:spacing w:before="124" w:line="221" w:lineRule="auto"/>
        <w:ind w:left="5"/>
        <w:rPr>
          <w:sz w:val="38"/>
          <w:szCs w:val="38"/>
        </w:rPr>
      </w:pPr>
      <w:r>
        <w:rPr>
          <w:b/>
          <w:bCs/>
          <w:spacing w:val="-13"/>
          <w:sz w:val="38"/>
          <w:szCs w:val="38"/>
        </w:rPr>
        <w:t>1</w:t>
      </w:r>
      <w:r>
        <w:rPr>
          <w:spacing w:val="15"/>
          <w:sz w:val="38"/>
          <w:szCs w:val="38"/>
        </w:rPr>
        <w:t xml:space="preserve">  </w:t>
      </w:r>
      <w:r>
        <w:rPr>
          <w:b/>
          <w:bCs/>
          <w:spacing w:val="-13"/>
          <w:sz w:val="38"/>
          <w:szCs w:val="38"/>
        </w:rPr>
        <w:t>范围</w:t>
      </w:r>
    </w:p>
    <w:p>
      <w:pPr>
        <w:spacing w:line="297" w:lineRule="auto"/>
        <w:rPr>
          <w:rFonts w:ascii="Arial"/>
          <w:sz w:val="21"/>
        </w:rPr>
      </w:pPr>
    </w:p>
    <w:p>
      <w:pPr>
        <w:spacing w:line="298" w:lineRule="auto"/>
        <w:rPr>
          <w:rFonts w:ascii="Arial"/>
          <w:sz w:val="21"/>
        </w:rPr>
      </w:pPr>
    </w:p>
    <w:p>
      <w:pPr>
        <w:pStyle w:val="BodyText"/>
        <w:spacing w:before="123" w:line="219" w:lineRule="auto"/>
        <w:ind w:left="792"/>
        <w:rPr>
          <w:sz w:val="38"/>
          <w:szCs w:val="38"/>
        </w:rPr>
      </w:pPr>
      <w:r>
        <w:rPr>
          <w:spacing w:val="5"/>
          <w:sz w:val="38"/>
          <w:szCs w:val="38"/>
        </w:rPr>
        <w:t>本标准规定了对进出口苯酚及其包装的要求、检验和合格判定与处置。</w:t>
      </w:r>
    </w:p>
    <w:p>
      <w:pPr>
        <w:pStyle w:val="BodyText"/>
        <w:spacing w:before="126" w:line="219" w:lineRule="auto"/>
        <w:ind w:left="792"/>
        <w:rPr>
          <w:sz w:val="38"/>
          <w:szCs w:val="38"/>
        </w:rPr>
      </w:pPr>
      <w:r>
        <w:rPr>
          <w:spacing w:val="8"/>
          <w:sz w:val="38"/>
          <w:szCs w:val="38"/>
        </w:rPr>
        <w:t>本标准适用于对进出口苯酚及其包装的检验，包括采用散装运输的苯酚。</w:t>
      </w:r>
    </w:p>
    <w:p>
      <w:pPr>
        <w:spacing w:line="304" w:lineRule="auto"/>
        <w:rPr>
          <w:rFonts w:ascii="Arial"/>
          <w:sz w:val="21"/>
        </w:rPr>
      </w:pPr>
    </w:p>
    <w:p>
      <w:pPr>
        <w:spacing w:line="305" w:lineRule="auto"/>
        <w:rPr>
          <w:rFonts w:ascii="Arial"/>
          <w:sz w:val="21"/>
        </w:rPr>
      </w:pPr>
    </w:p>
    <w:p>
      <w:pPr>
        <w:spacing w:before="124" w:line="222" w:lineRule="auto"/>
        <w:ind w:left="5"/>
        <w:rPr>
          <w:rFonts w:ascii="SimHei" w:eastAsia="SimHei" w:hAnsi="SimHei" w:cs="SimHei"/>
          <w:sz w:val="38"/>
          <w:szCs w:val="38"/>
        </w:rPr>
      </w:pPr>
      <w:r>
        <w:rPr>
          <w:rFonts w:ascii="SimHei" w:eastAsia="SimHei" w:hAnsi="SimHei" w:cs="SimHei"/>
          <w:b/>
          <w:bCs/>
          <w:spacing w:val="7"/>
          <w:sz w:val="38"/>
          <w:szCs w:val="38"/>
        </w:rPr>
        <w:t>2</w:t>
      </w:r>
      <w:r>
        <w:rPr>
          <w:rFonts w:ascii="SimHei" w:eastAsia="SimHei" w:hAnsi="SimHei" w:cs="SimHei"/>
          <w:spacing w:val="7"/>
          <w:sz w:val="38"/>
          <w:szCs w:val="38"/>
        </w:rPr>
        <w:t xml:space="preserve">  </w:t>
      </w:r>
      <w:r>
        <w:rPr>
          <w:rFonts w:ascii="SimHei" w:eastAsia="SimHei" w:hAnsi="SimHei" w:cs="SimHei"/>
          <w:b/>
          <w:bCs/>
          <w:spacing w:val="7"/>
          <w:sz w:val="38"/>
          <w:szCs w:val="38"/>
        </w:rPr>
        <w:t>规范性引用文件</w:t>
      </w:r>
    </w:p>
    <w:p>
      <w:pPr>
        <w:spacing w:line="297" w:lineRule="auto"/>
        <w:rPr>
          <w:rFonts w:ascii="Arial"/>
          <w:sz w:val="21"/>
        </w:rPr>
      </w:pPr>
    </w:p>
    <w:p>
      <w:pPr>
        <w:spacing w:line="297" w:lineRule="auto"/>
        <w:rPr>
          <w:rFonts w:ascii="Arial"/>
          <w:sz w:val="21"/>
        </w:rPr>
      </w:pPr>
    </w:p>
    <w:p>
      <w:pPr>
        <w:pStyle w:val="BodyText"/>
        <w:spacing w:before="124" w:line="577" w:lineRule="exact"/>
        <w:ind w:right="22"/>
        <w:jc w:val="right"/>
        <w:rPr>
          <w:sz w:val="38"/>
          <w:szCs w:val="38"/>
        </w:rPr>
      </w:pPr>
      <w:r>
        <w:rPr>
          <w:spacing w:val="14"/>
          <w:position w:val="14"/>
          <w:sz w:val="38"/>
          <w:szCs w:val="38"/>
        </w:rPr>
        <w:t>下列文件对于本文件的应用是必不可少的。凡是注日期的引用文</w:t>
      </w:r>
      <w:r>
        <w:rPr>
          <w:spacing w:val="13"/>
          <w:position w:val="14"/>
          <w:sz w:val="38"/>
          <w:szCs w:val="38"/>
        </w:rPr>
        <w:t>件，仅注日期的版本适用于本文</w:t>
      </w:r>
    </w:p>
    <w:p>
      <w:pPr>
        <w:pStyle w:val="BodyText"/>
        <w:spacing w:line="219" w:lineRule="auto"/>
        <w:rPr>
          <w:sz w:val="38"/>
          <w:szCs w:val="38"/>
        </w:rPr>
      </w:pPr>
      <w:r>
        <w:rPr>
          <w:spacing w:val="7"/>
          <w:sz w:val="38"/>
          <w:szCs w:val="38"/>
        </w:rPr>
        <w:t>件。凡是不注日期的引用文件，其最新版本(包括所有的修改单)</w:t>
      </w:r>
      <w:r>
        <w:rPr>
          <w:spacing w:val="6"/>
          <w:sz w:val="38"/>
          <w:szCs w:val="38"/>
        </w:rPr>
        <w:t>适用于本文件。</w:t>
      </w:r>
    </w:p>
    <w:p>
      <w:pPr>
        <w:pStyle w:val="BodyText"/>
        <w:spacing w:before="126" w:line="219" w:lineRule="auto"/>
        <w:ind w:left="792"/>
        <w:rPr>
          <w:sz w:val="38"/>
          <w:szCs w:val="38"/>
        </w:rPr>
      </w:pPr>
      <w:r>
        <w:rPr>
          <w:rFonts w:ascii="Times New Roman" w:eastAsia="Times New Roman" w:hAnsi="Times New Roman" w:cs="Times New Roman"/>
          <w:sz w:val="38"/>
          <w:szCs w:val="38"/>
        </w:rPr>
        <w:t>GB</w:t>
      </w:r>
      <w:r>
        <w:rPr>
          <w:rFonts w:ascii="Times New Roman" w:eastAsia="Times New Roman" w:hAnsi="Times New Roman" w:cs="Times New Roman"/>
          <w:spacing w:val="4"/>
          <w:sz w:val="38"/>
          <w:szCs w:val="38"/>
        </w:rPr>
        <w:t>/T   339</w:t>
      </w:r>
      <w:r>
        <w:rPr>
          <w:rFonts w:ascii="Times New Roman" w:eastAsia="Times New Roman" w:hAnsi="Times New Roman" w:cs="Times New Roman"/>
          <w:spacing w:val="32"/>
          <w:w w:val="101"/>
          <w:sz w:val="38"/>
          <w:szCs w:val="38"/>
        </w:rPr>
        <w:t xml:space="preserve">   </w:t>
      </w:r>
      <w:r>
        <w:rPr>
          <w:spacing w:val="4"/>
          <w:sz w:val="38"/>
          <w:szCs w:val="38"/>
        </w:rPr>
        <w:t>工业用合成苯酚</w:t>
      </w:r>
    </w:p>
    <w:p>
      <w:pPr>
        <w:pStyle w:val="BodyText"/>
        <w:spacing w:before="195" w:line="219" w:lineRule="auto"/>
        <w:ind w:left="792"/>
        <w:rPr>
          <w:sz w:val="38"/>
          <w:szCs w:val="38"/>
        </w:rPr>
      </w:pPr>
      <w:r>
        <w:rPr>
          <w:sz w:val="38"/>
          <w:szCs w:val="38"/>
        </w:rPr>
        <w:t>GB</w:t>
      </w:r>
      <w:r>
        <w:rPr>
          <w:spacing w:val="9"/>
          <w:sz w:val="38"/>
          <w:szCs w:val="38"/>
        </w:rPr>
        <w:t>/T  3723  工业用化学产品采样安全</w:t>
      </w:r>
      <w:r>
        <w:rPr>
          <w:spacing w:val="8"/>
          <w:sz w:val="38"/>
          <w:szCs w:val="38"/>
        </w:rPr>
        <w:t>通则</w:t>
      </w:r>
    </w:p>
    <w:p>
      <w:pPr>
        <w:pStyle w:val="BodyText"/>
        <w:spacing w:before="126" w:line="219" w:lineRule="auto"/>
        <w:ind w:left="792"/>
        <w:rPr>
          <w:sz w:val="38"/>
          <w:szCs w:val="38"/>
        </w:rPr>
      </w:pPr>
      <w:r>
        <w:rPr>
          <w:sz w:val="38"/>
          <w:szCs w:val="38"/>
        </w:rPr>
        <w:t>GB</w:t>
      </w:r>
      <w:r>
        <w:rPr>
          <w:spacing w:val="7"/>
          <w:sz w:val="38"/>
          <w:szCs w:val="38"/>
        </w:rPr>
        <w:t>/T  6678  化工产品采样总则</w:t>
      </w:r>
    </w:p>
    <w:p>
      <w:pPr>
        <w:pStyle w:val="BodyText"/>
        <w:spacing w:before="126" w:line="219" w:lineRule="auto"/>
        <w:ind w:left="792"/>
        <w:rPr>
          <w:sz w:val="38"/>
          <w:szCs w:val="38"/>
        </w:rPr>
      </w:pPr>
      <w:r>
        <w:rPr>
          <w:sz w:val="38"/>
          <w:szCs w:val="38"/>
        </w:rPr>
        <w:t>GB</w:t>
      </w:r>
      <w:r>
        <w:rPr>
          <w:spacing w:val="9"/>
          <w:sz w:val="38"/>
          <w:szCs w:val="38"/>
        </w:rPr>
        <w:t>/T  6680  液体化工产品采样通则</w:t>
      </w:r>
    </w:p>
    <w:p>
      <w:pPr>
        <w:pStyle w:val="BodyText"/>
        <w:spacing w:before="127" w:line="220" w:lineRule="auto"/>
        <w:ind w:left="792"/>
        <w:rPr>
          <w:sz w:val="38"/>
          <w:szCs w:val="38"/>
        </w:rPr>
      </w:pPr>
      <w:r>
        <w:rPr>
          <w:sz w:val="38"/>
          <w:szCs w:val="38"/>
        </w:rPr>
        <w:t>GB</w:t>
      </w:r>
      <w:r>
        <w:rPr>
          <w:spacing w:val="159"/>
          <w:sz w:val="38"/>
          <w:szCs w:val="38"/>
        </w:rPr>
        <w:t xml:space="preserve"> </w:t>
      </w:r>
      <w:r>
        <w:rPr>
          <w:spacing w:val="7"/>
          <w:sz w:val="38"/>
          <w:szCs w:val="38"/>
        </w:rPr>
        <w:t>15258</w:t>
      </w:r>
      <w:r>
        <w:rPr>
          <w:spacing w:val="189"/>
          <w:sz w:val="38"/>
          <w:szCs w:val="38"/>
        </w:rPr>
        <w:t xml:space="preserve"> </w:t>
      </w:r>
      <w:r>
        <w:rPr>
          <w:spacing w:val="7"/>
          <w:sz w:val="38"/>
          <w:szCs w:val="38"/>
        </w:rPr>
        <w:t>化学品安全标签编写规定</w:t>
      </w:r>
    </w:p>
    <w:p>
      <w:pPr>
        <w:pStyle w:val="BodyText"/>
        <w:spacing w:before="134" w:line="220" w:lineRule="auto"/>
        <w:ind w:left="792"/>
        <w:rPr>
          <w:sz w:val="38"/>
          <w:szCs w:val="38"/>
        </w:rPr>
      </w:pPr>
      <w:r>
        <w:rPr>
          <w:sz w:val="38"/>
          <w:szCs w:val="38"/>
        </w:rPr>
        <w:t>GB</w:t>
      </w:r>
      <w:r>
        <w:rPr>
          <w:spacing w:val="61"/>
          <w:sz w:val="38"/>
          <w:szCs w:val="38"/>
        </w:rPr>
        <w:t xml:space="preserve"> </w:t>
      </w:r>
      <w:r>
        <w:rPr>
          <w:spacing w:val="9"/>
          <w:sz w:val="38"/>
          <w:szCs w:val="38"/>
        </w:rPr>
        <w:t>30000.18  化学品分类和标签规范  第18部分：急性</w:t>
      </w:r>
      <w:r>
        <w:rPr>
          <w:spacing w:val="8"/>
          <w:sz w:val="38"/>
          <w:szCs w:val="38"/>
        </w:rPr>
        <w:t>毒性</w:t>
      </w:r>
    </w:p>
    <w:p>
      <w:pPr>
        <w:pStyle w:val="BodyText"/>
        <w:spacing w:before="123" w:line="219" w:lineRule="auto"/>
        <w:ind w:left="792"/>
        <w:rPr>
          <w:sz w:val="38"/>
          <w:szCs w:val="38"/>
        </w:rPr>
      </w:pPr>
      <w:r>
        <w:rPr>
          <w:sz w:val="38"/>
          <w:szCs w:val="38"/>
        </w:rPr>
        <w:t>SN</w:t>
      </w:r>
      <w:r>
        <w:rPr>
          <w:spacing w:val="10"/>
          <w:sz w:val="38"/>
          <w:szCs w:val="38"/>
        </w:rPr>
        <w:t>/T  0370.3</w:t>
      </w:r>
      <w:r>
        <w:rPr>
          <w:spacing w:val="173"/>
          <w:sz w:val="38"/>
          <w:szCs w:val="38"/>
        </w:rPr>
        <w:t xml:space="preserve"> </w:t>
      </w:r>
      <w:r>
        <w:rPr>
          <w:spacing w:val="10"/>
          <w:sz w:val="38"/>
          <w:szCs w:val="38"/>
        </w:rPr>
        <w:t>出口危险货物包装检验规程</w:t>
      </w:r>
      <w:r>
        <w:rPr>
          <w:spacing w:val="179"/>
          <w:sz w:val="38"/>
          <w:szCs w:val="38"/>
        </w:rPr>
        <w:t xml:space="preserve"> </w:t>
      </w:r>
      <w:r>
        <w:rPr>
          <w:spacing w:val="10"/>
          <w:sz w:val="38"/>
          <w:szCs w:val="38"/>
        </w:rPr>
        <w:t>第3部分：使用鉴定</w:t>
      </w:r>
    </w:p>
    <w:p>
      <w:pPr>
        <w:pStyle w:val="BodyText"/>
        <w:spacing w:before="156" w:line="219" w:lineRule="auto"/>
        <w:ind w:left="792"/>
        <w:rPr>
          <w:sz w:val="38"/>
          <w:szCs w:val="38"/>
        </w:rPr>
      </w:pPr>
      <w:r>
        <w:rPr>
          <w:sz w:val="38"/>
          <w:szCs w:val="38"/>
        </w:rPr>
        <w:t>SN</w:t>
      </w:r>
      <w:r>
        <w:rPr>
          <w:spacing w:val="11"/>
          <w:sz w:val="38"/>
          <w:szCs w:val="38"/>
        </w:rPr>
        <w:t>/T</w:t>
      </w:r>
      <w:r>
        <w:rPr>
          <w:spacing w:val="184"/>
          <w:sz w:val="38"/>
          <w:szCs w:val="38"/>
        </w:rPr>
        <w:t xml:space="preserve"> </w:t>
      </w:r>
      <w:r>
        <w:rPr>
          <w:spacing w:val="11"/>
          <w:sz w:val="38"/>
          <w:szCs w:val="38"/>
        </w:rPr>
        <w:t>1828.9</w:t>
      </w:r>
      <w:r>
        <w:rPr>
          <w:spacing w:val="180"/>
          <w:sz w:val="38"/>
          <w:szCs w:val="38"/>
        </w:rPr>
        <w:t xml:space="preserve"> </w:t>
      </w:r>
      <w:r>
        <w:rPr>
          <w:spacing w:val="11"/>
          <w:sz w:val="38"/>
          <w:szCs w:val="38"/>
        </w:rPr>
        <w:t>进出口危险货物分类试验</w:t>
      </w:r>
      <w:r>
        <w:rPr>
          <w:spacing w:val="10"/>
          <w:sz w:val="38"/>
          <w:szCs w:val="38"/>
        </w:rPr>
        <w:t>方法</w:t>
      </w:r>
      <w:r>
        <w:rPr>
          <w:spacing w:val="4"/>
          <w:sz w:val="38"/>
          <w:szCs w:val="38"/>
        </w:rPr>
        <w:t xml:space="preserve">  </w:t>
      </w:r>
      <w:r>
        <w:rPr>
          <w:spacing w:val="10"/>
          <w:sz w:val="38"/>
          <w:szCs w:val="38"/>
        </w:rPr>
        <w:t>第9部分：毒性物质</w:t>
      </w:r>
    </w:p>
    <w:p>
      <w:pPr>
        <w:pStyle w:val="BodyText"/>
        <w:spacing w:before="126" w:line="219" w:lineRule="auto"/>
        <w:ind w:left="792"/>
        <w:rPr>
          <w:sz w:val="38"/>
          <w:szCs w:val="38"/>
        </w:rPr>
      </w:pPr>
      <w:r>
        <w:rPr>
          <w:sz w:val="38"/>
          <w:szCs w:val="38"/>
        </w:rPr>
        <w:t>SN</w:t>
      </w:r>
      <w:r>
        <w:rPr>
          <w:spacing w:val="11"/>
          <w:sz w:val="38"/>
          <w:szCs w:val="38"/>
        </w:rPr>
        <w:t xml:space="preserve">/T  3215  进出口危险化学品检验规程  </w:t>
      </w:r>
      <w:r>
        <w:rPr>
          <w:spacing w:val="10"/>
          <w:sz w:val="38"/>
          <w:szCs w:val="38"/>
        </w:rPr>
        <w:t>毒害品</w:t>
      </w:r>
      <w:r>
        <w:rPr>
          <w:spacing w:val="182"/>
          <w:sz w:val="38"/>
          <w:szCs w:val="38"/>
        </w:rPr>
        <w:t xml:space="preserve"> </w:t>
      </w:r>
      <w:r>
        <w:rPr>
          <w:spacing w:val="10"/>
          <w:sz w:val="38"/>
          <w:szCs w:val="38"/>
        </w:rPr>
        <w:t>基本要求</w:t>
      </w:r>
    </w:p>
    <w:p>
      <w:pPr>
        <w:pStyle w:val="BodyText"/>
        <w:spacing w:before="126" w:line="219" w:lineRule="auto"/>
        <w:ind w:left="792"/>
        <w:rPr>
          <w:sz w:val="38"/>
          <w:szCs w:val="38"/>
        </w:rPr>
      </w:pPr>
      <w:r>
        <w:rPr>
          <w:sz w:val="38"/>
          <w:szCs w:val="38"/>
        </w:rPr>
        <w:t>SN</w:t>
      </w:r>
      <w:r>
        <w:rPr>
          <w:spacing w:val="10"/>
          <w:sz w:val="38"/>
          <w:szCs w:val="38"/>
        </w:rPr>
        <w:t>/T  3220  进出口危险化学品检验规程  散装和管线液体  基本要求</w:t>
      </w:r>
    </w:p>
    <w:p>
      <w:pPr>
        <w:pStyle w:val="BodyText"/>
        <w:spacing w:before="127" w:line="220" w:lineRule="auto"/>
        <w:ind w:left="792"/>
        <w:rPr>
          <w:sz w:val="38"/>
          <w:szCs w:val="38"/>
        </w:rPr>
      </w:pPr>
      <w:r>
        <w:rPr>
          <w:sz w:val="38"/>
          <w:szCs w:val="38"/>
        </w:rPr>
        <w:t>SN</w:t>
      </w:r>
      <w:r>
        <w:rPr>
          <w:spacing w:val="10"/>
          <w:sz w:val="38"/>
          <w:szCs w:val="38"/>
        </w:rPr>
        <w:t>/T  3221  进口危险化学品包装检验规程</w:t>
      </w:r>
    </w:p>
    <w:p>
      <w:pPr>
        <w:pStyle w:val="BodyText"/>
        <w:spacing w:before="172" w:line="220" w:lineRule="auto"/>
        <w:ind w:left="792"/>
        <w:rPr>
          <w:sz w:val="38"/>
          <w:szCs w:val="38"/>
        </w:rPr>
      </w:pPr>
      <w:r>
        <w:rPr>
          <w:sz w:val="38"/>
          <w:szCs w:val="38"/>
        </w:rPr>
        <w:t>SN</w:t>
      </w:r>
      <w:r>
        <w:rPr>
          <w:spacing w:val="11"/>
          <w:sz w:val="38"/>
          <w:szCs w:val="38"/>
        </w:rPr>
        <w:t>/T</w:t>
      </w:r>
      <w:r>
        <w:rPr>
          <w:spacing w:val="162"/>
          <w:sz w:val="38"/>
          <w:szCs w:val="38"/>
        </w:rPr>
        <w:t xml:space="preserve"> </w:t>
      </w:r>
      <w:r>
        <w:rPr>
          <w:spacing w:val="11"/>
          <w:sz w:val="38"/>
          <w:szCs w:val="38"/>
        </w:rPr>
        <w:t>3656.6</w:t>
      </w:r>
      <w:r>
        <w:rPr>
          <w:sz w:val="38"/>
          <w:szCs w:val="38"/>
        </w:rPr>
        <w:t xml:space="preserve">  </w:t>
      </w:r>
      <w:r>
        <w:rPr>
          <w:spacing w:val="11"/>
          <w:sz w:val="38"/>
          <w:szCs w:val="38"/>
        </w:rPr>
        <w:t>进出口危险化学品测试技术规范</w:t>
      </w:r>
      <w:r>
        <w:rPr>
          <w:spacing w:val="4"/>
          <w:sz w:val="38"/>
          <w:szCs w:val="38"/>
        </w:rPr>
        <w:t xml:space="preserve">  </w:t>
      </w:r>
      <w:r>
        <w:rPr>
          <w:spacing w:val="10"/>
          <w:sz w:val="38"/>
          <w:szCs w:val="38"/>
        </w:rPr>
        <w:t>第6部分：急性毒性</w:t>
      </w:r>
    </w:p>
    <w:p>
      <w:pPr>
        <w:pStyle w:val="BodyText"/>
        <w:spacing w:before="135" w:line="221" w:lineRule="auto"/>
        <w:ind w:left="792"/>
        <w:rPr>
          <w:sz w:val="38"/>
          <w:szCs w:val="38"/>
        </w:rPr>
      </w:pPr>
      <w:r>
        <w:rPr>
          <w:spacing w:val="18"/>
          <w:sz w:val="38"/>
          <w:szCs w:val="38"/>
        </w:rPr>
        <w:t>危险化学品名录(2002版)</w:t>
      </w:r>
    </w:p>
    <w:p>
      <w:pPr>
        <w:pStyle w:val="BodyText"/>
        <w:spacing w:before="78" w:line="213" w:lineRule="auto"/>
        <w:ind w:left="792"/>
        <w:rPr>
          <w:rFonts w:ascii="Times New Roman" w:eastAsia="Times New Roman" w:hAnsi="Times New Roman" w:cs="Times New Roman"/>
          <w:sz w:val="38"/>
          <w:szCs w:val="38"/>
        </w:rPr>
      </w:pPr>
      <w:r>
        <w:rPr>
          <w:spacing w:val="10"/>
          <w:sz w:val="38"/>
          <w:szCs w:val="38"/>
        </w:rPr>
        <w:t>关于危险货物运输的建议书</w:t>
      </w:r>
      <w:r>
        <w:rPr>
          <w:spacing w:val="186"/>
          <w:sz w:val="38"/>
          <w:szCs w:val="38"/>
        </w:rPr>
        <w:t xml:space="preserve"> </w:t>
      </w:r>
      <w:r>
        <w:rPr>
          <w:spacing w:val="10"/>
          <w:sz w:val="38"/>
          <w:szCs w:val="38"/>
        </w:rPr>
        <w:t>规章范本</w:t>
      </w:r>
      <w:r>
        <w:rPr>
          <w:rFonts w:ascii="Times New Roman" w:eastAsia="Times New Roman" w:hAnsi="Times New Roman" w:cs="Times New Roman"/>
          <w:spacing w:val="10"/>
          <w:sz w:val="38"/>
          <w:szCs w:val="38"/>
        </w:rPr>
        <w:t>(</w:t>
      </w:r>
      <w:r>
        <w:rPr>
          <w:rFonts w:ascii="Times New Roman" w:eastAsia="Times New Roman" w:hAnsi="Times New Roman" w:cs="Times New Roman"/>
          <w:sz w:val="38"/>
          <w:szCs w:val="38"/>
        </w:rPr>
        <w:t>UN</w:t>
      </w:r>
      <w:r>
        <w:rPr>
          <w:rFonts w:ascii="Times New Roman" w:eastAsia="Times New Roman" w:hAnsi="Times New Roman" w:cs="Times New Roman"/>
          <w:spacing w:val="10"/>
          <w:sz w:val="38"/>
          <w:szCs w:val="38"/>
        </w:rPr>
        <w:t xml:space="preserve">    </w:t>
      </w:r>
      <w:r>
        <w:rPr>
          <w:rFonts w:ascii="Times New Roman" w:eastAsia="Times New Roman" w:hAnsi="Times New Roman" w:cs="Times New Roman"/>
          <w:sz w:val="38"/>
          <w:szCs w:val="38"/>
        </w:rPr>
        <w:t>RTDG</w:t>
      </w:r>
      <w:r>
        <w:rPr>
          <w:rFonts w:ascii="Times New Roman" w:eastAsia="Times New Roman" w:hAnsi="Times New Roman" w:cs="Times New Roman"/>
          <w:spacing w:val="10"/>
          <w:sz w:val="38"/>
          <w:szCs w:val="38"/>
        </w:rPr>
        <w:t>)</w:t>
      </w:r>
    </w:p>
    <w:p>
      <w:pPr>
        <w:pStyle w:val="BodyText"/>
        <w:spacing w:before="191" w:line="544" w:lineRule="exact"/>
        <w:ind w:left="792"/>
        <w:rPr>
          <w:sz w:val="38"/>
          <w:szCs w:val="38"/>
        </w:rPr>
      </w:pPr>
      <w:r>
        <w:rPr>
          <w:spacing w:val="12"/>
          <w:position w:val="11"/>
          <w:sz w:val="38"/>
          <w:szCs w:val="38"/>
        </w:rPr>
        <w:t>关于危险货物运输的建议书  试验和标准</w:t>
      </w:r>
      <w:r>
        <w:rPr>
          <w:spacing w:val="11"/>
          <w:position w:val="11"/>
          <w:sz w:val="38"/>
          <w:szCs w:val="38"/>
        </w:rPr>
        <w:t>手册</w:t>
      </w:r>
    </w:p>
    <w:p>
      <w:pPr>
        <w:pStyle w:val="BodyText"/>
        <w:spacing w:before="2" w:line="212" w:lineRule="auto"/>
        <w:ind w:left="792"/>
        <w:rPr>
          <w:rFonts w:ascii="Times New Roman" w:eastAsia="Times New Roman" w:hAnsi="Times New Roman" w:cs="Times New Roman"/>
          <w:sz w:val="38"/>
          <w:szCs w:val="38"/>
        </w:rPr>
      </w:pPr>
      <w:r>
        <w:rPr>
          <w:spacing w:val="9"/>
          <w:sz w:val="38"/>
          <w:szCs w:val="38"/>
        </w:rPr>
        <w:t>全球化学品统一分类和标签制度</w:t>
      </w:r>
      <w:r>
        <w:rPr>
          <w:rFonts w:ascii="Times New Roman" w:eastAsia="Times New Roman" w:hAnsi="Times New Roman" w:cs="Times New Roman"/>
          <w:spacing w:val="9"/>
          <w:sz w:val="38"/>
          <w:szCs w:val="38"/>
        </w:rPr>
        <w:t>(</w:t>
      </w:r>
      <w:r>
        <w:rPr>
          <w:rFonts w:ascii="Times New Roman" w:eastAsia="Times New Roman" w:hAnsi="Times New Roman" w:cs="Times New Roman"/>
          <w:sz w:val="38"/>
          <w:szCs w:val="38"/>
        </w:rPr>
        <w:t>GHS</w:t>
      </w:r>
      <w:r>
        <w:rPr>
          <w:rFonts w:ascii="Times New Roman" w:eastAsia="Times New Roman" w:hAnsi="Times New Roman" w:cs="Times New Roman"/>
          <w:spacing w:val="9"/>
          <w:sz w:val="38"/>
          <w:szCs w:val="38"/>
        </w:rPr>
        <w:t>)</w:t>
      </w:r>
    </w:p>
    <w:p>
      <w:pPr>
        <w:spacing w:line="312" w:lineRule="auto"/>
        <w:rPr>
          <w:rFonts w:ascii="Arial"/>
          <w:sz w:val="21"/>
        </w:rPr>
      </w:pPr>
    </w:p>
    <w:p>
      <w:pPr>
        <w:spacing w:line="313" w:lineRule="auto"/>
        <w:rPr>
          <w:rFonts w:ascii="Arial"/>
          <w:sz w:val="21"/>
        </w:rPr>
      </w:pPr>
    </w:p>
    <w:p>
      <w:pPr>
        <w:pStyle w:val="BodyText"/>
        <w:spacing w:before="124" w:line="220" w:lineRule="auto"/>
        <w:ind w:left="5"/>
        <w:rPr>
          <w:sz w:val="38"/>
          <w:szCs w:val="38"/>
        </w:rPr>
      </w:pPr>
      <w:r>
        <w:rPr>
          <w:b/>
          <w:bCs/>
          <w:spacing w:val="2"/>
          <w:sz w:val="38"/>
          <w:szCs w:val="38"/>
        </w:rPr>
        <w:t>3</w:t>
      </w:r>
      <w:r>
        <w:rPr>
          <w:spacing w:val="2"/>
          <w:sz w:val="38"/>
          <w:szCs w:val="38"/>
        </w:rPr>
        <w:t xml:space="preserve">  </w:t>
      </w:r>
      <w:r>
        <w:rPr>
          <w:b/>
          <w:bCs/>
          <w:spacing w:val="2"/>
          <w:sz w:val="38"/>
          <w:szCs w:val="38"/>
        </w:rPr>
        <w:t>术语和定义</w:t>
      </w:r>
    </w:p>
    <w:p>
      <w:pPr>
        <w:spacing w:line="323" w:lineRule="auto"/>
        <w:rPr>
          <w:rFonts w:ascii="Arial"/>
          <w:sz w:val="21"/>
        </w:rPr>
      </w:pPr>
    </w:p>
    <w:p>
      <w:pPr>
        <w:spacing w:line="323" w:lineRule="auto"/>
        <w:rPr>
          <w:rFonts w:ascii="Arial"/>
          <w:sz w:val="21"/>
        </w:rPr>
        <w:sectPr>
          <w:footerReference w:type="default" r:id="rId8"/>
          <w:pgSz w:w="22489" w:h="31680"/>
          <w:pgMar w:top="2378" w:right="2577" w:bottom="2750" w:left="2561" w:header="0" w:footer="2498" w:gutter="0"/>
          <w:pgNumType w:start="8"/>
          <w:cols w:space="708"/>
        </w:sectPr>
      </w:pPr>
    </w:p>
    <w:p>
      <w:pPr>
        <w:pStyle w:val="BodyText"/>
        <w:spacing w:before="124" w:line="219" w:lineRule="auto"/>
        <w:ind w:left="792"/>
        <w:rPr>
          <w:sz w:val="38"/>
          <w:szCs w:val="38"/>
        </w:rPr>
      </w:pPr>
      <w:r>
        <w:rPr>
          <w:sz w:val="38"/>
          <w:szCs w:val="38"/>
        </w:rPr>
        <w:t>GB</w:t>
      </w:r>
      <w:r>
        <w:rPr>
          <w:spacing w:val="2"/>
          <w:sz w:val="38"/>
          <w:szCs w:val="38"/>
        </w:rPr>
        <w:t>30000.18、</w:t>
      </w:r>
      <w:r>
        <w:rPr>
          <w:sz w:val="38"/>
          <w:szCs w:val="38"/>
        </w:rPr>
        <w:t>SN</w:t>
      </w:r>
      <w:r>
        <w:rPr>
          <w:spacing w:val="2"/>
          <w:sz w:val="38"/>
          <w:szCs w:val="38"/>
        </w:rPr>
        <w:t>/T3215</w:t>
      </w:r>
      <w:r>
        <w:rPr>
          <w:spacing w:val="93"/>
          <w:sz w:val="38"/>
          <w:szCs w:val="38"/>
        </w:rPr>
        <w:t xml:space="preserve">  </w:t>
      </w:r>
      <w:r>
        <w:rPr>
          <w:spacing w:val="2"/>
          <w:sz w:val="38"/>
          <w:szCs w:val="38"/>
        </w:rPr>
        <w:t>和</w:t>
      </w:r>
      <w:r>
        <w:rPr>
          <w:spacing w:val="-56"/>
          <w:sz w:val="38"/>
          <w:szCs w:val="38"/>
        </w:rPr>
        <w:t xml:space="preserve"> </w:t>
      </w:r>
      <w:r>
        <w:rPr>
          <w:sz w:val="38"/>
          <w:szCs w:val="38"/>
        </w:rPr>
        <w:t>SN</w:t>
      </w:r>
      <w:r>
        <w:rPr>
          <w:spacing w:val="2"/>
          <w:sz w:val="38"/>
          <w:szCs w:val="38"/>
        </w:rPr>
        <w:t>/T</w:t>
      </w:r>
      <w:r>
        <w:rPr>
          <w:sz w:val="38"/>
          <w:szCs w:val="38"/>
        </w:rPr>
        <w:t xml:space="preserve">  </w:t>
      </w:r>
      <w:r>
        <w:rPr>
          <w:spacing w:val="2"/>
          <w:sz w:val="38"/>
          <w:szCs w:val="38"/>
        </w:rPr>
        <w:t>3656.6</w:t>
      </w:r>
      <w:r>
        <w:rPr>
          <w:spacing w:val="-82"/>
          <w:sz w:val="38"/>
          <w:szCs w:val="38"/>
        </w:rPr>
        <w:t xml:space="preserve"> </w:t>
      </w:r>
      <w:r>
        <w:rPr>
          <w:spacing w:val="2"/>
          <w:sz w:val="38"/>
          <w:szCs w:val="38"/>
        </w:rPr>
        <w:t>界定的术语和定义适用于本文件。</w:t>
      </w:r>
    </w:p>
    <w:p>
      <w:pPr>
        <w:spacing w:line="285" w:lineRule="auto"/>
        <w:rPr>
          <w:rFonts w:ascii="Arial"/>
          <w:sz w:val="21"/>
        </w:rPr>
      </w:pPr>
    </w:p>
    <w:p>
      <w:pPr>
        <w:spacing w:line="286" w:lineRule="auto"/>
        <w:rPr>
          <w:rFonts w:ascii="Arial"/>
          <w:sz w:val="21"/>
        </w:rPr>
      </w:pPr>
    </w:p>
    <w:p>
      <w:pPr>
        <w:pStyle w:val="BodyText"/>
        <w:spacing w:before="124" w:line="220" w:lineRule="auto"/>
        <w:ind w:left="5"/>
        <w:rPr>
          <w:sz w:val="38"/>
          <w:szCs w:val="38"/>
        </w:rPr>
      </w:pPr>
      <w:r>
        <w:rPr>
          <w:b/>
          <w:bCs/>
          <w:spacing w:val="3"/>
          <w:sz w:val="38"/>
          <w:szCs w:val="38"/>
        </w:rPr>
        <w:t>4</w:t>
      </w:r>
      <w:r>
        <w:rPr>
          <w:spacing w:val="25"/>
          <w:sz w:val="38"/>
          <w:szCs w:val="38"/>
        </w:rPr>
        <w:t xml:space="preserve">  </w:t>
      </w:r>
      <w:r>
        <w:rPr>
          <w:b/>
          <w:bCs/>
          <w:spacing w:val="3"/>
          <w:sz w:val="38"/>
          <w:szCs w:val="38"/>
        </w:rPr>
        <w:t>产品性状</w:t>
      </w:r>
    </w:p>
    <w:p>
      <w:pPr>
        <w:spacing w:line="294" w:lineRule="auto"/>
        <w:rPr>
          <w:rFonts w:ascii="Arial"/>
          <w:sz w:val="21"/>
        </w:rPr>
      </w:pPr>
    </w:p>
    <w:p>
      <w:pPr>
        <w:spacing w:line="294" w:lineRule="auto"/>
        <w:rPr>
          <w:rFonts w:ascii="Arial"/>
          <w:sz w:val="21"/>
        </w:rPr>
      </w:pPr>
    </w:p>
    <w:p>
      <w:pPr>
        <w:pStyle w:val="BodyText"/>
        <w:spacing w:before="124" w:line="219" w:lineRule="auto"/>
        <w:rPr>
          <w:sz w:val="38"/>
          <w:szCs w:val="38"/>
        </w:rPr>
      </w:pPr>
      <w:r>
        <w:rPr>
          <w:spacing w:val="-19"/>
          <w:sz w:val="38"/>
          <w:szCs w:val="38"/>
        </w:rPr>
        <w:t>4.1  中文名称：苯酚，又称石炭酸、羟基苯。</w:t>
      </w:r>
    </w:p>
    <w:p>
      <w:pPr>
        <w:pStyle w:val="BodyText"/>
        <w:spacing w:before="147" w:line="221" w:lineRule="auto"/>
        <w:rPr>
          <w:sz w:val="38"/>
          <w:szCs w:val="38"/>
        </w:rPr>
      </w:pPr>
      <w:r>
        <w:rPr>
          <w:spacing w:val="-12"/>
          <w:sz w:val="38"/>
          <w:szCs w:val="38"/>
        </w:rPr>
        <w:t>4.2</w:t>
      </w:r>
      <w:r>
        <w:rPr>
          <w:spacing w:val="175"/>
          <w:sz w:val="38"/>
          <w:szCs w:val="38"/>
        </w:rPr>
        <w:t xml:space="preserve"> </w:t>
      </w:r>
      <w:r>
        <w:rPr>
          <w:spacing w:val="-12"/>
          <w:sz w:val="38"/>
          <w:szCs w:val="38"/>
        </w:rPr>
        <w:t>英文名称：</w:t>
      </w:r>
      <w:r>
        <w:rPr>
          <w:rFonts w:ascii="Times New Roman" w:eastAsia="Times New Roman" w:hAnsi="Times New Roman" w:cs="Times New Roman"/>
          <w:spacing w:val="-12"/>
          <w:sz w:val="38"/>
          <w:szCs w:val="38"/>
        </w:rPr>
        <w:t>Phenol</w:t>
      </w:r>
      <w:r>
        <w:rPr>
          <w:spacing w:val="-12"/>
          <w:sz w:val="38"/>
          <w:szCs w:val="38"/>
        </w:rPr>
        <w:t>。</w:t>
      </w:r>
    </w:p>
    <w:p>
      <w:pPr>
        <w:pStyle w:val="BodyText"/>
        <w:spacing w:before="88" w:line="213" w:lineRule="auto"/>
        <w:rPr>
          <w:sz w:val="38"/>
          <w:szCs w:val="38"/>
        </w:rPr>
      </w:pPr>
      <w:r>
        <w:rPr>
          <w:spacing w:val="5"/>
          <w:sz w:val="38"/>
          <w:szCs w:val="38"/>
        </w:rPr>
        <w:t>4.3  美国化学文摘服务社号</w:t>
      </w:r>
      <w:r>
        <w:rPr>
          <w:rFonts w:ascii="Times New Roman" w:eastAsia="Times New Roman" w:hAnsi="Times New Roman" w:cs="Times New Roman"/>
          <w:spacing w:val="5"/>
          <w:sz w:val="38"/>
          <w:szCs w:val="38"/>
        </w:rPr>
        <w:t>(</w:t>
      </w:r>
      <w:r>
        <w:rPr>
          <w:rFonts w:ascii="Times New Roman" w:eastAsia="Times New Roman" w:hAnsi="Times New Roman" w:cs="Times New Roman"/>
          <w:sz w:val="38"/>
          <w:szCs w:val="38"/>
        </w:rPr>
        <w:t>CAS</w:t>
      </w:r>
      <w:r>
        <w:rPr>
          <w:rFonts w:ascii="Times New Roman" w:eastAsia="Times New Roman" w:hAnsi="Times New Roman" w:cs="Times New Roman"/>
          <w:spacing w:val="5"/>
          <w:sz w:val="38"/>
          <w:szCs w:val="38"/>
        </w:rPr>
        <w:t xml:space="preserve">  </w:t>
      </w:r>
      <w:r>
        <w:rPr>
          <w:spacing w:val="5"/>
          <w:sz w:val="38"/>
          <w:szCs w:val="38"/>
        </w:rPr>
        <w:t>号):108-</w:t>
      </w:r>
      <w:r>
        <w:rPr>
          <w:spacing w:val="4"/>
          <w:sz w:val="38"/>
          <w:szCs w:val="38"/>
        </w:rPr>
        <w:t>95-2。</w:t>
      </w:r>
    </w:p>
    <w:p>
      <w:pPr>
        <w:spacing w:line="213" w:lineRule="auto"/>
        <w:rPr>
          <w:sz w:val="38"/>
          <w:szCs w:val="38"/>
        </w:rPr>
        <w:sectPr>
          <w:footerReference w:type="default" r:id="rId9"/>
          <w:type w:val="nextPage"/>
          <w:pgSz w:w="22489" w:h="31680"/>
          <w:pgMar w:top="2378" w:right="2577" w:bottom="2750" w:left="2561" w:header="0" w:footer="2498" w:gutter="0"/>
          <w:pgNumType w:start="9"/>
          <w:cols w:space="708"/>
          <w:titlePg w:val="0"/>
        </w:sectPr>
      </w:pPr>
    </w:p>
    <w:p>
      <w:pPr>
        <w:pStyle w:val="BodyText"/>
        <w:spacing w:before="79" w:line="225" w:lineRule="auto"/>
        <w:ind w:left="5"/>
        <w:rPr>
          <w:sz w:val="40"/>
          <w:szCs w:val="40"/>
        </w:rPr>
      </w:pPr>
      <w:r>
        <w:rPr>
          <w:b/>
          <w:bCs/>
          <w:spacing w:val="-7"/>
          <w:sz w:val="40"/>
          <w:szCs w:val="40"/>
        </w:rPr>
        <w:t>SN/T</w:t>
      </w:r>
      <w:r>
        <w:rPr>
          <w:spacing w:val="40"/>
          <w:sz w:val="40"/>
          <w:szCs w:val="40"/>
        </w:rPr>
        <w:t xml:space="preserve">  </w:t>
      </w:r>
      <w:r>
        <w:rPr>
          <w:b/>
          <w:bCs/>
          <w:spacing w:val="-7"/>
          <w:sz w:val="40"/>
          <w:szCs w:val="40"/>
        </w:rPr>
        <w:t>4470—2016</w:t>
      </w:r>
    </w:p>
    <w:p>
      <w:pPr>
        <w:spacing w:line="463" w:lineRule="auto"/>
        <w:rPr>
          <w:rFonts w:ascii="Arial"/>
          <w:sz w:val="21"/>
        </w:rPr>
      </w:pPr>
    </w:p>
    <w:p>
      <w:pPr>
        <w:pStyle w:val="BodyText"/>
        <w:spacing w:before="130" w:line="221" w:lineRule="auto"/>
        <w:ind w:left="5"/>
        <w:rPr>
          <w:sz w:val="40"/>
          <w:szCs w:val="40"/>
        </w:rPr>
      </w:pPr>
      <w:r>
        <w:rPr>
          <w:b/>
          <w:bCs/>
          <w:spacing w:val="-20"/>
          <w:sz w:val="40"/>
          <w:szCs w:val="40"/>
        </w:rPr>
        <w:t>4.4</w:t>
      </w:r>
      <w:r>
        <w:rPr>
          <w:spacing w:val="16"/>
          <w:sz w:val="40"/>
          <w:szCs w:val="40"/>
        </w:rPr>
        <w:t xml:space="preserve">  </w:t>
      </w:r>
      <w:r>
        <w:rPr>
          <w:spacing w:val="-20"/>
          <w:sz w:val="40"/>
          <w:szCs w:val="40"/>
        </w:rPr>
        <w:t>化学式：</w:t>
      </w:r>
      <w:r>
        <w:rPr>
          <w:rFonts w:ascii="Times New Roman" w:eastAsia="Times New Roman" w:hAnsi="Times New Roman" w:cs="Times New Roman"/>
          <w:spacing w:val="-20"/>
          <w:sz w:val="40"/>
          <w:szCs w:val="40"/>
        </w:rPr>
        <w:t>C₆H₆O</w:t>
      </w:r>
      <w:r>
        <w:rPr>
          <w:spacing w:val="-20"/>
          <w:sz w:val="40"/>
          <w:szCs w:val="40"/>
        </w:rPr>
        <w:t>。</w:t>
      </w:r>
    </w:p>
    <w:p>
      <w:pPr>
        <w:pStyle w:val="BodyText"/>
        <w:spacing w:before="145" w:line="220" w:lineRule="auto"/>
        <w:ind w:left="5"/>
        <w:rPr>
          <w:sz w:val="40"/>
          <w:szCs w:val="40"/>
        </w:rPr>
      </w:pPr>
      <w:r>
        <w:rPr>
          <w:b/>
          <w:bCs/>
          <w:spacing w:val="-3"/>
          <w:sz w:val="40"/>
          <w:szCs w:val="40"/>
        </w:rPr>
        <w:t>4.5</w:t>
      </w:r>
      <w:r>
        <w:rPr>
          <w:spacing w:val="169"/>
          <w:sz w:val="40"/>
          <w:szCs w:val="40"/>
        </w:rPr>
        <w:t xml:space="preserve"> </w:t>
      </w:r>
      <w:r>
        <w:rPr>
          <w:spacing w:val="-3"/>
          <w:sz w:val="40"/>
          <w:szCs w:val="40"/>
        </w:rPr>
        <w:t>相对分子质量：</w:t>
      </w:r>
      <w:r>
        <w:rPr>
          <w:rFonts w:ascii="Times New Roman" w:eastAsia="Times New Roman" w:hAnsi="Times New Roman" w:cs="Times New Roman"/>
          <w:spacing w:val="-3"/>
          <w:sz w:val="40"/>
          <w:szCs w:val="40"/>
        </w:rPr>
        <w:t>94.11</w:t>
      </w:r>
      <w:r>
        <w:rPr>
          <w:spacing w:val="-3"/>
          <w:sz w:val="40"/>
          <w:szCs w:val="40"/>
        </w:rPr>
        <w:t>。</w:t>
      </w:r>
    </w:p>
    <w:p>
      <w:pPr>
        <w:pStyle w:val="BodyText"/>
        <w:spacing w:before="129" w:line="220" w:lineRule="auto"/>
        <w:ind w:left="5"/>
        <w:rPr>
          <w:sz w:val="40"/>
          <w:szCs w:val="40"/>
        </w:rPr>
      </w:pPr>
      <w:r>
        <w:rPr>
          <w:b/>
          <w:bCs/>
          <w:spacing w:val="-9"/>
          <w:sz w:val="40"/>
          <w:szCs w:val="40"/>
        </w:rPr>
        <w:t>4.6</w:t>
      </w:r>
      <w:r>
        <w:rPr>
          <w:spacing w:val="-9"/>
          <w:sz w:val="40"/>
          <w:szCs w:val="40"/>
        </w:rPr>
        <w:t xml:space="preserve">  结构式：</w:t>
      </w:r>
    </w:p>
    <w:p>
      <w:pPr>
        <w:spacing w:before="209" w:line="2425" w:lineRule="exact"/>
        <w:ind w:firstLine="967"/>
      </w:pPr>
      <w:r>
        <w:rPr>
          <w:position w:val="-48"/>
        </w:rPr>
        <w:drawing>
          <wp:inline distT="0" distB="0" distL="0" distR="0">
            <wp:extent cx="1267616" cy="1540043"/>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0"/>
                    <a:stretch>
                      <a:fillRect/>
                    </a:stretch>
                  </pic:blipFill>
                  <pic:spPr>
                    <a:xfrm>
                      <a:off x="0" y="0"/>
                      <a:ext cx="1267616" cy="1540043"/>
                    </a:xfrm>
                    <a:prstGeom prst="rect">
                      <a:avLst/>
                    </a:prstGeom>
                  </pic:spPr>
                </pic:pic>
              </a:graphicData>
            </a:graphic>
          </wp:inline>
        </w:drawing>
      </w:r>
    </w:p>
    <w:p>
      <w:pPr>
        <w:pStyle w:val="BodyText"/>
        <w:spacing w:before="302" w:line="220" w:lineRule="auto"/>
        <w:ind w:left="5"/>
        <w:rPr>
          <w:sz w:val="40"/>
          <w:szCs w:val="40"/>
        </w:rPr>
      </w:pPr>
      <w:r>
        <w:rPr>
          <w:b/>
          <w:bCs/>
          <w:spacing w:val="-11"/>
          <w:sz w:val="40"/>
          <w:szCs w:val="40"/>
        </w:rPr>
        <w:t>4.7</w:t>
      </w:r>
      <w:r>
        <w:rPr>
          <w:spacing w:val="-11"/>
          <w:sz w:val="40"/>
          <w:szCs w:val="40"/>
        </w:rPr>
        <w:t xml:space="preserve">  外观：无色或白色晶体。</w:t>
      </w:r>
    </w:p>
    <w:p>
      <w:pPr>
        <w:pStyle w:val="BodyText"/>
        <w:spacing w:before="126" w:line="220" w:lineRule="auto"/>
        <w:ind w:left="5"/>
        <w:rPr>
          <w:sz w:val="40"/>
          <w:szCs w:val="40"/>
        </w:rPr>
      </w:pPr>
      <w:r>
        <w:rPr>
          <w:b/>
          <w:bCs/>
          <w:spacing w:val="-13"/>
          <w:sz w:val="40"/>
          <w:szCs w:val="40"/>
        </w:rPr>
        <w:t>4.8</w:t>
      </w:r>
      <w:r>
        <w:rPr>
          <w:spacing w:val="-13"/>
          <w:sz w:val="40"/>
          <w:szCs w:val="40"/>
        </w:rPr>
        <w:t xml:space="preserve">  气味：有特殊气味。</w:t>
      </w:r>
    </w:p>
    <w:p>
      <w:pPr>
        <w:pStyle w:val="BodyText"/>
        <w:spacing w:before="153" w:line="220" w:lineRule="auto"/>
        <w:ind w:left="5"/>
        <w:rPr>
          <w:sz w:val="40"/>
          <w:szCs w:val="40"/>
        </w:rPr>
      </w:pPr>
      <w:r>
        <w:rPr>
          <w:b/>
          <w:bCs/>
          <w:spacing w:val="-19"/>
          <w:sz w:val="40"/>
          <w:szCs w:val="40"/>
        </w:rPr>
        <w:t>4.9</w:t>
      </w:r>
      <w:r>
        <w:rPr>
          <w:spacing w:val="-19"/>
          <w:sz w:val="40"/>
          <w:szCs w:val="40"/>
        </w:rPr>
        <w:t xml:space="preserve">  熔点：40.6</w:t>
      </w:r>
      <w:r>
        <w:rPr>
          <w:spacing w:val="36"/>
          <w:sz w:val="40"/>
          <w:szCs w:val="40"/>
        </w:rPr>
        <w:t xml:space="preserve"> </w:t>
      </w:r>
      <w:r>
        <w:rPr>
          <w:spacing w:val="-19"/>
          <w:sz w:val="40"/>
          <w:szCs w:val="40"/>
        </w:rPr>
        <w:t>℃</w:t>
      </w:r>
    </w:p>
    <w:p>
      <w:pPr>
        <w:pStyle w:val="BodyText"/>
        <w:spacing w:before="111" w:line="221" w:lineRule="auto"/>
        <w:ind w:left="5"/>
        <w:rPr>
          <w:sz w:val="40"/>
          <w:szCs w:val="40"/>
        </w:rPr>
      </w:pPr>
      <w:r>
        <w:rPr>
          <w:b/>
          <w:bCs/>
          <w:spacing w:val="-20"/>
          <w:sz w:val="40"/>
          <w:szCs w:val="40"/>
        </w:rPr>
        <w:t>4.10</w:t>
      </w:r>
      <w:r>
        <w:rPr>
          <w:spacing w:val="-20"/>
          <w:sz w:val="40"/>
          <w:szCs w:val="40"/>
        </w:rPr>
        <w:t xml:space="preserve">  沸点：181.9</w:t>
      </w:r>
      <w:r>
        <w:rPr>
          <w:spacing w:val="37"/>
          <w:sz w:val="40"/>
          <w:szCs w:val="40"/>
        </w:rPr>
        <w:t xml:space="preserve"> </w:t>
      </w:r>
      <w:r>
        <w:rPr>
          <w:spacing w:val="-20"/>
          <w:sz w:val="40"/>
          <w:szCs w:val="40"/>
        </w:rPr>
        <w:t>℃。</w:t>
      </w:r>
    </w:p>
    <w:p>
      <w:pPr>
        <w:pStyle w:val="BodyText"/>
        <w:spacing w:before="142" w:line="219" w:lineRule="auto"/>
        <w:ind w:left="5"/>
        <w:rPr>
          <w:sz w:val="40"/>
          <w:szCs w:val="40"/>
        </w:rPr>
      </w:pPr>
      <w:r>
        <w:rPr>
          <w:b/>
          <w:bCs/>
          <w:spacing w:val="5"/>
          <w:sz w:val="40"/>
          <w:szCs w:val="40"/>
        </w:rPr>
        <w:t>4.11</w:t>
      </w:r>
      <w:r>
        <w:rPr>
          <w:spacing w:val="204"/>
          <w:sz w:val="40"/>
          <w:szCs w:val="40"/>
        </w:rPr>
        <w:t xml:space="preserve"> </w:t>
      </w:r>
      <w:r>
        <w:rPr>
          <w:spacing w:val="5"/>
          <w:sz w:val="40"/>
          <w:szCs w:val="40"/>
        </w:rPr>
        <w:t>闪点：79℃(闭杯)。</w:t>
      </w:r>
    </w:p>
    <w:p>
      <w:pPr>
        <w:pStyle w:val="BodyText"/>
        <w:spacing w:before="116" w:line="213" w:lineRule="auto"/>
        <w:ind w:left="5"/>
        <w:rPr>
          <w:sz w:val="40"/>
          <w:szCs w:val="40"/>
        </w:rPr>
      </w:pPr>
      <w:r>
        <w:rPr>
          <w:b/>
          <w:bCs/>
          <w:spacing w:val="-10"/>
          <w:sz w:val="40"/>
          <w:szCs w:val="40"/>
        </w:rPr>
        <w:t>4.12</w:t>
      </w:r>
      <w:r>
        <w:rPr>
          <w:spacing w:val="-10"/>
          <w:sz w:val="40"/>
          <w:szCs w:val="40"/>
        </w:rPr>
        <w:t xml:space="preserve">  饱和蒸汽压：0.13 </w:t>
      </w:r>
      <w:r>
        <w:rPr>
          <w:rFonts w:ascii="Times New Roman" w:eastAsia="Times New Roman" w:hAnsi="Times New Roman" w:cs="Times New Roman"/>
          <w:spacing w:val="-10"/>
          <w:sz w:val="40"/>
          <w:szCs w:val="40"/>
        </w:rPr>
        <w:t>kPa,40.1    ℃</w:t>
      </w:r>
      <w:r>
        <w:rPr>
          <w:spacing w:val="-10"/>
          <w:sz w:val="40"/>
          <w:szCs w:val="40"/>
        </w:rPr>
        <w:t>。</w:t>
      </w:r>
    </w:p>
    <w:p>
      <w:pPr>
        <w:pStyle w:val="BodyText"/>
        <w:spacing w:before="164" w:line="213" w:lineRule="auto"/>
        <w:ind w:left="5"/>
        <w:rPr>
          <w:sz w:val="40"/>
          <w:szCs w:val="40"/>
        </w:rPr>
      </w:pPr>
      <w:r>
        <w:rPr>
          <w:b/>
          <w:bCs/>
          <w:spacing w:val="-2"/>
          <w:sz w:val="40"/>
          <w:szCs w:val="40"/>
        </w:rPr>
        <w:t>4.13</w:t>
      </w:r>
      <w:r>
        <w:rPr>
          <w:spacing w:val="-2"/>
          <w:sz w:val="40"/>
          <w:szCs w:val="40"/>
        </w:rPr>
        <w:t xml:space="preserve">  相对蒸汽密度(dzx</w:t>
      </w:r>
      <w:r>
        <w:rPr>
          <w:spacing w:val="115"/>
          <w:sz w:val="40"/>
          <w:szCs w:val="40"/>
        </w:rPr>
        <w:t xml:space="preserve"> </w:t>
      </w:r>
      <w:r>
        <w:rPr>
          <w:rFonts w:ascii="Times New Roman" w:eastAsia="Times New Roman" w:hAnsi="Times New Roman" w:cs="Times New Roman"/>
          <w:spacing w:val="-2"/>
          <w:sz w:val="40"/>
          <w:szCs w:val="40"/>
        </w:rPr>
        <w:t>=1):3.24</w:t>
      </w:r>
      <w:r>
        <w:rPr>
          <w:spacing w:val="-2"/>
          <w:sz w:val="40"/>
          <w:szCs w:val="40"/>
        </w:rPr>
        <w:t>。</w:t>
      </w:r>
    </w:p>
    <w:p>
      <w:pPr>
        <w:pStyle w:val="BodyText"/>
        <w:spacing w:before="155" w:line="213" w:lineRule="auto"/>
        <w:ind w:left="5"/>
        <w:rPr>
          <w:sz w:val="40"/>
          <w:szCs w:val="40"/>
        </w:rPr>
      </w:pPr>
      <w:r>
        <w:rPr>
          <w:b/>
          <w:bCs/>
          <w:spacing w:val="-2"/>
          <w:sz w:val="40"/>
          <w:szCs w:val="40"/>
        </w:rPr>
        <w:t>4.14</w:t>
      </w:r>
      <w:r>
        <w:rPr>
          <w:spacing w:val="-2"/>
          <w:sz w:val="40"/>
          <w:szCs w:val="40"/>
        </w:rPr>
        <w:t xml:space="preserve">  相对密度</w:t>
      </w:r>
      <w:r>
        <w:rPr>
          <w:rFonts w:ascii="Times New Roman" w:eastAsia="Times New Roman" w:hAnsi="Times New Roman" w:cs="Times New Roman"/>
          <w:spacing w:val="-2"/>
          <w:sz w:val="40"/>
          <w:szCs w:val="40"/>
        </w:rPr>
        <w:t>(dk=1):1.132</w:t>
      </w:r>
      <w:r>
        <w:rPr>
          <w:spacing w:val="-2"/>
          <w:sz w:val="40"/>
          <w:szCs w:val="40"/>
        </w:rPr>
        <w:t>。</w:t>
      </w:r>
    </w:p>
    <w:p>
      <w:pPr>
        <w:pStyle w:val="BodyText"/>
        <w:spacing w:before="174" w:line="220" w:lineRule="auto"/>
        <w:ind w:left="5"/>
        <w:rPr>
          <w:sz w:val="40"/>
          <w:szCs w:val="40"/>
        </w:rPr>
      </w:pPr>
      <w:r>
        <w:rPr>
          <w:b/>
          <w:bCs/>
          <w:spacing w:val="-27"/>
          <w:sz w:val="40"/>
          <w:szCs w:val="40"/>
        </w:rPr>
        <w:t>4.15</w:t>
      </w:r>
      <w:r>
        <w:rPr>
          <w:spacing w:val="-27"/>
          <w:sz w:val="40"/>
          <w:szCs w:val="40"/>
        </w:rPr>
        <w:t xml:space="preserve">  溶解性：可混溶于乙醇、醚、氯仿、甘油。</w:t>
      </w:r>
    </w:p>
    <w:p>
      <w:pPr>
        <w:pStyle w:val="BodyText"/>
        <w:spacing w:before="126" w:line="220" w:lineRule="auto"/>
        <w:ind w:left="5"/>
        <w:rPr>
          <w:sz w:val="40"/>
          <w:szCs w:val="40"/>
        </w:rPr>
      </w:pPr>
      <w:r>
        <w:rPr>
          <w:b/>
          <w:bCs/>
          <w:spacing w:val="-1"/>
          <w:sz w:val="40"/>
          <w:szCs w:val="40"/>
        </w:rPr>
        <w:t>4.16</w:t>
      </w:r>
      <w:r>
        <w:rPr>
          <w:spacing w:val="205"/>
          <w:sz w:val="40"/>
          <w:szCs w:val="40"/>
        </w:rPr>
        <w:t xml:space="preserve"> </w:t>
      </w:r>
      <w:r>
        <w:rPr>
          <w:spacing w:val="-1"/>
          <w:sz w:val="40"/>
          <w:szCs w:val="40"/>
        </w:rPr>
        <w:t>分配系数(正辛醇/水):1.46。</w:t>
      </w:r>
    </w:p>
    <w:p>
      <w:pPr>
        <w:pStyle w:val="BodyText"/>
        <w:spacing w:before="153" w:line="217" w:lineRule="auto"/>
        <w:ind w:left="5"/>
        <w:rPr>
          <w:sz w:val="40"/>
          <w:szCs w:val="40"/>
        </w:rPr>
      </w:pPr>
      <w:r>
        <w:rPr>
          <w:b/>
          <w:bCs/>
          <w:sz w:val="40"/>
          <w:szCs w:val="40"/>
        </w:rPr>
        <w:t>4.17</w:t>
      </w:r>
      <w:r>
        <w:rPr>
          <w:spacing w:val="187"/>
          <w:sz w:val="40"/>
          <w:szCs w:val="40"/>
        </w:rPr>
        <w:t xml:space="preserve"> </w:t>
      </w:r>
      <w:r>
        <w:rPr>
          <w:sz w:val="40"/>
          <w:szCs w:val="40"/>
        </w:rPr>
        <w:t>爆炸极限(体积分数):下限：1.3%,上限：9.5%。</w:t>
      </w:r>
    </w:p>
    <w:p>
      <w:pPr>
        <w:pStyle w:val="BodyText"/>
        <w:spacing w:before="132" w:line="219" w:lineRule="auto"/>
        <w:rPr>
          <w:sz w:val="40"/>
          <w:szCs w:val="40"/>
        </w:rPr>
      </w:pPr>
      <w:r>
        <w:rPr>
          <w:spacing w:val="10"/>
          <w:sz w:val="40"/>
          <w:szCs w:val="40"/>
        </w:rPr>
        <w:t>4.18</w:t>
      </w:r>
      <w:r>
        <w:rPr>
          <w:spacing w:val="188"/>
          <w:sz w:val="40"/>
          <w:szCs w:val="40"/>
        </w:rPr>
        <w:t xml:space="preserve"> </w:t>
      </w:r>
      <w:r>
        <w:rPr>
          <w:spacing w:val="10"/>
          <w:sz w:val="40"/>
          <w:szCs w:val="40"/>
        </w:rPr>
        <w:t>苯酚的红外光谱图见图1。</w:t>
      </w:r>
    </w:p>
    <w:p>
      <w:pPr>
        <w:spacing w:before="107" w:line="6785" w:lineRule="exact"/>
        <w:ind w:firstLine="19"/>
      </w:pPr>
      <w:r>
        <w:rPr>
          <w:position w:val="-135"/>
        </w:rPr>
        <w:drawing>
          <wp:inline distT="0" distB="0" distL="0" distR="0">
            <wp:extent cx="11629138" cy="4309017"/>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1"/>
                    <a:stretch>
                      <a:fillRect/>
                    </a:stretch>
                  </pic:blipFill>
                  <pic:spPr>
                    <a:xfrm>
                      <a:off x="0" y="0"/>
                      <a:ext cx="11629138" cy="4309017"/>
                    </a:xfrm>
                    <a:prstGeom prst="rect">
                      <a:avLst/>
                    </a:prstGeom>
                  </pic:spPr>
                </pic:pic>
              </a:graphicData>
            </a:graphic>
          </wp:inline>
        </w:drawing>
      </w:r>
    </w:p>
    <w:p>
      <w:pPr>
        <w:pStyle w:val="BodyText"/>
        <w:spacing w:before="81" w:line="221" w:lineRule="auto"/>
        <w:ind w:left="8829"/>
        <w:rPr>
          <w:sz w:val="29"/>
          <w:szCs w:val="29"/>
        </w:rPr>
      </w:pPr>
      <w:r>
        <w:rPr>
          <w:spacing w:val="-2"/>
          <w:sz w:val="29"/>
          <w:szCs w:val="29"/>
        </w:rPr>
        <w:t>波数/cm-1</w:t>
      </w:r>
    </w:p>
    <w:p>
      <w:pPr>
        <w:spacing w:line="316" w:lineRule="auto"/>
        <w:rPr>
          <w:rFonts w:ascii="Arial"/>
          <w:sz w:val="21"/>
        </w:rPr>
      </w:pPr>
    </w:p>
    <w:p>
      <w:pPr>
        <w:spacing w:line="316" w:lineRule="auto"/>
        <w:rPr>
          <w:rFonts w:ascii="Arial"/>
          <w:sz w:val="21"/>
        </w:rPr>
      </w:pPr>
    </w:p>
    <w:p>
      <w:pPr>
        <w:spacing w:line="317" w:lineRule="auto"/>
        <w:rPr>
          <w:rFonts w:ascii="Arial"/>
          <w:sz w:val="21"/>
        </w:rPr>
      </w:pPr>
    </w:p>
    <w:p>
      <w:pPr>
        <w:spacing w:before="131" w:line="221" w:lineRule="auto"/>
        <w:ind w:left="6938"/>
        <w:rPr>
          <w:rFonts w:ascii="SimHei" w:eastAsia="SimHei" w:hAnsi="SimHei" w:cs="SimHei"/>
          <w:sz w:val="40"/>
          <w:szCs w:val="40"/>
        </w:rPr>
      </w:pPr>
      <w:r>
        <w:rPr>
          <w:rFonts w:ascii="SimHei" w:eastAsia="SimHei" w:hAnsi="SimHei" w:cs="SimHei"/>
          <w:b/>
          <w:bCs/>
          <w:sz w:val="40"/>
          <w:szCs w:val="40"/>
        </w:rPr>
        <w:t>图</w:t>
      </w:r>
      <w:r>
        <w:rPr>
          <w:rFonts w:ascii="SimHei" w:eastAsia="SimHei" w:hAnsi="SimHei" w:cs="SimHei"/>
          <w:sz w:val="40"/>
          <w:szCs w:val="40"/>
        </w:rPr>
        <w:t xml:space="preserve"> </w:t>
      </w:r>
      <w:r>
        <w:rPr>
          <w:rFonts w:ascii="SimHei" w:eastAsia="SimHei" w:hAnsi="SimHei" w:cs="SimHei"/>
          <w:b/>
          <w:bCs/>
          <w:sz w:val="40"/>
          <w:szCs w:val="40"/>
        </w:rPr>
        <w:t>1</w:t>
      </w:r>
      <w:r>
        <w:rPr>
          <w:rFonts w:ascii="SimHei" w:eastAsia="SimHei" w:hAnsi="SimHei" w:cs="SimHei"/>
          <w:spacing w:val="173"/>
          <w:sz w:val="40"/>
          <w:szCs w:val="40"/>
        </w:rPr>
        <w:t xml:space="preserve"> </w:t>
      </w:r>
      <w:r>
        <w:rPr>
          <w:rFonts w:ascii="SimHei" w:eastAsia="SimHei" w:hAnsi="SimHei" w:cs="SimHei"/>
          <w:b/>
          <w:bCs/>
          <w:sz w:val="40"/>
          <w:szCs w:val="40"/>
        </w:rPr>
        <w:t>苯酚的红外光谱图</w:t>
      </w:r>
    </w:p>
    <w:p>
      <w:pPr>
        <w:spacing w:line="296" w:lineRule="auto"/>
        <w:rPr>
          <w:rFonts w:ascii="Arial"/>
          <w:sz w:val="21"/>
        </w:rPr>
      </w:pPr>
    </w:p>
    <w:p>
      <w:pPr>
        <w:spacing w:line="296" w:lineRule="auto"/>
        <w:rPr>
          <w:rFonts w:ascii="Arial"/>
          <w:sz w:val="21"/>
        </w:rPr>
      </w:pPr>
    </w:p>
    <w:p>
      <w:pPr>
        <w:spacing w:before="130" w:line="223" w:lineRule="auto"/>
        <w:ind w:left="5"/>
        <w:rPr>
          <w:rFonts w:ascii="SimHei" w:eastAsia="SimHei" w:hAnsi="SimHei" w:cs="SimHei"/>
          <w:sz w:val="40"/>
          <w:szCs w:val="40"/>
        </w:rPr>
      </w:pPr>
      <w:r>
        <w:rPr>
          <w:rFonts w:ascii="SimHei" w:eastAsia="SimHei" w:hAnsi="SimHei" w:cs="SimHei"/>
          <w:b/>
          <w:bCs/>
          <w:spacing w:val="1"/>
          <w:sz w:val="40"/>
          <w:szCs w:val="40"/>
        </w:rPr>
        <w:t>5</w:t>
      </w:r>
      <w:r>
        <w:rPr>
          <w:rFonts w:ascii="SimHei" w:eastAsia="SimHei" w:hAnsi="SimHei" w:cs="SimHei"/>
          <w:spacing w:val="15"/>
          <w:sz w:val="40"/>
          <w:szCs w:val="40"/>
        </w:rPr>
        <w:t xml:space="preserve">  </w:t>
      </w:r>
      <w:r>
        <w:rPr>
          <w:rFonts w:ascii="SimHei" w:eastAsia="SimHei" w:hAnsi="SimHei" w:cs="SimHei"/>
          <w:b/>
          <w:bCs/>
          <w:spacing w:val="1"/>
          <w:sz w:val="40"/>
          <w:szCs w:val="40"/>
        </w:rPr>
        <w:t>要求</w:t>
      </w:r>
    </w:p>
    <w:p>
      <w:pPr>
        <w:spacing w:line="258" w:lineRule="auto"/>
        <w:rPr>
          <w:rFonts w:ascii="Arial"/>
          <w:sz w:val="21"/>
        </w:rPr>
      </w:pPr>
    </w:p>
    <w:p>
      <w:pPr>
        <w:spacing w:line="259" w:lineRule="auto"/>
        <w:rPr>
          <w:rFonts w:ascii="Arial"/>
          <w:sz w:val="21"/>
        </w:rPr>
      </w:pPr>
    </w:p>
    <w:p>
      <w:pPr>
        <w:spacing w:before="131" w:line="223" w:lineRule="auto"/>
        <w:ind w:left="5"/>
        <w:outlineLvl w:val="0"/>
        <w:rPr>
          <w:rFonts w:ascii="SimHei" w:eastAsia="SimHei" w:hAnsi="SimHei" w:cs="SimHei"/>
          <w:sz w:val="40"/>
          <w:szCs w:val="40"/>
        </w:rPr>
      </w:pPr>
      <w:r>
        <w:rPr>
          <w:rFonts w:ascii="SimHei" w:eastAsia="SimHei" w:hAnsi="SimHei" w:cs="SimHei"/>
          <w:b/>
          <w:bCs/>
          <w:spacing w:val="-2"/>
          <w:sz w:val="40"/>
          <w:szCs w:val="40"/>
        </w:rPr>
        <w:t>5.1</w:t>
      </w:r>
      <w:r>
        <w:rPr>
          <w:rFonts w:ascii="SimHei" w:eastAsia="SimHei" w:hAnsi="SimHei" w:cs="SimHei"/>
          <w:spacing w:val="165"/>
          <w:sz w:val="40"/>
          <w:szCs w:val="40"/>
        </w:rPr>
        <w:t xml:space="preserve"> </w:t>
      </w:r>
      <w:r>
        <w:rPr>
          <w:rFonts w:ascii="SimHei" w:eastAsia="SimHei" w:hAnsi="SimHei" w:cs="SimHei"/>
          <w:b/>
          <w:bCs/>
          <w:spacing w:val="-2"/>
          <w:sz w:val="40"/>
          <w:szCs w:val="40"/>
        </w:rPr>
        <w:t>报检要求</w:t>
      </w:r>
    </w:p>
    <w:p>
      <w:pPr>
        <w:spacing w:line="318" w:lineRule="auto"/>
        <w:rPr>
          <w:rFonts w:ascii="Arial"/>
          <w:sz w:val="21"/>
        </w:rPr>
      </w:pPr>
    </w:p>
    <w:p>
      <w:pPr>
        <w:pStyle w:val="BodyText"/>
        <w:spacing w:before="131" w:line="606" w:lineRule="exact"/>
        <w:ind w:left="850"/>
        <w:rPr>
          <w:sz w:val="40"/>
          <w:szCs w:val="40"/>
        </w:rPr>
        <w:sectPr>
          <w:footerReference w:type="default" r:id="rId12"/>
          <w:pgSz w:w="22489" w:h="31680"/>
          <w:pgMar w:top="1828" w:right="1994" w:bottom="2189" w:left="2160" w:header="0" w:footer="1928" w:gutter="0"/>
          <w:pgNumType w:start="10"/>
          <w:cols w:space="708"/>
        </w:sectPr>
      </w:pPr>
      <w:r>
        <w:rPr>
          <w:spacing w:val="3"/>
          <w:position w:val="14"/>
          <w:sz w:val="40"/>
          <w:szCs w:val="40"/>
        </w:rPr>
        <w:t>申请单位向检验检疫机构报检时，应按照《危险化学品名录》(2002版)中的名称申报，同时还应提</w:t>
      </w:r>
    </w:p>
    <w:p>
      <w:pPr>
        <w:pStyle w:val="BodyText"/>
        <w:spacing w:line="219" w:lineRule="auto"/>
        <w:rPr>
          <w:sz w:val="40"/>
          <w:szCs w:val="40"/>
        </w:rPr>
      </w:pPr>
      <w:r>
        <w:rPr>
          <w:spacing w:val="-1"/>
          <w:sz w:val="40"/>
          <w:szCs w:val="40"/>
        </w:rPr>
        <w:t>供如下文件和资料，内容应准确并互相一致：</w:t>
      </w:r>
    </w:p>
    <w:p>
      <w:pPr>
        <w:pStyle w:val="BodyText"/>
        <w:spacing w:before="108" w:line="596" w:lineRule="exact"/>
        <w:ind w:left="850"/>
        <w:rPr>
          <w:sz w:val="40"/>
          <w:szCs w:val="40"/>
        </w:rPr>
      </w:pPr>
      <w:r>
        <w:rPr>
          <w:rFonts w:ascii="Times New Roman" w:eastAsia="Times New Roman" w:hAnsi="Times New Roman" w:cs="Times New Roman"/>
          <w:spacing w:val="-1"/>
          <w:position w:val="14"/>
          <w:sz w:val="40"/>
          <w:szCs w:val="40"/>
        </w:rPr>
        <w:t>a)</w:t>
      </w:r>
      <w:r>
        <w:rPr>
          <w:rFonts w:ascii="Times New Roman" w:eastAsia="Times New Roman" w:hAnsi="Times New Roman" w:cs="Times New Roman"/>
          <w:spacing w:val="35"/>
          <w:position w:val="14"/>
          <w:sz w:val="40"/>
          <w:szCs w:val="40"/>
        </w:rPr>
        <w:t xml:space="preserve">  </w:t>
      </w:r>
      <w:r>
        <w:rPr>
          <w:spacing w:val="-1"/>
          <w:position w:val="14"/>
          <w:sz w:val="40"/>
          <w:szCs w:val="40"/>
        </w:rPr>
        <w:t>《出口危险化学品生产企业符合性声明》或《进口危险化学品经营企业符合性声明》;</w:t>
      </w:r>
    </w:p>
    <w:p>
      <w:pPr>
        <w:pStyle w:val="BodyText"/>
        <w:spacing w:before="1" w:line="212" w:lineRule="auto"/>
        <w:ind w:left="850"/>
        <w:rPr>
          <w:rFonts w:ascii="Times New Roman" w:eastAsia="Times New Roman" w:hAnsi="Times New Roman" w:cs="Times New Roman"/>
          <w:sz w:val="40"/>
          <w:szCs w:val="40"/>
        </w:rPr>
      </w:pPr>
      <w:r>
        <w:rPr>
          <w:rFonts w:ascii="Times New Roman" w:eastAsia="Times New Roman" w:hAnsi="Times New Roman" w:cs="Times New Roman"/>
          <w:spacing w:val="4"/>
          <w:sz w:val="40"/>
          <w:szCs w:val="40"/>
        </w:rPr>
        <w:t xml:space="preserve">b)    </w:t>
      </w:r>
      <w:r>
        <w:rPr>
          <w:spacing w:val="4"/>
          <w:sz w:val="40"/>
          <w:szCs w:val="40"/>
        </w:rPr>
        <w:t>出口苯酚的危险特性分类鉴别报告，示例参见附录</w:t>
      </w:r>
      <w:r>
        <w:rPr>
          <w:spacing w:val="-98"/>
          <w:sz w:val="40"/>
          <w:szCs w:val="40"/>
        </w:rPr>
        <w:t xml:space="preserve"> </w:t>
      </w:r>
      <w:r>
        <w:rPr>
          <w:rFonts w:ascii="Times New Roman" w:eastAsia="Times New Roman" w:hAnsi="Times New Roman" w:cs="Times New Roman"/>
          <w:spacing w:val="4"/>
          <w:sz w:val="40"/>
          <w:szCs w:val="40"/>
        </w:rPr>
        <w:t>A;</w:t>
      </w:r>
    </w:p>
    <w:p>
      <w:pPr>
        <w:spacing w:line="212" w:lineRule="auto"/>
        <w:rPr>
          <w:rFonts w:ascii="Times New Roman" w:eastAsia="Times New Roman" w:hAnsi="Times New Roman" w:cs="Times New Roman"/>
          <w:sz w:val="40"/>
          <w:szCs w:val="40"/>
        </w:rPr>
        <w:sectPr>
          <w:footerReference w:type="default" r:id="rId13"/>
          <w:type w:val="nextPage"/>
          <w:pgSz w:w="22489" w:h="31680"/>
          <w:pgMar w:top="1828" w:right="1994" w:bottom="2189" w:left="2160" w:header="0" w:footer="1928" w:gutter="0"/>
          <w:pgNumType w:start="11"/>
          <w:cols w:space="708"/>
          <w:titlePg w:val="0"/>
        </w:sectPr>
      </w:pPr>
    </w:p>
    <w:p>
      <w:pPr>
        <w:pStyle w:val="BodyText"/>
        <w:spacing w:before="88" w:line="224" w:lineRule="auto"/>
        <w:ind w:left="15024"/>
        <w:rPr>
          <w:sz w:val="44"/>
          <w:szCs w:val="44"/>
        </w:rPr>
      </w:pPr>
      <w:r>
        <w:rPr>
          <w:b/>
          <w:bCs/>
          <w:spacing w:val="-9"/>
          <w:sz w:val="44"/>
          <w:szCs w:val="44"/>
        </w:rPr>
        <w:t>SN/T</w:t>
      </w:r>
      <w:r>
        <w:rPr>
          <w:spacing w:val="-9"/>
          <w:sz w:val="44"/>
          <w:szCs w:val="44"/>
        </w:rPr>
        <w:t xml:space="preserve"> </w:t>
      </w:r>
      <w:r>
        <w:rPr>
          <w:b/>
          <w:bCs/>
          <w:spacing w:val="-9"/>
          <w:sz w:val="44"/>
          <w:szCs w:val="44"/>
        </w:rPr>
        <w:t>4470—2016</w:t>
      </w:r>
    </w:p>
    <w:p>
      <w:pPr>
        <w:spacing w:line="250" w:lineRule="auto"/>
        <w:rPr>
          <w:rFonts w:ascii="Arial"/>
          <w:sz w:val="21"/>
        </w:rPr>
      </w:pPr>
    </w:p>
    <w:p>
      <w:pPr>
        <w:spacing w:line="251" w:lineRule="auto"/>
        <w:rPr>
          <w:rFonts w:ascii="Arial"/>
          <w:sz w:val="21"/>
        </w:rPr>
      </w:pPr>
    </w:p>
    <w:p>
      <w:pPr>
        <w:pStyle w:val="BodyText"/>
        <w:spacing w:before="130" w:line="568" w:lineRule="exact"/>
        <w:ind w:left="811"/>
        <w:rPr>
          <w:sz w:val="40"/>
          <w:szCs w:val="40"/>
        </w:rPr>
      </w:pPr>
      <w:r>
        <w:rPr>
          <w:spacing w:val="11"/>
          <w:position w:val="11"/>
          <w:sz w:val="40"/>
          <w:szCs w:val="40"/>
        </w:rPr>
        <w:t>c)  出口苯酚的中文危险公示标签与安全数据单(</w:t>
      </w:r>
      <w:r>
        <w:rPr>
          <w:position w:val="11"/>
          <w:sz w:val="40"/>
          <w:szCs w:val="40"/>
        </w:rPr>
        <w:t>SDS</w:t>
      </w:r>
      <w:r>
        <w:rPr>
          <w:spacing w:val="11"/>
          <w:position w:val="11"/>
          <w:sz w:val="40"/>
          <w:szCs w:val="40"/>
        </w:rPr>
        <w:t>), 示例参见附录</w:t>
      </w:r>
      <w:r>
        <w:rPr>
          <w:spacing w:val="-103"/>
          <w:position w:val="11"/>
          <w:sz w:val="40"/>
          <w:szCs w:val="40"/>
        </w:rPr>
        <w:t xml:space="preserve"> </w:t>
      </w:r>
      <w:r>
        <w:rPr>
          <w:spacing w:val="11"/>
          <w:position w:val="11"/>
          <w:sz w:val="40"/>
          <w:szCs w:val="40"/>
        </w:rPr>
        <w:t>B 与附录C;</w:t>
      </w:r>
    </w:p>
    <w:p>
      <w:pPr>
        <w:pStyle w:val="BodyText"/>
        <w:spacing w:before="1" w:line="212" w:lineRule="auto"/>
        <w:ind w:left="811"/>
        <w:rPr>
          <w:sz w:val="40"/>
          <w:szCs w:val="40"/>
        </w:rPr>
      </w:pPr>
      <w:r>
        <w:rPr>
          <w:rFonts w:ascii="Times New Roman" w:eastAsia="Times New Roman" w:hAnsi="Times New Roman" w:cs="Times New Roman"/>
          <w:sz w:val="40"/>
          <w:szCs w:val="40"/>
        </w:rPr>
        <w:t xml:space="preserve">d)     </w:t>
      </w:r>
      <w:r>
        <w:rPr>
          <w:sz w:val="40"/>
          <w:szCs w:val="40"/>
        </w:rPr>
        <w:t>出口苯酚的《出入境货物包装性能检验结果单》(散装</w:t>
      </w:r>
      <w:r>
        <w:rPr>
          <w:spacing w:val="-1"/>
          <w:sz w:val="40"/>
          <w:szCs w:val="40"/>
        </w:rPr>
        <w:t>产品除外);</w:t>
      </w:r>
    </w:p>
    <w:p>
      <w:pPr>
        <w:pStyle w:val="BodyText"/>
        <w:spacing w:before="155" w:line="663" w:lineRule="exact"/>
        <w:ind w:left="811"/>
        <w:rPr>
          <w:rFonts w:ascii="Times New Roman" w:eastAsia="Times New Roman" w:hAnsi="Times New Roman" w:cs="Times New Roman"/>
          <w:sz w:val="40"/>
          <w:szCs w:val="40"/>
        </w:rPr>
      </w:pPr>
      <w:r>
        <w:rPr>
          <w:rFonts w:ascii="Times New Roman" w:eastAsia="Times New Roman" w:hAnsi="Times New Roman" w:cs="Times New Roman"/>
          <w:spacing w:val="15"/>
          <w:position w:val="19"/>
          <w:sz w:val="40"/>
          <w:szCs w:val="40"/>
        </w:rPr>
        <w:t xml:space="preserve">e)    </w:t>
      </w:r>
      <w:r>
        <w:rPr>
          <w:spacing w:val="15"/>
          <w:position w:val="19"/>
          <w:sz w:val="40"/>
          <w:szCs w:val="40"/>
        </w:rPr>
        <w:t>进口苯酚的中文危险公示标签与安全数据单</w:t>
      </w:r>
      <w:r>
        <w:rPr>
          <w:rFonts w:ascii="Times New Roman" w:eastAsia="Times New Roman" w:hAnsi="Times New Roman" w:cs="Times New Roman"/>
          <w:spacing w:val="15"/>
          <w:position w:val="19"/>
          <w:sz w:val="40"/>
          <w:szCs w:val="40"/>
        </w:rPr>
        <w:t>(</w:t>
      </w:r>
      <w:r>
        <w:rPr>
          <w:rFonts w:ascii="Times New Roman" w:eastAsia="Times New Roman" w:hAnsi="Times New Roman" w:cs="Times New Roman"/>
          <w:position w:val="19"/>
          <w:sz w:val="40"/>
          <w:szCs w:val="40"/>
        </w:rPr>
        <w:t>SDS</w:t>
      </w:r>
      <w:r>
        <w:rPr>
          <w:rFonts w:ascii="Times New Roman" w:eastAsia="Times New Roman" w:hAnsi="Times New Roman" w:cs="Times New Roman"/>
          <w:spacing w:val="15"/>
          <w:position w:val="19"/>
          <w:sz w:val="40"/>
          <w:szCs w:val="40"/>
        </w:rPr>
        <w:t xml:space="preserve">),   </w:t>
      </w:r>
      <w:r>
        <w:rPr>
          <w:spacing w:val="15"/>
          <w:position w:val="19"/>
          <w:sz w:val="40"/>
          <w:szCs w:val="40"/>
        </w:rPr>
        <w:t>示例参见附录</w:t>
      </w:r>
      <w:r>
        <w:rPr>
          <w:rFonts w:ascii="Times New Roman" w:eastAsia="Times New Roman" w:hAnsi="Times New Roman" w:cs="Times New Roman"/>
          <w:spacing w:val="15"/>
          <w:position w:val="19"/>
          <w:sz w:val="40"/>
          <w:szCs w:val="40"/>
        </w:rPr>
        <w:t xml:space="preserve">B </w:t>
      </w:r>
      <w:r>
        <w:rPr>
          <w:spacing w:val="14"/>
          <w:position w:val="19"/>
          <w:sz w:val="40"/>
          <w:szCs w:val="40"/>
        </w:rPr>
        <w:t>与附录</w:t>
      </w:r>
      <w:r>
        <w:rPr>
          <w:rFonts w:ascii="Times New Roman" w:eastAsia="Times New Roman" w:hAnsi="Times New Roman" w:cs="Times New Roman"/>
          <w:spacing w:val="14"/>
          <w:position w:val="19"/>
          <w:sz w:val="40"/>
          <w:szCs w:val="40"/>
        </w:rPr>
        <w:t>C;</w:t>
      </w:r>
    </w:p>
    <w:p>
      <w:pPr>
        <w:pStyle w:val="BodyText"/>
        <w:spacing w:before="1" w:line="220" w:lineRule="auto"/>
        <w:ind w:left="811"/>
        <w:rPr>
          <w:sz w:val="40"/>
          <w:szCs w:val="40"/>
        </w:rPr>
      </w:pPr>
      <w:r>
        <w:rPr>
          <w:spacing w:val="4"/>
          <w:sz w:val="40"/>
          <w:szCs w:val="40"/>
        </w:rPr>
        <w:t>f)  其他相关资料。</w:t>
      </w:r>
    </w:p>
    <w:p>
      <w:pPr>
        <w:spacing w:line="282" w:lineRule="auto"/>
        <w:rPr>
          <w:rFonts w:ascii="Arial"/>
          <w:sz w:val="21"/>
        </w:rPr>
      </w:pPr>
    </w:p>
    <w:p>
      <w:pPr>
        <w:spacing w:before="130" w:line="223" w:lineRule="auto"/>
        <w:ind w:left="5"/>
        <w:outlineLvl w:val="0"/>
        <w:rPr>
          <w:rFonts w:ascii="SimHei" w:eastAsia="SimHei" w:hAnsi="SimHei" w:cs="SimHei"/>
          <w:sz w:val="40"/>
          <w:szCs w:val="40"/>
        </w:rPr>
      </w:pPr>
      <w:r>
        <w:rPr>
          <w:rFonts w:ascii="SimHei" w:eastAsia="SimHei" w:hAnsi="SimHei" w:cs="SimHei"/>
          <w:b/>
          <w:bCs/>
          <w:spacing w:val="-4"/>
          <w:sz w:val="40"/>
          <w:szCs w:val="40"/>
        </w:rPr>
        <w:t>5.2</w:t>
      </w:r>
      <w:r>
        <w:rPr>
          <w:rFonts w:ascii="SimHei" w:eastAsia="SimHei" w:hAnsi="SimHei" w:cs="SimHei"/>
          <w:spacing w:val="-4"/>
          <w:sz w:val="40"/>
          <w:szCs w:val="40"/>
        </w:rPr>
        <w:t xml:space="preserve">  </w:t>
      </w:r>
      <w:r>
        <w:rPr>
          <w:rFonts w:ascii="SimHei" w:eastAsia="SimHei" w:hAnsi="SimHei" w:cs="SimHei"/>
          <w:b/>
          <w:bCs/>
          <w:spacing w:val="-4"/>
          <w:sz w:val="40"/>
          <w:szCs w:val="40"/>
        </w:rPr>
        <w:t>审单要求</w:t>
      </w:r>
    </w:p>
    <w:p>
      <w:pPr>
        <w:spacing w:line="303" w:lineRule="auto"/>
        <w:rPr>
          <w:rFonts w:ascii="Arial"/>
          <w:sz w:val="21"/>
        </w:rPr>
      </w:pPr>
    </w:p>
    <w:p>
      <w:pPr>
        <w:pStyle w:val="BodyText"/>
        <w:spacing w:before="130" w:line="213" w:lineRule="auto"/>
        <w:ind w:left="4"/>
        <w:rPr>
          <w:sz w:val="40"/>
          <w:szCs w:val="40"/>
        </w:rPr>
      </w:pPr>
      <w:r>
        <w:rPr>
          <w:b/>
          <w:bCs/>
          <w:spacing w:val="-11"/>
          <w:sz w:val="40"/>
          <w:szCs w:val="40"/>
        </w:rPr>
        <w:t>5.2.1</w:t>
      </w:r>
      <w:r>
        <w:rPr>
          <w:spacing w:val="-11"/>
          <w:sz w:val="40"/>
          <w:szCs w:val="40"/>
        </w:rPr>
        <w:t xml:space="preserve">  产品的成分信息、物理特性、化学特性等应与5.1</w:t>
      </w:r>
      <w:r>
        <w:rPr>
          <w:rFonts w:ascii="Times New Roman" w:eastAsia="Times New Roman" w:hAnsi="Times New Roman" w:cs="Times New Roman"/>
          <w:spacing w:val="-11"/>
          <w:sz w:val="40"/>
          <w:szCs w:val="40"/>
        </w:rPr>
        <w:t>b)</w:t>
      </w:r>
      <w:r>
        <w:rPr>
          <w:rFonts w:ascii="Times New Roman" w:eastAsia="Times New Roman" w:hAnsi="Times New Roman" w:cs="Times New Roman"/>
          <w:spacing w:val="-60"/>
          <w:sz w:val="40"/>
          <w:szCs w:val="40"/>
        </w:rPr>
        <w:t xml:space="preserve"> </w:t>
      </w:r>
      <w:r>
        <w:rPr>
          <w:spacing w:val="-11"/>
          <w:sz w:val="40"/>
          <w:szCs w:val="40"/>
        </w:rPr>
        <w:t>、</w:t>
      </w:r>
      <w:r>
        <w:rPr>
          <w:rFonts w:ascii="Times New Roman" w:eastAsia="Times New Roman" w:hAnsi="Times New Roman" w:cs="Times New Roman"/>
          <w:spacing w:val="-11"/>
          <w:sz w:val="40"/>
          <w:szCs w:val="40"/>
        </w:rPr>
        <w:t>c)</w:t>
      </w:r>
      <w:r>
        <w:rPr>
          <w:rFonts w:ascii="Times New Roman" w:eastAsia="Times New Roman" w:hAnsi="Times New Roman" w:cs="Times New Roman"/>
          <w:spacing w:val="-60"/>
          <w:sz w:val="40"/>
          <w:szCs w:val="40"/>
        </w:rPr>
        <w:t xml:space="preserve"> </w:t>
      </w:r>
      <w:r>
        <w:rPr>
          <w:spacing w:val="-11"/>
          <w:sz w:val="40"/>
          <w:szCs w:val="40"/>
        </w:rPr>
        <w:t>、</w:t>
      </w:r>
      <w:r>
        <w:rPr>
          <w:rFonts w:ascii="Times New Roman" w:eastAsia="Times New Roman" w:hAnsi="Times New Roman" w:cs="Times New Roman"/>
          <w:spacing w:val="-11"/>
          <w:sz w:val="40"/>
          <w:szCs w:val="40"/>
        </w:rPr>
        <w:t>e)</w:t>
      </w:r>
      <w:r>
        <w:rPr>
          <w:spacing w:val="-11"/>
          <w:sz w:val="40"/>
          <w:szCs w:val="40"/>
        </w:rPr>
        <w:t xml:space="preserve">或 </w:t>
      </w:r>
      <w:r>
        <w:rPr>
          <w:rFonts w:ascii="Times New Roman" w:eastAsia="Times New Roman" w:hAnsi="Times New Roman" w:cs="Times New Roman"/>
          <w:spacing w:val="-12"/>
          <w:sz w:val="40"/>
          <w:szCs w:val="40"/>
        </w:rPr>
        <w:t>f)</w:t>
      </w:r>
      <w:r>
        <w:rPr>
          <w:rFonts w:ascii="Times New Roman" w:eastAsia="Times New Roman" w:hAnsi="Times New Roman" w:cs="Times New Roman"/>
          <w:spacing w:val="-29"/>
          <w:sz w:val="40"/>
          <w:szCs w:val="40"/>
        </w:rPr>
        <w:t xml:space="preserve"> </w:t>
      </w:r>
      <w:r>
        <w:rPr>
          <w:spacing w:val="-12"/>
          <w:sz w:val="40"/>
          <w:szCs w:val="40"/>
        </w:rPr>
        <w:t>相一致。</w:t>
      </w:r>
    </w:p>
    <w:p>
      <w:pPr>
        <w:pStyle w:val="BodyText"/>
        <w:spacing w:before="189" w:line="219" w:lineRule="auto"/>
        <w:ind w:left="5"/>
        <w:rPr>
          <w:sz w:val="40"/>
          <w:szCs w:val="40"/>
        </w:rPr>
      </w:pPr>
      <w:r>
        <w:rPr>
          <w:b/>
          <w:bCs/>
          <w:spacing w:val="-5"/>
          <w:sz w:val="40"/>
          <w:szCs w:val="40"/>
        </w:rPr>
        <w:t>5.2.2</w:t>
      </w:r>
      <w:r>
        <w:rPr>
          <w:spacing w:val="-5"/>
          <w:sz w:val="40"/>
          <w:szCs w:val="40"/>
        </w:rPr>
        <w:t xml:space="preserve">  对出口有包装的苯酚应核查《出入境货</w:t>
      </w:r>
      <w:r>
        <w:rPr>
          <w:spacing w:val="-6"/>
          <w:sz w:val="40"/>
          <w:szCs w:val="40"/>
        </w:rPr>
        <w:t>物包装性能检验结果单》。</w:t>
      </w:r>
    </w:p>
    <w:p>
      <w:pPr>
        <w:pStyle w:val="BodyText"/>
        <w:spacing w:before="98" w:line="264" w:lineRule="auto"/>
        <w:ind w:right="145" w:firstLine="5"/>
        <w:rPr>
          <w:sz w:val="40"/>
          <w:szCs w:val="40"/>
        </w:rPr>
      </w:pPr>
      <w:r>
        <w:rPr>
          <w:b/>
          <w:bCs/>
          <w:spacing w:val="-2"/>
          <w:sz w:val="40"/>
          <w:szCs w:val="40"/>
        </w:rPr>
        <w:t>5.2.3</w:t>
      </w:r>
      <w:r>
        <w:rPr>
          <w:spacing w:val="-2"/>
          <w:sz w:val="40"/>
          <w:szCs w:val="40"/>
        </w:rPr>
        <w:t xml:space="preserve">  苯酚的危险公示标签应符合《全球化学品统一分类和标签制度》</w:t>
      </w:r>
      <w:r>
        <w:rPr>
          <w:rFonts w:ascii="Times New Roman" w:eastAsia="Times New Roman" w:hAnsi="Times New Roman" w:cs="Times New Roman"/>
          <w:spacing w:val="-2"/>
          <w:sz w:val="40"/>
          <w:szCs w:val="40"/>
        </w:rPr>
        <w:t>(GHS)</w:t>
      </w:r>
      <w:r>
        <w:rPr>
          <w:rFonts w:ascii="Times New Roman" w:eastAsia="Times New Roman" w:hAnsi="Times New Roman" w:cs="Times New Roman"/>
          <w:spacing w:val="34"/>
          <w:sz w:val="40"/>
          <w:szCs w:val="40"/>
        </w:rPr>
        <w:t xml:space="preserve">  </w:t>
      </w:r>
      <w:r>
        <w:rPr>
          <w:spacing w:val="-2"/>
          <w:sz w:val="40"/>
          <w:szCs w:val="40"/>
        </w:rPr>
        <w:t>的要求，进口产品还应符</w:t>
      </w:r>
      <w:r>
        <w:rPr>
          <w:spacing w:val="1"/>
          <w:sz w:val="40"/>
          <w:szCs w:val="40"/>
        </w:rPr>
        <w:t xml:space="preserve"> </w:t>
      </w:r>
      <w:r>
        <w:rPr>
          <w:spacing w:val="-6"/>
          <w:sz w:val="40"/>
          <w:szCs w:val="40"/>
        </w:rPr>
        <w:t>合</w:t>
      </w:r>
      <w:r>
        <w:rPr>
          <w:spacing w:val="-85"/>
          <w:sz w:val="40"/>
          <w:szCs w:val="40"/>
        </w:rPr>
        <w:t xml:space="preserve"> </w:t>
      </w:r>
      <w:r>
        <w:rPr>
          <w:spacing w:val="-6"/>
          <w:sz w:val="40"/>
          <w:szCs w:val="40"/>
        </w:rPr>
        <w:t>GB15258  和</w:t>
      </w:r>
      <w:r>
        <w:rPr>
          <w:spacing w:val="-85"/>
          <w:sz w:val="40"/>
          <w:szCs w:val="40"/>
        </w:rPr>
        <w:t xml:space="preserve"> </w:t>
      </w:r>
      <w:r>
        <w:rPr>
          <w:spacing w:val="-6"/>
          <w:sz w:val="40"/>
          <w:szCs w:val="40"/>
        </w:rPr>
        <w:t>GB</w:t>
      </w:r>
      <w:r>
        <w:rPr>
          <w:spacing w:val="122"/>
          <w:sz w:val="40"/>
          <w:szCs w:val="40"/>
        </w:rPr>
        <w:t xml:space="preserve"> </w:t>
      </w:r>
      <w:r>
        <w:rPr>
          <w:spacing w:val="-6"/>
          <w:sz w:val="40"/>
          <w:szCs w:val="40"/>
        </w:rPr>
        <w:t>30000.18</w:t>
      </w:r>
      <w:r>
        <w:rPr>
          <w:spacing w:val="-57"/>
          <w:sz w:val="40"/>
          <w:szCs w:val="40"/>
        </w:rPr>
        <w:t xml:space="preserve"> </w:t>
      </w:r>
      <w:r>
        <w:rPr>
          <w:spacing w:val="-6"/>
          <w:sz w:val="40"/>
          <w:szCs w:val="40"/>
        </w:rPr>
        <w:t>的要求，标签内容应完整、准确，标签示例参见附录</w:t>
      </w:r>
      <w:r>
        <w:rPr>
          <w:rFonts w:ascii="Times New Roman" w:eastAsia="Times New Roman" w:hAnsi="Times New Roman" w:cs="Times New Roman"/>
          <w:spacing w:val="-6"/>
          <w:sz w:val="40"/>
          <w:szCs w:val="40"/>
        </w:rPr>
        <w:t>B</w:t>
      </w:r>
      <w:r>
        <w:rPr>
          <w:spacing w:val="-6"/>
          <w:sz w:val="40"/>
          <w:szCs w:val="40"/>
        </w:rPr>
        <w:t>。</w:t>
      </w:r>
    </w:p>
    <w:p>
      <w:pPr>
        <w:pStyle w:val="BodyText"/>
        <w:spacing w:before="122" w:line="219" w:lineRule="auto"/>
        <w:ind w:left="4"/>
        <w:rPr>
          <w:sz w:val="40"/>
          <w:szCs w:val="40"/>
        </w:rPr>
      </w:pPr>
      <w:r>
        <w:rPr>
          <w:b/>
          <w:bCs/>
          <w:spacing w:val="-4"/>
          <w:sz w:val="40"/>
          <w:szCs w:val="40"/>
        </w:rPr>
        <w:t>5.2.4</w:t>
      </w:r>
      <w:r>
        <w:rPr>
          <w:spacing w:val="-4"/>
          <w:sz w:val="40"/>
          <w:szCs w:val="40"/>
        </w:rPr>
        <w:t xml:space="preserve">  安全数据单应信息完整、准确，安全数据单示例参见附录</w:t>
      </w:r>
      <w:r>
        <w:rPr>
          <w:rFonts w:ascii="Times New Roman" w:eastAsia="Times New Roman" w:hAnsi="Times New Roman" w:cs="Times New Roman"/>
          <w:spacing w:val="-4"/>
          <w:sz w:val="40"/>
          <w:szCs w:val="40"/>
        </w:rPr>
        <w:t>C</w:t>
      </w:r>
      <w:r>
        <w:rPr>
          <w:spacing w:val="-4"/>
          <w:sz w:val="40"/>
          <w:szCs w:val="40"/>
        </w:rPr>
        <w:t>。</w:t>
      </w:r>
    </w:p>
    <w:p>
      <w:pPr>
        <w:spacing w:line="306" w:lineRule="auto"/>
        <w:rPr>
          <w:rFonts w:ascii="Arial"/>
          <w:sz w:val="21"/>
        </w:rPr>
      </w:pPr>
    </w:p>
    <w:p>
      <w:pPr>
        <w:spacing w:before="130" w:line="222" w:lineRule="auto"/>
        <w:ind w:left="5"/>
        <w:outlineLvl w:val="0"/>
        <w:rPr>
          <w:rFonts w:ascii="SimHei" w:eastAsia="SimHei" w:hAnsi="SimHei" w:cs="SimHei"/>
          <w:sz w:val="40"/>
          <w:szCs w:val="40"/>
        </w:rPr>
      </w:pPr>
      <w:r>
        <w:rPr>
          <w:rFonts w:ascii="SimHei" w:eastAsia="SimHei" w:hAnsi="SimHei" w:cs="SimHei"/>
          <w:b/>
          <w:bCs/>
          <w:spacing w:val="-5"/>
          <w:sz w:val="40"/>
          <w:szCs w:val="40"/>
        </w:rPr>
        <w:t>5.3</w:t>
      </w:r>
      <w:r>
        <w:rPr>
          <w:rFonts w:ascii="SimHei" w:eastAsia="SimHei" w:hAnsi="SimHei" w:cs="SimHei"/>
          <w:spacing w:val="187"/>
          <w:sz w:val="40"/>
          <w:szCs w:val="40"/>
        </w:rPr>
        <w:t xml:space="preserve"> </w:t>
      </w:r>
      <w:r>
        <w:rPr>
          <w:rFonts w:ascii="SimHei" w:eastAsia="SimHei" w:hAnsi="SimHei" w:cs="SimHei"/>
          <w:b/>
          <w:bCs/>
          <w:spacing w:val="-5"/>
          <w:sz w:val="40"/>
          <w:szCs w:val="40"/>
        </w:rPr>
        <w:t>检验要求</w:t>
      </w:r>
    </w:p>
    <w:p>
      <w:pPr>
        <w:spacing w:line="297" w:lineRule="auto"/>
        <w:rPr>
          <w:rFonts w:ascii="Arial"/>
          <w:sz w:val="21"/>
        </w:rPr>
      </w:pPr>
    </w:p>
    <w:p>
      <w:pPr>
        <w:pStyle w:val="BodyText"/>
        <w:spacing w:before="131" w:line="220" w:lineRule="auto"/>
        <w:ind w:left="4"/>
        <w:outlineLvl w:val="0"/>
        <w:rPr>
          <w:sz w:val="40"/>
          <w:szCs w:val="40"/>
        </w:rPr>
      </w:pPr>
      <w:r>
        <w:rPr>
          <w:b/>
          <w:bCs/>
          <w:spacing w:val="-21"/>
          <w:sz w:val="40"/>
          <w:szCs w:val="40"/>
        </w:rPr>
        <w:t>5.3.1</w:t>
      </w:r>
      <w:r>
        <w:rPr>
          <w:spacing w:val="11"/>
          <w:sz w:val="40"/>
          <w:szCs w:val="40"/>
        </w:rPr>
        <w:t xml:space="preserve">  </w:t>
      </w:r>
      <w:r>
        <w:rPr>
          <w:b/>
          <w:bCs/>
          <w:spacing w:val="-21"/>
          <w:sz w:val="40"/>
          <w:szCs w:val="40"/>
        </w:rPr>
        <w:t>检验批</w:t>
      </w:r>
    </w:p>
    <w:p>
      <w:pPr>
        <w:spacing w:line="354" w:lineRule="auto"/>
        <w:rPr>
          <w:rFonts w:ascii="Arial"/>
          <w:sz w:val="21"/>
        </w:rPr>
      </w:pPr>
    </w:p>
    <w:p>
      <w:pPr>
        <w:pStyle w:val="BodyText"/>
        <w:spacing w:before="131" w:line="220" w:lineRule="auto"/>
        <w:ind w:left="811"/>
        <w:rPr>
          <w:sz w:val="40"/>
          <w:szCs w:val="40"/>
        </w:rPr>
      </w:pPr>
      <w:r>
        <w:rPr>
          <w:sz w:val="40"/>
          <w:szCs w:val="40"/>
        </w:rPr>
        <w:t>以报检的同一生产商、同一输出国(或地区)、同一规格的产品为一检验批。</w:t>
      </w:r>
    </w:p>
    <w:p>
      <w:pPr>
        <w:spacing w:line="289" w:lineRule="auto"/>
        <w:rPr>
          <w:rFonts w:ascii="Arial"/>
          <w:sz w:val="21"/>
        </w:rPr>
      </w:pPr>
    </w:p>
    <w:p>
      <w:pPr>
        <w:spacing w:before="130" w:line="224" w:lineRule="auto"/>
        <w:ind w:left="4"/>
        <w:outlineLvl w:val="0"/>
        <w:rPr>
          <w:rFonts w:ascii="SimHei" w:eastAsia="SimHei" w:hAnsi="SimHei" w:cs="SimHei"/>
          <w:sz w:val="40"/>
          <w:szCs w:val="40"/>
        </w:rPr>
      </w:pPr>
      <w:r>
        <w:rPr>
          <w:rFonts w:ascii="SimHei" w:eastAsia="SimHei" w:hAnsi="SimHei" w:cs="SimHei"/>
          <w:b/>
          <w:bCs/>
          <w:spacing w:val="-20"/>
          <w:sz w:val="40"/>
          <w:szCs w:val="40"/>
        </w:rPr>
        <w:t>5.3.2</w:t>
      </w:r>
      <w:r>
        <w:rPr>
          <w:rFonts w:ascii="SimHei" w:eastAsia="SimHei" w:hAnsi="SimHei" w:cs="SimHei"/>
          <w:sz w:val="40"/>
          <w:szCs w:val="40"/>
        </w:rPr>
        <w:t xml:space="preserve">  </w:t>
      </w:r>
      <w:r>
        <w:rPr>
          <w:rFonts w:ascii="SimHei" w:eastAsia="SimHei" w:hAnsi="SimHei" w:cs="SimHei"/>
          <w:b/>
          <w:bCs/>
          <w:spacing w:val="-20"/>
          <w:sz w:val="40"/>
          <w:szCs w:val="40"/>
        </w:rPr>
        <w:t>抽样</w:t>
      </w:r>
    </w:p>
    <w:p>
      <w:pPr>
        <w:spacing w:line="335" w:lineRule="auto"/>
        <w:rPr>
          <w:rFonts w:ascii="Arial"/>
          <w:sz w:val="21"/>
        </w:rPr>
      </w:pPr>
    </w:p>
    <w:p>
      <w:pPr>
        <w:pStyle w:val="BodyText"/>
        <w:spacing w:before="131" w:line="247" w:lineRule="auto"/>
        <w:ind w:right="145" w:firstLine="5"/>
        <w:rPr>
          <w:sz w:val="40"/>
          <w:szCs w:val="40"/>
        </w:rPr>
      </w:pPr>
      <w:hyperlink r:id="rId14" w:history="1">
        <w:r>
          <w:rPr>
            <w:b/>
            <w:bCs/>
            <w:spacing w:val="3"/>
            <w:sz w:val="40"/>
            <w:szCs w:val="40"/>
          </w:rPr>
          <w:t>5.3.2.1</w:t>
        </w:r>
      </w:hyperlink>
      <w:r>
        <w:rPr>
          <w:spacing w:val="179"/>
          <w:sz w:val="40"/>
          <w:szCs w:val="40"/>
        </w:rPr>
        <w:t xml:space="preserve"> </w:t>
      </w:r>
      <w:r>
        <w:rPr>
          <w:spacing w:val="3"/>
          <w:sz w:val="40"/>
          <w:szCs w:val="40"/>
        </w:rPr>
        <w:t>产品按照</w:t>
      </w:r>
      <w:r>
        <w:rPr>
          <w:sz w:val="40"/>
          <w:szCs w:val="40"/>
        </w:rPr>
        <w:t>GB</w:t>
      </w:r>
      <w:r>
        <w:rPr>
          <w:spacing w:val="3"/>
          <w:sz w:val="40"/>
          <w:szCs w:val="40"/>
        </w:rPr>
        <w:t>/T6678</w:t>
      </w:r>
      <w:r>
        <w:rPr>
          <w:spacing w:val="79"/>
          <w:sz w:val="40"/>
          <w:szCs w:val="40"/>
        </w:rPr>
        <w:t xml:space="preserve">  </w:t>
      </w:r>
      <w:r>
        <w:rPr>
          <w:spacing w:val="3"/>
          <w:sz w:val="40"/>
          <w:szCs w:val="40"/>
        </w:rPr>
        <w:t>确定抽样数量和样品数量，并</w:t>
      </w:r>
      <w:r>
        <w:rPr>
          <w:spacing w:val="2"/>
          <w:sz w:val="40"/>
          <w:szCs w:val="40"/>
        </w:rPr>
        <w:t>按照</w:t>
      </w:r>
      <w:r>
        <w:rPr>
          <w:sz w:val="40"/>
          <w:szCs w:val="40"/>
        </w:rPr>
        <w:t>GB</w:t>
      </w:r>
      <w:r>
        <w:rPr>
          <w:spacing w:val="2"/>
          <w:sz w:val="40"/>
          <w:szCs w:val="40"/>
        </w:rPr>
        <w:t>/T  6680</w:t>
      </w:r>
      <w:r>
        <w:rPr>
          <w:spacing w:val="-44"/>
          <w:sz w:val="40"/>
          <w:szCs w:val="40"/>
        </w:rPr>
        <w:t xml:space="preserve"> </w:t>
      </w:r>
      <w:r>
        <w:rPr>
          <w:spacing w:val="2"/>
          <w:sz w:val="40"/>
          <w:szCs w:val="40"/>
        </w:rPr>
        <w:t>的要求进行抽样；散装运</w:t>
      </w:r>
      <w:r>
        <w:rPr>
          <w:sz w:val="40"/>
          <w:szCs w:val="40"/>
        </w:rPr>
        <w:t xml:space="preserve"> </w:t>
      </w:r>
      <w:r>
        <w:rPr>
          <w:spacing w:val="14"/>
          <w:sz w:val="40"/>
          <w:szCs w:val="40"/>
        </w:rPr>
        <w:t>输的产品按照</w:t>
      </w:r>
      <w:r>
        <w:rPr>
          <w:sz w:val="40"/>
          <w:szCs w:val="40"/>
        </w:rPr>
        <w:t>SN</w:t>
      </w:r>
      <w:r>
        <w:rPr>
          <w:spacing w:val="14"/>
          <w:sz w:val="40"/>
          <w:szCs w:val="40"/>
        </w:rPr>
        <w:t>/T3220</w:t>
      </w:r>
      <w:r>
        <w:rPr>
          <w:spacing w:val="77"/>
          <w:sz w:val="40"/>
          <w:szCs w:val="40"/>
        </w:rPr>
        <w:t xml:space="preserve">  </w:t>
      </w:r>
      <w:r>
        <w:rPr>
          <w:spacing w:val="14"/>
          <w:sz w:val="40"/>
          <w:szCs w:val="40"/>
        </w:rPr>
        <w:t>的要求进行抽样。抽样按照</w:t>
      </w:r>
      <w:r>
        <w:rPr>
          <w:sz w:val="40"/>
          <w:szCs w:val="40"/>
        </w:rPr>
        <w:t>GB</w:t>
      </w:r>
      <w:r>
        <w:rPr>
          <w:spacing w:val="14"/>
          <w:sz w:val="40"/>
          <w:szCs w:val="40"/>
        </w:rPr>
        <w:t>/T  3723</w:t>
      </w:r>
      <w:r>
        <w:rPr>
          <w:spacing w:val="-117"/>
          <w:sz w:val="40"/>
          <w:szCs w:val="40"/>
        </w:rPr>
        <w:t xml:space="preserve"> </w:t>
      </w:r>
      <w:r>
        <w:rPr>
          <w:spacing w:val="14"/>
          <w:sz w:val="40"/>
          <w:szCs w:val="40"/>
        </w:rPr>
        <w:t>相关安全防护的要求</w:t>
      </w:r>
      <w:r>
        <w:rPr>
          <w:spacing w:val="13"/>
          <w:sz w:val="40"/>
          <w:szCs w:val="40"/>
        </w:rPr>
        <w:t>实施。</w:t>
      </w:r>
    </w:p>
    <w:p>
      <w:pPr>
        <w:pStyle w:val="BodyText"/>
        <w:spacing w:before="149" w:line="220" w:lineRule="auto"/>
        <w:ind w:left="4"/>
        <w:rPr>
          <w:sz w:val="40"/>
          <w:szCs w:val="40"/>
        </w:rPr>
      </w:pPr>
      <w:hyperlink r:id="rId15" w:history="1">
        <w:r>
          <w:rPr>
            <w:b/>
            <w:bCs/>
            <w:spacing w:val="3"/>
            <w:sz w:val="40"/>
            <w:szCs w:val="40"/>
          </w:rPr>
          <w:t>5.3.2.2</w:t>
        </w:r>
      </w:hyperlink>
      <w:r>
        <w:rPr>
          <w:spacing w:val="199"/>
          <w:sz w:val="40"/>
          <w:szCs w:val="40"/>
        </w:rPr>
        <w:t xml:space="preserve"> </w:t>
      </w:r>
      <w:r>
        <w:rPr>
          <w:spacing w:val="3"/>
          <w:sz w:val="40"/>
          <w:szCs w:val="40"/>
        </w:rPr>
        <w:t>危险公示信息现场核查的抽样数量见表1。</w:t>
      </w:r>
    </w:p>
    <w:p>
      <w:pPr>
        <w:spacing w:line="285" w:lineRule="auto"/>
        <w:rPr>
          <w:rFonts w:ascii="Arial"/>
          <w:sz w:val="21"/>
        </w:rPr>
      </w:pPr>
    </w:p>
    <w:p>
      <w:pPr>
        <w:pStyle w:val="BodyText"/>
        <w:spacing w:before="130" w:line="223" w:lineRule="auto"/>
        <w:ind w:left="7740"/>
        <w:rPr>
          <w:sz w:val="34"/>
          <w:szCs w:val="34"/>
        </w:rPr>
      </w:pPr>
      <w:r>
        <w:rPr>
          <w:rFonts w:ascii="SimHei" w:eastAsia="SimHei" w:hAnsi="SimHei" w:cs="SimHei"/>
          <w:b/>
          <w:bCs/>
          <w:spacing w:val="3"/>
          <w:sz w:val="40"/>
          <w:szCs w:val="40"/>
        </w:rPr>
        <w:t>表</w:t>
      </w:r>
      <w:r>
        <w:rPr>
          <w:rFonts w:ascii="SimHei" w:eastAsia="SimHei" w:hAnsi="SimHei" w:cs="SimHei"/>
          <w:spacing w:val="46"/>
          <w:sz w:val="40"/>
          <w:szCs w:val="40"/>
        </w:rPr>
        <w:t xml:space="preserve"> </w:t>
      </w:r>
      <w:r>
        <w:rPr>
          <w:rFonts w:ascii="SimHei" w:eastAsia="SimHei" w:hAnsi="SimHei" w:cs="SimHei"/>
          <w:b/>
          <w:bCs/>
          <w:spacing w:val="3"/>
          <w:sz w:val="40"/>
          <w:szCs w:val="40"/>
        </w:rPr>
        <w:t>1</w:t>
      </w:r>
      <w:r>
        <w:rPr>
          <w:rFonts w:ascii="SimHei" w:eastAsia="SimHei" w:hAnsi="SimHei" w:cs="SimHei"/>
          <w:spacing w:val="170"/>
          <w:sz w:val="40"/>
          <w:szCs w:val="40"/>
        </w:rPr>
        <w:t xml:space="preserve"> </w:t>
      </w:r>
      <w:r>
        <w:rPr>
          <w:rFonts w:ascii="SimHei" w:eastAsia="SimHei" w:hAnsi="SimHei" w:cs="SimHei"/>
          <w:b/>
          <w:bCs/>
          <w:spacing w:val="3"/>
          <w:sz w:val="40"/>
          <w:szCs w:val="40"/>
        </w:rPr>
        <w:t>抽样数量</w:t>
      </w:r>
      <w:r>
        <w:rPr>
          <w:rFonts w:ascii="SimHei" w:eastAsia="SimHei" w:hAnsi="SimHei" w:cs="SimHei"/>
          <w:spacing w:val="3"/>
          <w:sz w:val="40"/>
          <w:szCs w:val="40"/>
        </w:rPr>
        <w:t xml:space="preserve">                        </w:t>
      </w:r>
      <w:r>
        <w:rPr>
          <w:rFonts w:ascii="SimHei" w:eastAsia="SimHei" w:hAnsi="SimHei" w:cs="SimHei"/>
          <w:spacing w:val="2"/>
          <w:sz w:val="40"/>
          <w:szCs w:val="40"/>
        </w:rPr>
        <w:t xml:space="preserve">       </w:t>
      </w:r>
      <w:r>
        <w:rPr>
          <w:spacing w:val="3"/>
          <w:sz w:val="34"/>
          <w:szCs w:val="34"/>
        </w:rPr>
        <w:t>单位为件</w:t>
      </w:r>
    </w:p>
    <w:p>
      <w:pPr>
        <w:spacing w:before="200"/>
      </w:pPr>
    </w:p>
    <w:tbl>
      <w:tblPr>
        <w:tblStyle w:val="TableNormal0"/>
        <w:tblW w:w="18250" w:type="dxa"/>
        <w:tblInd w:w="3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086"/>
        <w:gridCol w:w="9164"/>
      </w:tblGrid>
      <w:tr>
        <w:tblPrEx>
          <w:tblW w:w="18250" w:type="dxa"/>
          <w:tblInd w:w="3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703"/>
        </w:trPr>
        <w:tc>
          <w:tcPr>
            <w:tcW w:w="9086" w:type="dxa"/>
            <w:vAlign w:val="top"/>
          </w:tcPr>
          <w:p>
            <w:pPr>
              <w:pStyle w:val="TableText"/>
              <w:spacing w:before="200" w:line="221" w:lineRule="auto"/>
              <w:ind w:left="3872"/>
            </w:pPr>
            <w:r>
              <w:rPr>
                <w:spacing w:val="10"/>
              </w:rPr>
              <w:t>批量范围</w:t>
            </w:r>
          </w:p>
        </w:tc>
        <w:tc>
          <w:tcPr>
            <w:tcW w:w="9164" w:type="dxa"/>
            <w:vAlign w:val="top"/>
          </w:tcPr>
          <w:p>
            <w:pPr>
              <w:pStyle w:val="TableText"/>
              <w:spacing w:before="198" w:line="221" w:lineRule="auto"/>
              <w:ind w:left="3908"/>
            </w:pPr>
            <w:r>
              <w:rPr>
                <w:spacing w:val="5"/>
              </w:rPr>
              <w:t>抽样数量</w:t>
            </w:r>
          </w:p>
        </w:tc>
      </w:tr>
      <w:tr>
        <w:tblPrEx>
          <w:tblW w:w="18250" w:type="dxa"/>
          <w:tblInd w:w="36" w:type="dxa"/>
          <w:tblLayout w:type="fixed"/>
        </w:tblPrEx>
        <w:trPr>
          <w:trHeight w:val="689"/>
        </w:trPr>
        <w:tc>
          <w:tcPr>
            <w:tcW w:w="9086" w:type="dxa"/>
            <w:vAlign w:val="top"/>
          </w:tcPr>
          <w:p>
            <w:pPr>
              <w:pStyle w:val="TableText"/>
              <w:spacing w:before="287" w:line="185" w:lineRule="auto"/>
              <w:ind w:left="4282"/>
              <w:rPr>
                <w:sz w:val="25"/>
                <w:szCs w:val="25"/>
              </w:rPr>
            </w:pPr>
            <w:r>
              <w:rPr>
                <w:spacing w:val="-2"/>
                <w:sz w:val="25"/>
                <w:szCs w:val="25"/>
              </w:rPr>
              <w:t>2～8</w:t>
            </w:r>
          </w:p>
        </w:tc>
        <w:tc>
          <w:tcPr>
            <w:tcW w:w="9164" w:type="dxa"/>
            <w:vAlign w:val="top"/>
          </w:tcPr>
          <w:p>
            <w:pPr>
              <w:pStyle w:val="TableText"/>
              <w:spacing w:before="271" w:line="184" w:lineRule="auto"/>
              <w:ind w:left="4495"/>
            </w:pPr>
            <w:r>
              <w:t>2</w:t>
            </w:r>
          </w:p>
        </w:tc>
      </w:tr>
      <w:tr>
        <w:tblPrEx>
          <w:tblW w:w="18250" w:type="dxa"/>
          <w:tblInd w:w="36" w:type="dxa"/>
          <w:tblLayout w:type="fixed"/>
        </w:tblPrEx>
        <w:trPr>
          <w:trHeight w:val="699"/>
        </w:trPr>
        <w:tc>
          <w:tcPr>
            <w:tcW w:w="9086" w:type="dxa"/>
            <w:vAlign w:val="top"/>
          </w:tcPr>
          <w:p>
            <w:pPr>
              <w:pStyle w:val="TableText"/>
              <w:spacing w:before="295" w:line="186" w:lineRule="auto"/>
              <w:ind w:left="4223"/>
              <w:rPr>
                <w:sz w:val="25"/>
                <w:szCs w:val="25"/>
              </w:rPr>
            </w:pPr>
            <w:r>
              <w:rPr>
                <w:spacing w:val="-1"/>
                <w:sz w:val="25"/>
                <w:szCs w:val="25"/>
              </w:rPr>
              <w:t>9～15</w:t>
            </w:r>
          </w:p>
        </w:tc>
        <w:tc>
          <w:tcPr>
            <w:tcW w:w="9164" w:type="dxa"/>
            <w:vAlign w:val="top"/>
          </w:tcPr>
          <w:p>
            <w:pPr>
              <w:pStyle w:val="TableText"/>
              <w:spacing w:before="281" w:line="184" w:lineRule="auto"/>
              <w:ind w:left="4495"/>
            </w:pPr>
            <w:r>
              <w:t>3</w:t>
            </w:r>
          </w:p>
        </w:tc>
      </w:tr>
      <w:tr>
        <w:tblPrEx>
          <w:tblW w:w="18250" w:type="dxa"/>
          <w:tblInd w:w="36" w:type="dxa"/>
          <w:tblLayout w:type="fixed"/>
        </w:tblPrEx>
        <w:trPr>
          <w:trHeight w:val="708"/>
        </w:trPr>
        <w:tc>
          <w:tcPr>
            <w:tcW w:w="9086" w:type="dxa"/>
            <w:vAlign w:val="top"/>
          </w:tcPr>
          <w:p>
            <w:pPr>
              <w:pStyle w:val="TableText"/>
              <w:spacing w:before="295" w:line="186" w:lineRule="auto"/>
              <w:ind w:left="4155"/>
              <w:rPr>
                <w:sz w:val="25"/>
                <w:szCs w:val="25"/>
              </w:rPr>
            </w:pPr>
            <w:r>
              <w:rPr>
                <w:spacing w:val="-3"/>
                <w:sz w:val="25"/>
                <w:szCs w:val="25"/>
              </w:rPr>
              <w:t>16～25</w:t>
            </w:r>
          </w:p>
        </w:tc>
        <w:tc>
          <w:tcPr>
            <w:tcW w:w="9164" w:type="dxa"/>
            <w:vAlign w:val="top"/>
          </w:tcPr>
          <w:p>
            <w:pPr>
              <w:pStyle w:val="TableText"/>
              <w:spacing w:before="282" w:line="183" w:lineRule="auto"/>
              <w:ind w:left="4495"/>
            </w:pPr>
            <w:r>
              <w:t>5</w:t>
            </w:r>
          </w:p>
        </w:tc>
      </w:tr>
      <w:tr>
        <w:tblPrEx>
          <w:tblW w:w="18250" w:type="dxa"/>
          <w:tblInd w:w="36" w:type="dxa"/>
          <w:tblLayout w:type="fixed"/>
        </w:tblPrEx>
        <w:trPr>
          <w:trHeight w:val="699"/>
        </w:trPr>
        <w:tc>
          <w:tcPr>
            <w:tcW w:w="9086" w:type="dxa"/>
            <w:vAlign w:val="top"/>
          </w:tcPr>
          <w:p>
            <w:pPr>
              <w:pStyle w:val="TableText"/>
              <w:spacing w:before="297" w:line="185" w:lineRule="auto"/>
              <w:ind w:left="4155"/>
              <w:rPr>
                <w:sz w:val="25"/>
                <w:szCs w:val="25"/>
              </w:rPr>
            </w:pPr>
            <w:r>
              <w:rPr>
                <w:spacing w:val="-1"/>
                <w:sz w:val="25"/>
                <w:szCs w:val="25"/>
              </w:rPr>
              <w:t>26～50</w:t>
            </w:r>
          </w:p>
        </w:tc>
        <w:tc>
          <w:tcPr>
            <w:tcW w:w="9164" w:type="dxa"/>
            <w:vAlign w:val="top"/>
          </w:tcPr>
          <w:p>
            <w:pPr>
              <w:pStyle w:val="TableText"/>
              <w:spacing w:before="281" w:line="184" w:lineRule="auto"/>
              <w:ind w:left="4495"/>
            </w:pPr>
            <w:r>
              <w:t>8</w:t>
            </w:r>
          </w:p>
        </w:tc>
      </w:tr>
      <w:tr>
        <w:tblPrEx>
          <w:tblW w:w="18250" w:type="dxa"/>
          <w:tblInd w:w="36" w:type="dxa"/>
          <w:tblLayout w:type="fixed"/>
        </w:tblPrEx>
        <w:trPr>
          <w:trHeight w:val="699"/>
        </w:trPr>
        <w:tc>
          <w:tcPr>
            <w:tcW w:w="9086" w:type="dxa"/>
            <w:vAlign w:val="top"/>
          </w:tcPr>
          <w:p>
            <w:pPr>
              <w:pStyle w:val="TableText"/>
              <w:spacing w:before="296" w:line="186" w:lineRule="auto"/>
              <w:ind w:left="4155"/>
              <w:rPr>
                <w:sz w:val="25"/>
                <w:szCs w:val="25"/>
              </w:rPr>
            </w:pPr>
            <w:r>
              <w:rPr>
                <w:spacing w:val="-1"/>
                <w:sz w:val="25"/>
                <w:szCs w:val="25"/>
              </w:rPr>
              <w:t>51～90</w:t>
            </w:r>
          </w:p>
        </w:tc>
        <w:tc>
          <w:tcPr>
            <w:tcW w:w="9164" w:type="dxa"/>
            <w:vAlign w:val="top"/>
          </w:tcPr>
          <w:p>
            <w:pPr>
              <w:pStyle w:val="TableText"/>
              <w:spacing w:before="280" w:line="185" w:lineRule="auto"/>
              <w:ind w:left="4407"/>
            </w:pPr>
            <w:r>
              <w:rPr>
                <w:spacing w:val="-9"/>
              </w:rPr>
              <w:t>13</w:t>
            </w:r>
          </w:p>
        </w:tc>
      </w:tr>
      <w:tr>
        <w:tblPrEx>
          <w:tblW w:w="18250" w:type="dxa"/>
          <w:tblInd w:w="36" w:type="dxa"/>
          <w:tblLayout w:type="fixed"/>
        </w:tblPrEx>
        <w:trPr>
          <w:trHeight w:val="698"/>
        </w:trPr>
        <w:tc>
          <w:tcPr>
            <w:tcW w:w="9086" w:type="dxa"/>
            <w:vAlign w:val="top"/>
          </w:tcPr>
          <w:p>
            <w:pPr>
              <w:pStyle w:val="TableText"/>
              <w:spacing w:before="296" w:line="186" w:lineRule="auto"/>
              <w:ind w:left="4096"/>
              <w:rPr>
                <w:sz w:val="25"/>
                <w:szCs w:val="25"/>
              </w:rPr>
            </w:pPr>
            <w:r>
              <w:rPr>
                <w:sz w:val="25"/>
                <w:szCs w:val="25"/>
              </w:rPr>
              <w:t>91～150</w:t>
            </w:r>
          </w:p>
        </w:tc>
        <w:tc>
          <w:tcPr>
            <w:tcW w:w="9164" w:type="dxa"/>
            <w:vAlign w:val="top"/>
          </w:tcPr>
          <w:p>
            <w:pPr>
              <w:pStyle w:val="TableText"/>
              <w:spacing w:before="281" w:line="184" w:lineRule="auto"/>
              <w:ind w:left="4407"/>
            </w:pPr>
            <w:r>
              <w:rPr>
                <w:spacing w:val="-4"/>
              </w:rPr>
              <w:t>20</w:t>
            </w:r>
          </w:p>
        </w:tc>
      </w:tr>
      <w:tr>
        <w:tblPrEx>
          <w:tblW w:w="18250" w:type="dxa"/>
          <w:tblInd w:w="36" w:type="dxa"/>
          <w:tblLayout w:type="fixed"/>
        </w:tblPrEx>
        <w:trPr>
          <w:trHeight w:val="708"/>
        </w:trPr>
        <w:tc>
          <w:tcPr>
            <w:tcW w:w="9086" w:type="dxa"/>
            <w:vAlign w:val="top"/>
          </w:tcPr>
          <w:p>
            <w:pPr>
              <w:pStyle w:val="TableText"/>
              <w:spacing w:before="297" w:line="186" w:lineRule="auto"/>
              <w:ind w:left="4028"/>
              <w:rPr>
                <w:sz w:val="25"/>
                <w:szCs w:val="25"/>
              </w:rPr>
            </w:pPr>
            <w:r>
              <w:rPr>
                <w:spacing w:val="-2"/>
                <w:sz w:val="25"/>
                <w:szCs w:val="25"/>
              </w:rPr>
              <w:t>151～280</w:t>
            </w:r>
          </w:p>
        </w:tc>
        <w:tc>
          <w:tcPr>
            <w:tcW w:w="9164" w:type="dxa"/>
            <w:vAlign w:val="top"/>
          </w:tcPr>
          <w:p>
            <w:pPr>
              <w:pStyle w:val="TableText"/>
              <w:spacing w:before="282" w:line="184" w:lineRule="auto"/>
              <w:ind w:left="4407"/>
            </w:pPr>
            <w:r>
              <w:rPr>
                <w:spacing w:val="-5"/>
              </w:rPr>
              <w:t>32</w:t>
            </w:r>
          </w:p>
        </w:tc>
      </w:tr>
      <w:tr>
        <w:tblPrEx>
          <w:tblW w:w="18250" w:type="dxa"/>
          <w:tblInd w:w="36" w:type="dxa"/>
          <w:tblLayout w:type="fixed"/>
        </w:tblPrEx>
        <w:trPr>
          <w:trHeight w:val="699"/>
        </w:trPr>
        <w:tc>
          <w:tcPr>
            <w:tcW w:w="9086" w:type="dxa"/>
            <w:vAlign w:val="top"/>
          </w:tcPr>
          <w:p>
            <w:pPr>
              <w:pStyle w:val="TableText"/>
              <w:spacing w:before="298" w:line="186" w:lineRule="auto"/>
              <w:ind w:left="4028"/>
              <w:rPr>
                <w:sz w:val="25"/>
                <w:szCs w:val="25"/>
              </w:rPr>
            </w:pPr>
            <w:r>
              <w:rPr>
                <w:sz w:val="25"/>
                <w:szCs w:val="25"/>
              </w:rPr>
              <w:t>281～500</w:t>
            </w:r>
          </w:p>
        </w:tc>
        <w:tc>
          <w:tcPr>
            <w:tcW w:w="9164" w:type="dxa"/>
            <w:vAlign w:val="top"/>
          </w:tcPr>
          <w:p>
            <w:pPr>
              <w:pStyle w:val="TableText"/>
              <w:spacing w:before="283" w:line="184" w:lineRule="auto"/>
              <w:ind w:left="4407"/>
            </w:pPr>
            <w:r>
              <w:rPr>
                <w:spacing w:val="-5"/>
              </w:rPr>
              <w:t>50</w:t>
            </w:r>
          </w:p>
        </w:tc>
      </w:tr>
      <w:tr>
        <w:tblPrEx>
          <w:tblW w:w="18250" w:type="dxa"/>
          <w:tblInd w:w="36" w:type="dxa"/>
          <w:tblLayout w:type="fixed"/>
        </w:tblPrEx>
        <w:trPr>
          <w:trHeight w:val="699"/>
        </w:trPr>
        <w:tc>
          <w:tcPr>
            <w:tcW w:w="9086" w:type="dxa"/>
            <w:vAlign w:val="top"/>
          </w:tcPr>
          <w:p>
            <w:pPr>
              <w:pStyle w:val="TableText"/>
              <w:spacing w:before="298" w:line="186" w:lineRule="auto"/>
              <w:ind w:left="3969"/>
              <w:rPr>
                <w:sz w:val="25"/>
                <w:szCs w:val="25"/>
              </w:rPr>
            </w:pPr>
            <w:r>
              <w:rPr>
                <w:sz w:val="25"/>
                <w:szCs w:val="25"/>
              </w:rPr>
              <w:t>501～1200</w:t>
            </w:r>
          </w:p>
        </w:tc>
        <w:tc>
          <w:tcPr>
            <w:tcW w:w="9164" w:type="dxa"/>
            <w:vAlign w:val="top"/>
          </w:tcPr>
          <w:p>
            <w:pPr>
              <w:pStyle w:val="TableText"/>
              <w:spacing w:before="283" w:line="184" w:lineRule="auto"/>
              <w:ind w:left="4407"/>
            </w:pPr>
            <w:r>
              <w:rPr>
                <w:spacing w:val="-3"/>
              </w:rPr>
              <w:t>80</w:t>
            </w:r>
          </w:p>
        </w:tc>
      </w:tr>
      <w:tr>
        <w:tblPrEx>
          <w:tblW w:w="18250" w:type="dxa"/>
          <w:tblInd w:w="36" w:type="dxa"/>
          <w:tblLayout w:type="fixed"/>
        </w:tblPrEx>
        <w:trPr>
          <w:trHeight w:val="708"/>
        </w:trPr>
        <w:tc>
          <w:tcPr>
            <w:tcW w:w="9086" w:type="dxa"/>
            <w:vAlign w:val="top"/>
          </w:tcPr>
          <w:p>
            <w:pPr>
              <w:pStyle w:val="TableText"/>
              <w:spacing w:before="298" w:line="186" w:lineRule="auto"/>
              <w:ind w:left="3901"/>
              <w:rPr>
                <w:sz w:val="25"/>
                <w:szCs w:val="25"/>
              </w:rPr>
            </w:pPr>
            <w:r>
              <w:rPr>
                <w:spacing w:val="-1"/>
                <w:sz w:val="25"/>
                <w:szCs w:val="25"/>
              </w:rPr>
              <w:t>1201～3200</w:t>
            </w:r>
          </w:p>
        </w:tc>
        <w:tc>
          <w:tcPr>
            <w:tcW w:w="9164" w:type="dxa"/>
            <w:vAlign w:val="top"/>
          </w:tcPr>
          <w:p>
            <w:pPr>
              <w:pStyle w:val="TableText"/>
              <w:spacing w:before="281" w:line="185" w:lineRule="auto"/>
              <w:ind w:left="4328"/>
            </w:pPr>
            <w:r>
              <w:rPr>
                <w:spacing w:val="-8"/>
              </w:rPr>
              <w:t>125</w:t>
            </w:r>
          </w:p>
        </w:tc>
      </w:tr>
      <w:tr>
        <w:tblPrEx>
          <w:tblW w:w="18250" w:type="dxa"/>
          <w:tblInd w:w="36" w:type="dxa"/>
          <w:tblLayout w:type="fixed"/>
        </w:tblPrEx>
        <w:trPr>
          <w:trHeight w:val="703"/>
        </w:trPr>
        <w:tc>
          <w:tcPr>
            <w:tcW w:w="9086" w:type="dxa"/>
            <w:vAlign w:val="top"/>
          </w:tcPr>
          <w:p>
            <w:pPr>
              <w:pStyle w:val="TableText"/>
              <w:spacing w:before="299" w:line="186" w:lineRule="auto"/>
              <w:ind w:left="3842"/>
              <w:rPr>
                <w:sz w:val="25"/>
                <w:szCs w:val="25"/>
              </w:rPr>
            </w:pPr>
            <w:r>
              <w:rPr>
                <w:sz w:val="25"/>
                <w:szCs w:val="25"/>
              </w:rPr>
              <w:t>3201～10000</w:t>
            </w:r>
          </w:p>
        </w:tc>
        <w:tc>
          <w:tcPr>
            <w:tcW w:w="9164" w:type="dxa"/>
            <w:vAlign w:val="top"/>
          </w:tcPr>
          <w:p>
            <w:pPr>
              <w:pStyle w:val="TableText"/>
              <w:spacing w:before="284" w:line="184" w:lineRule="auto"/>
              <w:ind w:left="4328"/>
            </w:pPr>
            <w:r>
              <w:rPr>
                <w:spacing w:val="-3"/>
              </w:rPr>
              <w:t>200</w:t>
            </w:r>
          </w:p>
        </w:tc>
      </w:tr>
    </w:tbl>
    <w:p>
      <w:pPr>
        <w:rPr>
          <w:rFonts w:ascii="Arial"/>
          <w:sz w:val="21"/>
        </w:rPr>
      </w:pPr>
    </w:p>
    <w:p>
      <w:pPr>
        <w:rPr>
          <w:rFonts w:ascii="Arial"/>
          <w:sz w:val="21"/>
        </w:rPr>
        <w:sectPr>
          <w:footerReference w:type="default" r:id="rId16"/>
          <w:pgSz w:w="22489" w:h="31680"/>
          <w:pgMar w:top="1793" w:right="1970" w:bottom="2102" w:left="2111" w:header="0" w:footer="1812" w:gutter="0"/>
          <w:pgNumType w:start="12"/>
          <w:cols w:space="708"/>
        </w:sectPr>
      </w:pPr>
    </w:p>
    <w:p>
      <w:pPr>
        <w:rPr>
          <w:rFonts w:ascii="Arial"/>
          <w:sz w:val="21"/>
        </w:rPr>
      </w:pPr>
    </w:p>
    <w:p>
      <w:pPr>
        <w:spacing w:before="130" w:line="222" w:lineRule="auto"/>
        <w:ind w:left="4"/>
        <w:outlineLvl w:val="0"/>
        <w:rPr>
          <w:rFonts w:ascii="SimHei" w:eastAsia="SimHei" w:hAnsi="SimHei" w:cs="SimHei"/>
          <w:sz w:val="40"/>
          <w:szCs w:val="40"/>
        </w:rPr>
      </w:pPr>
      <w:r>
        <w:rPr>
          <w:rFonts w:ascii="SimHei" w:eastAsia="SimHei" w:hAnsi="SimHei" w:cs="SimHei"/>
          <w:b/>
          <w:bCs/>
          <w:spacing w:val="-7"/>
          <w:sz w:val="40"/>
          <w:szCs w:val="40"/>
        </w:rPr>
        <w:t>5.3.3</w:t>
      </w:r>
      <w:r>
        <w:rPr>
          <w:rFonts w:ascii="SimHei" w:eastAsia="SimHei" w:hAnsi="SimHei" w:cs="SimHei"/>
          <w:spacing w:val="-7"/>
          <w:sz w:val="40"/>
          <w:szCs w:val="40"/>
        </w:rPr>
        <w:t xml:space="preserve">  </w:t>
      </w:r>
      <w:r>
        <w:rPr>
          <w:rFonts w:ascii="SimHei" w:eastAsia="SimHei" w:hAnsi="SimHei" w:cs="SimHei"/>
          <w:b/>
          <w:bCs/>
          <w:spacing w:val="-7"/>
          <w:sz w:val="40"/>
          <w:szCs w:val="40"/>
        </w:rPr>
        <w:t>包装运输警示标签</w:t>
      </w:r>
    </w:p>
    <w:p>
      <w:pPr>
        <w:spacing w:line="282" w:lineRule="auto"/>
        <w:rPr>
          <w:rFonts w:ascii="Arial"/>
          <w:sz w:val="21"/>
        </w:rPr>
      </w:pPr>
    </w:p>
    <w:p>
      <w:pPr>
        <w:pStyle w:val="BodyText"/>
        <w:spacing w:before="131" w:line="219" w:lineRule="auto"/>
        <w:jc w:val="right"/>
        <w:rPr>
          <w:sz w:val="40"/>
          <w:szCs w:val="40"/>
        </w:rPr>
      </w:pPr>
      <w:r>
        <w:rPr>
          <w:spacing w:val="9"/>
          <w:sz w:val="40"/>
          <w:szCs w:val="40"/>
        </w:rPr>
        <w:t>在产品运输包装的醒目位置，应加贴、拴挂或喷印符合《关于危险货物运输的建议书  规章</w:t>
      </w:r>
      <w:r>
        <w:rPr>
          <w:spacing w:val="8"/>
          <w:sz w:val="40"/>
          <w:szCs w:val="40"/>
        </w:rPr>
        <w:t>范本》</w:t>
      </w:r>
    </w:p>
    <w:p>
      <w:pPr>
        <w:pStyle w:val="BodyText"/>
        <w:spacing w:before="126" w:line="213" w:lineRule="auto"/>
        <w:rPr>
          <w:sz w:val="40"/>
          <w:szCs w:val="40"/>
        </w:rPr>
      </w:pPr>
      <w:r>
        <w:rPr>
          <w:rFonts w:ascii="Times New Roman" w:eastAsia="Times New Roman" w:hAnsi="Times New Roman" w:cs="Times New Roman"/>
          <w:spacing w:val="8"/>
          <w:sz w:val="40"/>
          <w:szCs w:val="40"/>
        </w:rPr>
        <w:t>(</w:t>
      </w:r>
      <w:r>
        <w:rPr>
          <w:rFonts w:ascii="Times New Roman" w:eastAsia="Times New Roman" w:hAnsi="Times New Roman" w:cs="Times New Roman"/>
          <w:sz w:val="40"/>
          <w:szCs w:val="40"/>
        </w:rPr>
        <w:t>UN</w:t>
      </w:r>
      <w:r>
        <w:rPr>
          <w:rFonts w:ascii="Times New Roman" w:eastAsia="Times New Roman" w:hAnsi="Times New Roman" w:cs="Times New Roman"/>
          <w:spacing w:val="8"/>
          <w:sz w:val="40"/>
          <w:szCs w:val="40"/>
        </w:rPr>
        <w:t xml:space="preserve">    </w:t>
      </w:r>
      <w:r>
        <w:rPr>
          <w:rFonts w:ascii="Times New Roman" w:eastAsia="Times New Roman" w:hAnsi="Times New Roman" w:cs="Times New Roman"/>
          <w:sz w:val="40"/>
          <w:szCs w:val="40"/>
        </w:rPr>
        <w:t>RTDG</w:t>
      </w:r>
      <w:r>
        <w:rPr>
          <w:rFonts w:ascii="Times New Roman" w:eastAsia="Times New Roman" w:hAnsi="Times New Roman" w:cs="Times New Roman"/>
          <w:spacing w:val="8"/>
          <w:sz w:val="40"/>
          <w:szCs w:val="40"/>
        </w:rPr>
        <w:t>)</w:t>
      </w:r>
      <w:r>
        <w:rPr>
          <w:spacing w:val="8"/>
          <w:sz w:val="40"/>
          <w:szCs w:val="40"/>
        </w:rPr>
        <w:t>的包装运输警示标签，样式如图2所示。</w:t>
      </w:r>
    </w:p>
    <w:p>
      <w:pPr>
        <w:spacing w:line="213" w:lineRule="auto"/>
        <w:rPr>
          <w:sz w:val="40"/>
          <w:szCs w:val="40"/>
        </w:rPr>
        <w:sectPr>
          <w:footerReference w:type="default" r:id="rId17"/>
          <w:type w:val="nextPage"/>
          <w:pgSz w:w="22489" w:h="31680"/>
          <w:pgMar w:top="1793" w:right="1970" w:bottom="2102" w:left="2111" w:header="0" w:footer="1812" w:gutter="0"/>
          <w:pgNumType w:start="13"/>
          <w:cols w:space="708"/>
          <w:titlePg w:val="0"/>
        </w:sectPr>
      </w:pPr>
    </w:p>
    <w:p>
      <w:pPr>
        <w:pStyle w:val="BodyText"/>
        <w:spacing w:before="83" w:line="225" w:lineRule="auto"/>
        <w:ind w:left="10"/>
        <w:rPr>
          <w:sz w:val="42"/>
          <w:szCs w:val="42"/>
        </w:rPr>
      </w:pPr>
      <w:r>
        <w:rPr>
          <w:b/>
          <w:bCs/>
          <w:spacing w:val="-9"/>
          <w:sz w:val="42"/>
          <w:szCs w:val="42"/>
        </w:rPr>
        <w:t>SN/T</w:t>
      </w:r>
      <w:r>
        <w:rPr>
          <w:spacing w:val="-9"/>
          <w:sz w:val="42"/>
          <w:szCs w:val="42"/>
        </w:rPr>
        <w:t xml:space="preserve"> </w:t>
      </w:r>
      <w:r>
        <w:rPr>
          <w:b/>
          <w:bCs/>
          <w:spacing w:val="-9"/>
          <w:sz w:val="42"/>
          <w:szCs w:val="42"/>
        </w:rPr>
        <w:t>4470—2016</w:t>
      </w:r>
    </w:p>
    <w:p>
      <w:pPr>
        <w:spacing w:before="25"/>
      </w:pPr>
    </w:p>
    <w:p>
      <w:pPr>
        <w:spacing w:before="24"/>
      </w:pPr>
    </w:p>
    <w:p>
      <w:pPr>
        <w:sectPr>
          <w:footerReference w:type="default" r:id="rId18"/>
          <w:pgSz w:w="22489" w:h="31680"/>
          <w:pgMar w:top="2324" w:right="2524" w:bottom="2675" w:left="2517" w:header="0" w:footer="2405" w:gutter="0"/>
          <w:pgNumType w:start="14"/>
          <w:cols w:num="1" w:space="708" w:equalWidth="0">
            <w:col w:w="17447" w:space="0"/>
          </w:cols>
        </w:sectPr>
      </w:pPr>
    </w:p>
    <w:p>
      <w:pPr>
        <w:spacing w:line="3050" w:lineRule="exact"/>
        <w:ind w:firstLine="3143"/>
      </w:pPr>
      <w:r>
        <w:rPr>
          <w:position w:val="-61"/>
        </w:rPr>
        <w:drawing>
          <wp:inline distT="0" distB="0" distL="0" distR="0">
            <wp:extent cx="1943425" cy="1937247"/>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19"/>
                    <a:stretch>
                      <a:fillRect/>
                    </a:stretch>
                  </pic:blipFill>
                  <pic:spPr>
                    <a:xfrm>
                      <a:off x="0" y="0"/>
                      <a:ext cx="1943425" cy="1937247"/>
                    </a:xfrm>
                    <a:prstGeom prst="rect">
                      <a:avLst/>
                    </a:prstGeom>
                  </pic:spPr>
                </pic:pic>
              </a:graphicData>
            </a:graphic>
          </wp:inline>
        </w:drawing>
      </w:r>
    </w:p>
    <w:p>
      <w:pPr>
        <w:pStyle w:val="BodyText"/>
        <w:spacing w:before="276" w:line="399" w:lineRule="exact"/>
        <w:ind w:left="4052"/>
        <w:rPr>
          <w:sz w:val="27"/>
          <w:szCs w:val="27"/>
        </w:rPr>
      </w:pPr>
      <w:r>
        <w:rPr>
          <w:spacing w:val="-3"/>
          <w:position w:val="13"/>
          <w:sz w:val="27"/>
          <w:szCs w:val="27"/>
        </w:rPr>
        <w:t>UN  1671</w:t>
      </w:r>
    </w:p>
    <w:p>
      <w:pPr>
        <w:pStyle w:val="BodyText"/>
        <w:spacing w:line="220" w:lineRule="auto"/>
        <w:ind w:left="4013"/>
        <w:rPr>
          <w:sz w:val="27"/>
          <w:szCs w:val="27"/>
        </w:rPr>
      </w:pPr>
      <w:r>
        <w:rPr>
          <w:spacing w:val="16"/>
          <w:sz w:val="27"/>
          <w:szCs w:val="27"/>
        </w:rPr>
        <w:t>固态苯酚</w:t>
      </w:r>
    </w:p>
    <w:p>
      <w:pPr>
        <w:spacing w:line="14" w:lineRule="auto"/>
        <w:rPr>
          <w:rFonts w:ascii="Arial"/>
          <w:sz w:val="2"/>
        </w:rPr>
      </w:pPr>
      <w:r>
        <w:rPr>
          <w:rFonts w:ascii="Arial" w:eastAsia="Arial" w:hAnsi="Arial" w:cs="Arial"/>
          <w:sz w:val="2"/>
          <w:szCs w:val="2"/>
        </w:rPr>
        <w:br w:type="column"/>
      </w:r>
    </w:p>
    <w:p>
      <w:pPr>
        <w:spacing w:before="18" w:line="3021" w:lineRule="exact"/>
      </w:pPr>
      <w:r>
        <w:rPr>
          <w:position w:val="-60"/>
        </w:rPr>
        <w:drawing>
          <wp:inline distT="0" distB="0" distL="0" distR="0">
            <wp:extent cx="1931001" cy="1918540"/>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20"/>
                    <a:stretch>
                      <a:fillRect/>
                    </a:stretch>
                  </pic:blipFill>
                  <pic:spPr>
                    <a:xfrm>
                      <a:off x="0" y="0"/>
                      <a:ext cx="1931001" cy="1918540"/>
                    </a:xfrm>
                    <a:prstGeom prst="rect">
                      <a:avLst/>
                    </a:prstGeom>
                  </pic:spPr>
                </pic:pic>
              </a:graphicData>
            </a:graphic>
          </wp:inline>
        </w:drawing>
      </w:r>
    </w:p>
    <w:p>
      <w:pPr>
        <w:pStyle w:val="BodyText"/>
        <w:spacing w:before="285" w:line="380" w:lineRule="exact"/>
        <w:ind w:left="987"/>
        <w:rPr>
          <w:sz w:val="27"/>
          <w:szCs w:val="27"/>
        </w:rPr>
      </w:pPr>
      <w:r>
        <w:rPr>
          <w:spacing w:val="-1"/>
          <w:position w:val="11"/>
          <w:sz w:val="27"/>
          <w:szCs w:val="27"/>
        </w:rPr>
        <w:t>UN</w:t>
      </w:r>
      <w:r>
        <w:rPr>
          <w:spacing w:val="9"/>
          <w:position w:val="11"/>
          <w:sz w:val="27"/>
          <w:szCs w:val="27"/>
        </w:rPr>
        <w:t xml:space="preserve">  </w:t>
      </w:r>
      <w:r>
        <w:rPr>
          <w:spacing w:val="-1"/>
          <w:position w:val="11"/>
          <w:sz w:val="27"/>
          <w:szCs w:val="27"/>
        </w:rPr>
        <w:t>2312</w:t>
      </w:r>
    </w:p>
    <w:p>
      <w:pPr>
        <w:pStyle w:val="BodyText"/>
        <w:spacing w:line="221" w:lineRule="auto"/>
        <w:ind w:left="948"/>
        <w:rPr>
          <w:sz w:val="27"/>
          <w:szCs w:val="27"/>
        </w:rPr>
      </w:pPr>
      <w:r>
        <w:rPr>
          <w:spacing w:val="18"/>
          <w:sz w:val="27"/>
          <w:szCs w:val="27"/>
        </w:rPr>
        <w:t>熔融苯酚</w:t>
      </w:r>
    </w:p>
    <w:p>
      <w:pPr>
        <w:spacing w:line="14" w:lineRule="auto"/>
        <w:rPr>
          <w:rFonts w:ascii="Arial"/>
          <w:sz w:val="2"/>
        </w:rPr>
      </w:pPr>
      <w:r>
        <w:rPr>
          <w:rFonts w:ascii="Arial" w:eastAsia="Arial" w:hAnsi="Arial" w:cs="Arial"/>
          <w:sz w:val="2"/>
          <w:szCs w:val="2"/>
        </w:rPr>
        <w:br w:type="column"/>
      </w:r>
    </w:p>
    <w:p>
      <w:pPr>
        <w:spacing w:before="8" w:line="3031" w:lineRule="exact"/>
      </w:pPr>
      <w:r>
        <w:rPr>
          <w:position w:val="-60"/>
        </w:rPr>
        <w:drawing>
          <wp:inline distT="0" distB="0" distL="0" distR="0">
            <wp:extent cx="1943426" cy="1924775"/>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21"/>
                    <a:stretch>
                      <a:fillRect/>
                    </a:stretch>
                  </pic:blipFill>
                  <pic:spPr>
                    <a:xfrm>
                      <a:off x="0" y="0"/>
                      <a:ext cx="1943426" cy="1924775"/>
                    </a:xfrm>
                    <a:prstGeom prst="rect">
                      <a:avLst/>
                    </a:prstGeom>
                  </pic:spPr>
                </pic:pic>
              </a:graphicData>
            </a:graphic>
          </wp:inline>
        </w:drawing>
      </w:r>
    </w:p>
    <w:p>
      <w:pPr>
        <w:spacing w:line="255" w:lineRule="auto"/>
        <w:rPr>
          <w:rFonts w:ascii="Arial"/>
          <w:sz w:val="21"/>
        </w:rPr>
      </w:pPr>
    </w:p>
    <w:p>
      <w:pPr>
        <w:pStyle w:val="BodyText"/>
        <w:spacing w:before="88" w:line="389" w:lineRule="exact"/>
        <w:ind w:left="1153"/>
        <w:rPr>
          <w:sz w:val="27"/>
          <w:szCs w:val="27"/>
        </w:rPr>
      </w:pPr>
      <w:r>
        <w:rPr>
          <w:spacing w:val="-1"/>
          <w:position w:val="12"/>
          <w:sz w:val="27"/>
          <w:szCs w:val="27"/>
        </w:rPr>
        <w:t>UN</w:t>
      </w:r>
      <w:r>
        <w:rPr>
          <w:spacing w:val="67"/>
          <w:position w:val="12"/>
          <w:sz w:val="27"/>
          <w:szCs w:val="27"/>
        </w:rPr>
        <w:t xml:space="preserve"> </w:t>
      </w:r>
      <w:r>
        <w:rPr>
          <w:spacing w:val="-1"/>
          <w:position w:val="12"/>
          <w:sz w:val="27"/>
          <w:szCs w:val="27"/>
        </w:rPr>
        <w:t>2821</w:t>
      </w:r>
    </w:p>
    <w:p>
      <w:pPr>
        <w:pStyle w:val="BodyText"/>
        <w:spacing w:line="187" w:lineRule="auto"/>
        <w:ind w:left="1075"/>
        <w:rPr>
          <w:sz w:val="27"/>
          <w:szCs w:val="27"/>
        </w:rPr>
      </w:pPr>
      <w:r>
        <w:rPr>
          <w:spacing w:val="21"/>
          <w:sz w:val="27"/>
          <w:szCs w:val="27"/>
        </w:rPr>
        <w:t>苯酚溶液</w:t>
      </w:r>
    </w:p>
    <w:p>
      <w:pPr>
        <w:spacing w:line="187" w:lineRule="auto"/>
        <w:rPr>
          <w:sz w:val="27"/>
          <w:szCs w:val="27"/>
        </w:rPr>
        <w:sectPr>
          <w:footerReference w:type="default" r:id="rId22"/>
          <w:type w:val="continuous"/>
          <w:pgSz w:w="22489" w:h="31680"/>
          <w:pgMar w:top="2324" w:right="2524" w:bottom="2675" w:left="2517" w:header="0" w:footer="2405" w:gutter="0"/>
          <w:pgNumType w:start="15"/>
          <w:cols w:num="3" w:space="708" w:equalWidth="0">
            <w:col w:w="7121" w:space="100"/>
            <w:col w:w="3949" w:space="100"/>
            <w:col w:w="6179" w:space="0"/>
          </w:cols>
        </w:sectPr>
      </w:pPr>
    </w:p>
    <w:p>
      <w:pPr>
        <w:spacing w:line="298" w:lineRule="auto"/>
        <w:rPr>
          <w:rFonts w:ascii="Arial"/>
          <w:sz w:val="21"/>
        </w:rPr>
      </w:pPr>
    </w:p>
    <w:p>
      <w:pPr>
        <w:spacing w:line="299" w:lineRule="auto"/>
        <w:rPr>
          <w:rFonts w:ascii="Arial"/>
          <w:sz w:val="21"/>
        </w:rPr>
      </w:pPr>
    </w:p>
    <w:p>
      <w:pPr>
        <w:spacing w:line="299" w:lineRule="auto"/>
        <w:rPr>
          <w:rFonts w:ascii="Arial"/>
          <w:sz w:val="21"/>
        </w:rPr>
      </w:pPr>
    </w:p>
    <w:p>
      <w:pPr>
        <w:spacing w:before="124" w:line="222" w:lineRule="auto"/>
        <w:ind w:left="6238"/>
        <w:rPr>
          <w:rFonts w:ascii="SimHei" w:eastAsia="SimHei" w:hAnsi="SimHei" w:cs="SimHei"/>
          <w:sz w:val="38"/>
          <w:szCs w:val="38"/>
        </w:rPr>
      </w:pPr>
      <w:r>
        <w:rPr>
          <w:rFonts w:ascii="SimHei" w:eastAsia="SimHei" w:hAnsi="SimHei" w:cs="SimHei"/>
          <w:b/>
          <w:bCs/>
          <w:spacing w:val="4"/>
          <w:sz w:val="38"/>
          <w:szCs w:val="38"/>
        </w:rPr>
        <w:t>图</w:t>
      </w:r>
      <w:r>
        <w:rPr>
          <w:rFonts w:ascii="SimHei" w:eastAsia="SimHei" w:hAnsi="SimHei" w:cs="SimHei"/>
          <w:spacing w:val="4"/>
          <w:sz w:val="38"/>
          <w:szCs w:val="38"/>
        </w:rPr>
        <w:t xml:space="preserve"> </w:t>
      </w:r>
      <w:r>
        <w:rPr>
          <w:rFonts w:ascii="SimHei" w:eastAsia="SimHei" w:hAnsi="SimHei" w:cs="SimHei"/>
          <w:b/>
          <w:bCs/>
          <w:spacing w:val="4"/>
          <w:sz w:val="38"/>
          <w:szCs w:val="38"/>
        </w:rPr>
        <w:t>2</w:t>
      </w:r>
      <w:r>
        <w:rPr>
          <w:rFonts w:ascii="SimHei" w:eastAsia="SimHei" w:hAnsi="SimHei" w:cs="SimHei"/>
          <w:spacing w:val="198"/>
          <w:sz w:val="38"/>
          <w:szCs w:val="38"/>
        </w:rPr>
        <w:t xml:space="preserve"> </w:t>
      </w:r>
      <w:r>
        <w:rPr>
          <w:rFonts w:ascii="SimHei" w:eastAsia="SimHei" w:hAnsi="SimHei" w:cs="SimHei"/>
          <w:b/>
          <w:bCs/>
          <w:spacing w:val="4"/>
          <w:sz w:val="38"/>
          <w:szCs w:val="38"/>
        </w:rPr>
        <w:t>包装运输警示标签样式</w:t>
      </w:r>
    </w:p>
    <w:p>
      <w:pPr>
        <w:spacing w:line="298" w:lineRule="auto"/>
        <w:rPr>
          <w:rFonts w:ascii="Arial"/>
          <w:sz w:val="21"/>
        </w:rPr>
      </w:pPr>
    </w:p>
    <w:p>
      <w:pPr>
        <w:spacing w:before="123" w:line="223" w:lineRule="auto"/>
        <w:ind w:left="19"/>
        <w:outlineLvl w:val="0"/>
        <w:rPr>
          <w:rFonts w:ascii="SimHei" w:eastAsia="SimHei" w:hAnsi="SimHei" w:cs="SimHei"/>
          <w:sz w:val="38"/>
          <w:szCs w:val="38"/>
        </w:rPr>
      </w:pPr>
      <w:r>
        <w:rPr>
          <w:rFonts w:ascii="SimHei" w:eastAsia="SimHei" w:hAnsi="SimHei" w:cs="SimHei"/>
          <w:b/>
          <w:bCs/>
          <w:spacing w:val="-10"/>
          <w:sz w:val="38"/>
          <w:szCs w:val="38"/>
        </w:rPr>
        <w:t>5.3.4</w:t>
      </w:r>
      <w:r>
        <w:rPr>
          <w:rFonts w:ascii="SimHei" w:eastAsia="SimHei" w:hAnsi="SimHei" w:cs="SimHei"/>
          <w:spacing w:val="-10"/>
          <w:sz w:val="38"/>
          <w:szCs w:val="38"/>
        </w:rPr>
        <w:t xml:space="preserve">  </w:t>
      </w:r>
      <w:r>
        <w:rPr>
          <w:rFonts w:ascii="SimHei" w:eastAsia="SimHei" w:hAnsi="SimHei" w:cs="SimHei"/>
          <w:b/>
          <w:bCs/>
          <w:spacing w:val="-10"/>
          <w:sz w:val="38"/>
          <w:szCs w:val="38"/>
        </w:rPr>
        <w:t>包装要求</w:t>
      </w:r>
    </w:p>
    <w:p>
      <w:pPr>
        <w:spacing w:line="248" w:lineRule="auto"/>
        <w:rPr>
          <w:rFonts w:ascii="Arial"/>
          <w:sz w:val="21"/>
        </w:rPr>
      </w:pPr>
    </w:p>
    <w:p>
      <w:pPr>
        <w:pStyle w:val="BodyText"/>
        <w:spacing w:before="124" w:line="213" w:lineRule="auto"/>
        <w:jc w:val="right"/>
        <w:rPr>
          <w:sz w:val="38"/>
          <w:szCs w:val="38"/>
        </w:rPr>
      </w:pPr>
      <w:r>
        <w:rPr>
          <w:spacing w:val="14"/>
          <w:sz w:val="38"/>
          <w:szCs w:val="38"/>
        </w:rPr>
        <w:t>产品应依据《关于危险货物运输的建议书  规章范本》</w:t>
      </w:r>
      <w:r>
        <w:rPr>
          <w:rFonts w:ascii="Times New Roman" w:eastAsia="Times New Roman" w:hAnsi="Times New Roman" w:cs="Times New Roman"/>
          <w:spacing w:val="14"/>
          <w:sz w:val="38"/>
          <w:szCs w:val="38"/>
        </w:rPr>
        <w:t>(</w:t>
      </w:r>
      <w:r>
        <w:rPr>
          <w:rFonts w:ascii="Times New Roman" w:eastAsia="Times New Roman" w:hAnsi="Times New Roman" w:cs="Times New Roman"/>
          <w:sz w:val="38"/>
          <w:szCs w:val="38"/>
        </w:rPr>
        <w:t>UN</w:t>
      </w:r>
      <w:r>
        <w:rPr>
          <w:rFonts w:ascii="Times New Roman" w:eastAsia="Times New Roman" w:hAnsi="Times New Roman" w:cs="Times New Roman"/>
          <w:spacing w:val="14"/>
          <w:sz w:val="38"/>
          <w:szCs w:val="38"/>
        </w:rPr>
        <w:t xml:space="preserve">     </w:t>
      </w:r>
      <w:r>
        <w:rPr>
          <w:rFonts w:ascii="Times New Roman" w:eastAsia="Times New Roman" w:hAnsi="Times New Roman" w:cs="Times New Roman"/>
          <w:sz w:val="38"/>
          <w:szCs w:val="38"/>
        </w:rPr>
        <w:t>RTDG</w:t>
      </w:r>
      <w:r>
        <w:rPr>
          <w:rFonts w:ascii="Times New Roman" w:eastAsia="Times New Roman" w:hAnsi="Times New Roman" w:cs="Times New Roman"/>
          <w:spacing w:val="14"/>
          <w:sz w:val="38"/>
          <w:szCs w:val="38"/>
        </w:rPr>
        <w:t>)</w:t>
      </w:r>
      <w:r>
        <w:rPr>
          <w:spacing w:val="14"/>
          <w:sz w:val="38"/>
          <w:szCs w:val="38"/>
        </w:rPr>
        <w:t>的要求确定与其相适应的包</w:t>
      </w:r>
    </w:p>
    <w:p>
      <w:pPr>
        <w:pStyle w:val="BodyText"/>
        <w:spacing w:before="249" w:line="219" w:lineRule="auto"/>
        <w:ind w:left="53"/>
        <w:rPr>
          <w:sz w:val="38"/>
          <w:szCs w:val="38"/>
        </w:rPr>
      </w:pPr>
      <w:r>
        <w:rPr>
          <w:spacing w:val="7"/>
          <w:sz w:val="38"/>
          <w:szCs w:val="38"/>
        </w:rPr>
        <w:t>装、设计型号和单件质量。苯酚的包装要求见表2。</w:t>
      </w:r>
    </w:p>
    <w:p>
      <w:pPr>
        <w:spacing w:line="318" w:lineRule="auto"/>
        <w:rPr>
          <w:rFonts w:ascii="Arial"/>
          <w:sz w:val="21"/>
        </w:rPr>
      </w:pPr>
    </w:p>
    <w:p>
      <w:pPr>
        <w:spacing w:before="124" w:line="223" w:lineRule="auto"/>
        <w:ind w:left="7402"/>
        <w:rPr>
          <w:rFonts w:ascii="SimHei" w:eastAsia="SimHei" w:hAnsi="SimHei" w:cs="SimHei"/>
          <w:sz w:val="38"/>
          <w:szCs w:val="38"/>
        </w:rPr>
      </w:pPr>
      <w:r>
        <w:rPr>
          <w:rFonts w:ascii="SimHei" w:eastAsia="SimHei" w:hAnsi="SimHei" w:cs="SimHei"/>
          <w:b/>
          <w:bCs/>
          <w:spacing w:val="-1"/>
          <w:sz w:val="38"/>
          <w:szCs w:val="38"/>
        </w:rPr>
        <w:t>表</w:t>
      </w:r>
      <w:r>
        <w:rPr>
          <w:rFonts w:ascii="SimHei" w:eastAsia="SimHei" w:hAnsi="SimHei" w:cs="SimHei"/>
          <w:spacing w:val="-1"/>
          <w:sz w:val="38"/>
          <w:szCs w:val="38"/>
        </w:rPr>
        <w:t xml:space="preserve"> </w:t>
      </w:r>
      <w:r>
        <w:rPr>
          <w:rFonts w:ascii="SimHei" w:eastAsia="SimHei" w:hAnsi="SimHei" w:cs="SimHei"/>
          <w:b/>
          <w:bCs/>
          <w:spacing w:val="-1"/>
          <w:sz w:val="38"/>
          <w:szCs w:val="38"/>
        </w:rPr>
        <w:t>2</w:t>
      </w:r>
      <w:r>
        <w:rPr>
          <w:rFonts w:ascii="SimHei" w:eastAsia="SimHei" w:hAnsi="SimHei" w:cs="SimHei"/>
          <w:spacing w:val="181"/>
          <w:sz w:val="38"/>
          <w:szCs w:val="38"/>
        </w:rPr>
        <w:t xml:space="preserve"> </w:t>
      </w:r>
      <w:r>
        <w:rPr>
          <w:rFonts w:ascii="SimHei" w:eastAsia="SimHei" w:hAnsi="SimHei" w:cs="SimHei"/>
          <w:b/>
          <w:bCs/>
          <w:spacing w:val="-1"/>
          <w:sz w:val="38"/>
          <w:szCs w:val="38"/>
        </w:rPr>
        <w:t>包装要求</w:t>
      </w:r>
    </w:p>
    <w:p>
      <w:pPr>
        <w:spacing w:before="1"/>
      </w:pPr>
    </w:p>
    <w:tbl>
      <w:tblPr>
        <w:tblStyle w:val="TableNormal1"/>
        <w:tblW w:w="1743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028"/>
        <w:gridCol w:w="1711"/>
        <w:gridCol w:w="1701"/>
        <w:gridCol w:w="1378"/>
        <w:gridCol w:w="1369"/>
        <w:gridCol w:w="1369"/>
        <w:gridCol w:w="1378"/>
        <w:gridCol w:w="1691"/>
        <w:gridCol w:w="1720"/>
        <w:gridCol w:w="1368"/>
        <w:gridCol w:w="1725"/>
      </w:tblGrid>
      <w:tr>
        <w:tblPrEx>
          <w:tblW w:w="1743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339"/>
        </w:trPr>
        <w:tc>
          <w:tcPr>
            <w:tcW w:w="2028" w:type="dxa"/>
            <w:vMerge w:val="restart"/>
            <w:tcBorders>
              <w:bottom w:val="nil"/>
            </w:tcBorders>
            <w:vAlign w:val="top"/>
          </w:tcPr>
          <w:p>
            <w:pPr>
              <w:spacing w:line="243" w:lineRule="auto"/>
              <w:rPr>
                <w:rFonts w:ascii="Arial"/>
                <w:sz w:val="21"/>
              </w:rPr>
            </w:pPr>
          </w:p>
          <w:p>
            <w:pPr>
              <w:spacing w:line="244" w:lineRule="auto"/>
              <w:rPr>
                <w:rFonts w:ascii="Arial"/>
                <w:sz w:val="21"/>
              </w:rPr>
            </w:pPr>
          </w:p>
          <w:p>
            <w:pPr>
              <w:spacing w:line="244" w:lineRule="auto"/>
              <w:rPr>
                <w:rFonts w:ascii="Arial"/>
                <w:sz w:val="21"/>
              </w:rPr>
            </w:pPr>
          </w:p>
          <w:p>
            <w:pPr>
              <w:pStyle w:val="TableText"/>
              <w:spacing w:before="107" w:line="221" w:lineRule="auto"/>
              <w:ind w:left="342"/>
            </w:pPr>
            <w:r>
              <w:rPr>
                <w:spacing w:val="6"/>
              </w:rPr>
              <w:t>运输名称</w:t>
            </w:r>
          </w:p>
        </w:tc>
        <w:tc>
          <w:tcPr>
            <w:tcW w:w="1711" w:type="dxa"/>
            <w:vMerge w:val="restart"/>
            <w:tcBorders>
              <w:bottom w:val="nil"/>
            </w:tcBorders>
            <w:vAlign w:val="top"/>
          </w:tcPr>
          <w:p>
            <w:pPr>
              <w:spacing w:line="241" w:lineRule="auto"/>
              <w:rPr>
                <w:rFonts w:ascii="Arial"/>
                <w:sz w:val="21"/>
              </w:rPr>
            </w:pPr>
          </w:p>
          <w:p>
            <w:pPr>
              <w:spacing w:line="242" w:lineRule="auto"/>
              <w:rPr>
                <w:rFonts w:ascii="Arial"/>
                <w:sz w:val="21"/>
              </w:rPr>
            </w:pPr>
          </w:p>
          <w:p>
            <w:pPr>
              <w:pStyle w:val="TableText"/>
              <w:spacing w:before="107" w:line="223" w:lineRule="auto"/>
              <w:ind w:left="348"/>
            </w:pPr>
            <w:r>
              <w:rPr>
                <w:spacing w:val="13"/>
              </w:rPr>
              <w:t>联合国</w:t>
            </w:r>
          </w:p>
          <w:p>
            <w:pPr>
              <w:pStyle w:val="TableText"/>
              <w:spacing w:before="105" w:line="221" w:lineRule="auto"/>
              <w:ind w:left="514"/>
            </w:pPr>
            <w:r>
              <w:rPr>
                <w:spacing w:val="12"/>
              </w:rPr>
              <w:t>编号</w:t>
            </w:r>
          </w:p>
        </w:tc>
        <w:tc>
          <w:tcPr>
            <w:tcW w:w="1701" w:type="dxa"/>
            <w:vMerge w:val="restart"/>
            <w:tcBorders>
              <w:bottom w:val="nil"/>
            </w:tcBorders>
            <w:vAlign w:val="top"/>
          </w:tcPr>
          <w:p>
            <w:pPr>
              <w:spacing w:line="241" w:lineRule="auto"/>
              <w:rPr>
                <w:rFonts w:ascii="Arial"/>
                <w:sz w:val="21"/>
              </w:rPr>
            </w:pPr>
          </w:p>
          <w:p>
            <w:pPr>
              <w:spacing w:line="242" w:lineRule="auto"/>
              <w:rPr>
                <w:rFonts w:ascii="Arial"/>
                <w:sz w:val="21"/>
              </w:rPr>
            </w:pPr>
          </w:p>
          <w:p>
            <w:pPr>
              <w:pStyle w:val="TableText"/>
              <w:spacing w:before="107" w:line="525" w:lineRule="exact"/>
              <w:ind w:left="348"/>
            </w:pPr>
            <w:r>
              <w:rPr>
                <w:spacing w:val="13"/>
                <w:position w:val="13"/>
              </w:rPr>
              <w:t>联合国</w:t>
            </w:r>
          </w:p>
          <w:p>
            <w:pPr>
              <w:pStyle w:val="TableText"/>
              <w:spacing w:before="1" w:line="220" w:lineRule="auto"/>
              <w:ind w:left="181"/>
            </w:pPr>
            <w:r>
              <w:rPr>
                <w:spacing w:val="9"/>
              </w:rPr>
              <w:t>包装类别</w:t>
            </w:r>
          </w:p>
        </w:tc>
        <w:tc>
          <w:tcPr>
            <w:tcW w:w="1378" w:type="dxa"/>
            <w:vMerge w:val="restart"/>
            <w:tcBorders>
              <w:bottom w:val="nil"/>
            </w:tcBorders>
            <w:vAlign w:val="top"/>
          </w:tcPr>
          <w:p>
            <w:pPr>
              <w:rPr>
                <w:rFonts w:ascii="Arial"/>
                <w:sz w:val="21"/>
              </w:rPr>
            </w:pPr>
          </w:p>
          <w:p>
            <w:pPr>
              <w:spacing w:line="241" w:lineRule="auto"/>
              <w:rPr>
                <w:rFonts w:ascii="Arial"/>
                <w:sz w:val="21"/>
              </w:rPr>
            </w:pPr>
          </w:p>
          <w:p>
            <w:pPr>
              <w:pStyle w:val="TableText"/>
              <w:spacing w:before="107" w:line="507" w:lineRule="exact"/>
              <w:ind w:left="348"/>
            </w:pPr>
            <w:r>
              <w:rPr>
                <w:spacing w:val="9"/>
                <w:position w:val="12"/>
              </w:rPr>
              <w:t>危险</w:t>
            </w:r>
          </w:p>
          <w:p>
            <w:pPr>
              <w:pStyle w:val="TableText"/>
              <w:spacing w:before="1" w:line="220" w:lineRule="auto"/>
              <w:ind w:left="348"/>
            </w:pPr>
            <w:r>
              <w:rPr>
                <w:spacing w:val="16"/>
              </w:rPr>
              <w:t>类别</w:t>
            </w:r>
          </w:p>
        </w:tc>
        <w:tc>
          <w:tcPr>
            <w:tcW w:w="1369" w:type="dxa"/>
            <w:vMerge w:val="restart"/>
            <w:tcBorders>
              <w:bottom w:val="nil"/>
            </w:tcBorders>
            <w:vAlign w:val="top"/>
          </w:tcPr>
          <w:p>
            <w:pPr>
              <w:spacing w:line="479" w:lineRule="auto"/>
              <w:rPr>
                <w:rFonts w:ascii="Arial"/>
                <w:sz w:val="21"/>
              </w:rPr>
            </w:pPr>
          </w:p>
          <w:p>
            <w:pPr>
              <w:pStyle w:val="TableText"/>
              <w:spacing w:before="108" w:line="519" w:lineRule="exact"/>
              <w:ind w:left="349"/>
            </w:pPr>
            <w:r>
              <w:rPr>
                <w:spacing w:val="8"/>
                <w:position w:val="13"/>
              </w:rPr>
              <w:t>特殊</w:t>
            </w:r>
          </w:p>
          <w:p>
            <w:pPr>
              <w:pStyle w:val="TableText"/>
              <w:spacing w:line="221" w:lineRule="auto"/>
              <w:ind w:left="349"/>
            </w:pPr>
            <w:r>
              <w:rPr>
                <w:spacing w:val="13"/>
              </w:rPr>
              <w:t>规定</w:t>
            </w:r>
          </w:p>
        </w:tc>
        <w:tc>
          <w:tcPr>
            <w:tcW w:w="2747" w:type="dxa"/>
            <w:gridSpan w:val="2"/>
            <w:vMerge w:val="restart"/>
            <w:tcBorders>
              <w:bottom w:val="nil"/>
            </w:tcBorders>
            <w:vAlign w:val="top"/>
          </w:tcPr>
          <w:p>
            <w:pPr>
              <w:spacing w:line="471" w:lineRule="auto"/>
              <w:rPr>
                <w:rFonts w:ascii="Arial"/>
                <w:sz w:val="21"/>
              </w:rPr>
            </w:pPr>
          </w:p>
          <w:p>
            <w:pPr>
              <w:pStyle w:val="TableText"/>
              <w:spacing w:before="107" w:line="537" w:lineRule="exact"/>
              <w:ind w:left="534"/>
            </w:pPr>
            <w:r>
              <w:rPr>
                <w:spacing w:val="6"/>
                <w:position w:val="14"/>
              </w:rPr>
              <w:t>有限和例外</w:t>
            </w:r>
          </w:p>
          <w:p>
            <w:pPr>
              <w:pStyle w:val="TableText"/>
              <w:spacing w:before="1" w:line="220" w:lineRule="auto"/>
              <w:ind w:left="1033"/>
            </w:pPr>
            <w:r>
              <w:rPr>
                <w:spacing w:val="8"/>
              </w:rPr>
              <w:t>数量</w:t>
            </w:r>
          </w:p>
        </w:tc>
        <w:tc>
          <w:tcPr>
            <w:tcW w:w="3411" w:type="dxa"/>
            <w:gridSpan w:val="2"/>
            <w:vAlign w:val="top"/>
          </w:tcPr>
          <w:p>
            <w:pPr>
              <w:spacing w:line="400" w:lineRule="auto"/>
              <w:rPr>
                <w:rFonts w:ascii="Arial"/>
                <w:sz w:val="21"/>
              </w:rPr>
            </w:pPr>
          </w:p>
          <w:p>
            <w:pPr>
              <w:pStyle w:val="TableText"/>
              <w:spacing w:before="108" w:line="220" w:lineRule="auto"/>
              <w:ind w:left="378"/>
            </w:pPr>
            <w:r>
              <w:rPr>
                <w:spacing w:val="4"/>
              </w:rPr>
              <w:t>容器和中型散货箱</w:t>
            </w:r>
          </w:p>
        </w:tc>
        <w:tc>
          <w:tcPr>
            <w:tcW w:w="3093" w:type="dxa"/>
            <w:gridSpan w:val="2"/>
            <w:vAlign w:val="top"/>
          </w:tcPr>
          <w:p>
            <w:pPr>
              <w:pStyle w:val="TableText"/>
              <w:spacing w:before="247" w:line="518" w:lineRule="exact"/>
              <w:ind w:left="214"/>
            </w:pPr>
            <w:r>
              <w:rPr>
                <w:spacing w:val="4"/>
                <w:position w:val="13"/>
              </w:rPr>
              <w:t>便携式罐体和散装</w:t>
            </w:r>
          </w:p>
          <w:p>
            <w:pPr>
              <w:pStyle w:val="TableText"/>
              <w:spacing w:before="1" w:line="219" w:lineRule="auto"/>
              <w:ind w:left="1211"/>
            </w:pPr>
            <w:r>
              <w:rPr>
                <w:spacing w:val="12"/>
              </w:rPr>
              <w:t>货箱</w:t>
            </w:r>
          </w:p>
        </w:tc>
      </w:tr>
      <w:tr>
        <w:tblPrEx>
          <w:tblW w:w="17438" w:type="dxa"/>
          <w:tblInd w:w="2" w:type="dxa"/>
          <w:tblLayout w:type="fixed"/>
        </w:tblPrEx>
        <w:trPr>
          <w:trHeight w:val="659"/>
        </w:trPr>
        <w:tc>
          <w:tcPr>
            <w:tcW w:w="2028" w:type="dxa"/>
            <w:vMerge/>
            <w:tcBorders>
              <w:top w:val="nil"/>
            </w:tcBorders>
            <w:vAlign w:val="top"/>
          </w:tcPr>
          <w:p>
            <w:pPr>
              <w:rPr>
                <w:rFonts w:ascii="Arial"/>
                <w:sz w:val="21"/>
              </w:rPr>
            </w:pPr>
          </w:p>
        </w:tc>
        <w:tc>
          <w:tcPr>
            <w:tcW w:w="1711" w:type="dxa"/>
            <w:vMerge/>
            <w:tcBorders>
              <w:top w:val="nil"/>
            </w:tcBorders>
            <w:vAlign w:val="top"/>
          </w:tcPr>
          <w:p>
            <w:pPr>
              <w:rPr>
                <w:rFonts w:ascii="Arial"/>
                <w:sz w:val="21"/>
              </w:rPr>
            </w:pPr>
          </w:p>
        </w:tc>
        <w:tc>
          <w:tcPr>
            <w:tcW w:w="1701" w:type="dxa"/>
            <w:vMerge/>
            <w:tcBorders>
              <w:top w:val="nil"/>
            </w:tcBorders>
            <w:vAlign w:val="top"/>
          </w:tcPr>
          <w:p>
            <w:pPr>
              <w:rPr>
                <w:rFonts w:ascii="Arial"/>
                <w:sz w:val="21"/>
              </w:rPr>
            </w:pPr>
          </w:p>
        </w:tc>
        <w:tc>
          <w:tcPr>
            <w:tcW w:w="1378" w:type="dxa"/>
            <w:vMerge/>
            <w:tcBorders>
              <w:top w:val="nil"/>
            </w:tcBorders>
            <w:vAlign w:val="top"/>
          </w:tcPr>
          <w:p>
            <w:pPr>
              <w:rPr>
                <w:rFonts w:ascii="Arial"/>
                <w:sz w:val="21"/>
              </w:rPr>
            </w:pPr>
          </w:p>
        </w:tc>
        <w:tc>
          <w:tcPr>
            <w:tcW w:w="1369" w:type="dxa"/>
            <w:vMerge/>
            <w:tcBorders>
              <w:top w:val="nil"/>
            </w:tcBorders>
            <w:vAlign w:val="top"/>
          </w:tcPr>
          <w:p>
            <w:pPr>
              <w:rPr>
                <w:rFonts w:ascii="Arial"/>
                <w:sz w:val="21"/>
              </w:rPr>
            </w:pPr>
          </w:p>
        </w:tc>
        <w:tc>
          <w:tcPr>
            <w:tcW w:w="2747" w:type="dxa"/>
            <w:gridSpan w:val="2"/>
            <w:vMerge/>
            <w:tcBorders>
              <w:top w:val="nil"/>
            </w:tcBorders>
            <w:vAlign w:val="top"/>
          </w:tcPr>
          <w:p>
            <w:pPr>
              <w:rPr>
                <w:rFonts w:ascii="Arial"/>
                <w:sz w:val="21"/>
              </w:rPr>
            </w:pPr>
          </w:p>
        </w:tc>
        <w:tc>
          <w:tcPr>
            <w:tcW w:w="1691" w:type="dxa"/>
            <w:vAlign w:val="top"/>
          </w:tcPr>
          <w:p>
            <w:pPr>
              <w:pStyle w:val="TableText"/>
              <w:spacing w:before="176" w:line="221" w:lineRule="auto"/>
              <w:ind w:left="173"/>
            </w:pPr>
            <w:r>
              <w:rPr>
                <w:spacing w:val="7"/>
              </w:rPr>
              <w:t>包装规范</w:t>
            </w:r>
          </w:p>
        </w:tc>
        <w:tc>
          <w:tcPr>
            <w:tcW w:w="1720" w:type="dxa"/>
            <w:vAlign w:val="top"/>
          </w:tcPr>
          <w:p>
            <w:pPr>
              <w:pStyle w:val="TableText"/>
              <w:spacing w:before="174" w:line="221" w:lineRule="auto"/>
              <w:ind w:left="193"/>
            </w:pPr>
            <w:r>
              <w:rPr>
                <w:spacing w:val="7"/>
              </w:rPr>
              <w:t>特殊规定</w:t>
            </w:r>
          </w:p>
        </w:tc>
        <w:tc>
          <w:tcPr>
            <w:tcW w:w="1368" w:type="dxa"/>
            <w:vAlign w:val="top"/>
          </w:tcPr>
          <w:p>
            <w:pPr>
              <w:pStyle w:val="TableText"/>
              <w:spacing w:before="178" w:line="223" w:lineRule="auto"/>
              <w:ind w:left="350"/>
            </w:pPr>
            <w:r>
              <w:rPr>
                <w:spacing w:val="12"/>
              </w:rPr>
              <w:t>规范</w:t>
            </w:r>
          </w:p>
        </w:tc>
        <w:tc>
          <w:tcPr>
            <w:tcW w:w="1725" w:type="dxa"/>
            <w:vAlign w:val="top"/>
          </w:tcPr>
          <w:p>
            <w:pPr>
              <w:pStyle w:val="TableText"/>
              <w:spacing w:before="174" w:line="221" w:lineRule="auto"/>
              <w:ind w:left="195"/>
            </w:pPr>
            <w:r>
              <w:rPr>
                <w:spacing w:val="7"/>
              </w:rPr>
              <w:t>特殊规定</w:t>
            </w:r>
          </w:p>
        </w:tc>
      </w:tr>
      <w:tr>
        <w:tblPrEx>
          <w:tblW w:w="17438" w:type="dxa"/>
          <w:tblInd w:w="2" w:type="dxa"/>
          <w:tblLayout w:type="fixed"/>
        </w:tblPrEx>
        <w:trPr>
          <w:trHeight w:val="1343"/>
        </w:trPr>
        <w:tc>
          <w:tcPr>
            <w:tcW w:w="2028" w:type="dxa"/>
            <w:vAlign w:val="top"/>
          </w:tcPr>
          <w:p>
            <w:pPr>
              <w:spacing w:line="407" w:lineRule="auto"/>
              <w:rPr>
                <w:rFonts w:ascii="Arial"/>
                <w:sz w:val="21"/>
              </w:rPr>
            </w:pPr>
          </w:p>
          <w:p>
            <w:pPr>
              <w:pStyle w:val="TableText"/>
              <w:spacing w:before="107" w:line="220" w:lineRule="auto"/>
              <w:ind w:left="342"/>
            </w:pPr>
            <w:r>
              <w:rPr>
                <w:spacing w:val="5"/>
              </w:rPr>
              <w:t>固态苯酚</w:t>
            </w:r>
          </w:p>
        </w:tc>
        <w:tc>
          <w:tcPr>
            <w:tcW w:w="1711" w:type="dxa"/>
            <w:vAlign w:val="top"/>
          </w:tcPr>
          <w:p>
            <w:pPr>
              <w:spacing w:line="245" w:lineRule="auto"/>
              <w:rPr>
                <w:rFonts w:ascii="Arial"/>
                <w:sz w:val="21"/>
              </w:rPr>
            </w:pPr>
          </w:p>
          <w:p>
            <w:pPr>
              <w:spacing w:line="246" w:lineRule="auto"/>
              <w:rPr>
                <w:rFonts w:ascii="Arial"/>
                <w:sz w:val="21"/>
              </w:rPr>
            </w:pPr>
          </w:p>
          <w:p>
            <w:pPr>
              <w:pStyle w:val="TableText"/>
              <w:spacing w:before="108" w:line="185" w:lineRule="auto"/>
              <w:ind w:left="514"/>
            </w:pPr>
            <w:r>
              <w:rPr>
                <w:spacing w:val="-7"/>
              </w:rPr>
              <w:t>1671</w:t>
            </w:r>
          </w:p>
        </w:tc>
        <w:tc>
          <w:tcPr>
            <w:tcW w:w="1701" w:type="dxa"/>
            <w:vAlign w:val="top"/>
          </w:tcPr>
          <w:p>
            <w:pPr>
              <w:spacing w:line="435" w:lineRule="auto"/>
              <w:rPr>
                <w:rFonts w:ascii="Arial"/>
                <w:sz w:val="21"/>
              </w:rPr>
            </w:pPr>
          </w:p>
          <w:p>
            <w:pPr>
              <w:pStyle w:val="TableText"/>
              <w:spacing w:before="108" w:line="237" w:lineRule="auto"/>
              <w:ind w:left="680"/>
            </w:pPr>
            <w:r>
              <w:t>Ⅱ</w:t>
            </w:r>
          </w:p>
        </w:tc>
        <w:tc>
          <w:tcPr>
            <w:tcW w:w="1378" w:type="dxa"/>
            <w:vAlign w:val="top"/>
          </w:tcPr>
          <w:p>
            <w:pPr>
              <w:spacing w:line="245" w:lineRule="auto"/>
              <w:rPr>
                <w:rFonts w:ascii="Arial"/>
                <w:sz w:val="21"/>
              </w:rPr>
            </w:pPr>
          </w:p>
          <w:p>
            <w:pPr>
              <w:spacing w:line="246" w:lineRule="auto"/>
              <w:rPr>
                <w:rFonts w:ascii="Arial"/>
                <w:sz w:val="21"/>
              </w:rPr>
            </w:pPr>
          </w:p>
          <w:p>
            <w:pPr>
              <w:pStyle w:val="TableText"/>
              <w:spacing w:before="108" w:line="185" w:lineRule="auto"/>
              <w:ind w:left="436"/>
            </w:pPr>
            <w:r>
              <w:rPr>
                <w:spacing w:val="-3"/>
              </w:rPr>
              <w:t>6.1</w:t>
            </w:r>
          </w:p>
        </w:tc>
        <w:tc>
          <w:tcPr>
            <w:tcW w:w="1369" w:type="dxa"/>
            <w:vAlign w:val="top"/>
          </w:tcPr>
          <w:p>
            <w:pPr>
              <w:spacing w:line="246" w:lineRule="auto"/>
              <w:rPr>
                <w:rFonts w:ascii="Arial"/>
                <w:sz w:val="21"/>
              </w:rPr>
            </w:pPr>
          </w:p>
          <w:p>
            <w:pPr>
              <w:spacing w:line="247" w:lineRule="auto"/>
              <w:rPr>
                <w:rFonts w:ascii="Arial"/>
                <w:sz w:val="21"/>
              </w:rPr>
            </w:pPr>
          </w:p>
          <w:p>
            <w:pPr>
              <w:pStyle w:val="TableText"/>
              <w:spacing w:before="107" w:line="184" w:lineRule="auto"/>
              <w:ind w:left="349"/>
            </w:pPr>
            <w:r>
              <w:rPr>
                <w:spacing w:val="-3"/>
              </w:rPr>
              <w:t>279*</w:t>
            </w:r>
          </w:p>
        </w:tc>
        <w:tc>
          <w:tcPr>
            <w:tcW w:w="1369" w:type="dxa"/>
            <w:vAlign w:val="top"/>
          </w:tcPr>
          <w:p>
            <w:pPr>
              <w:spacing w:line="397" w:lineRule="auto"/>
              <w:rPr>
                <w:rFonts w:ascii="Arial"/>
                <w:sz w:val="21"/>
              </w:rPr>
            </w:pPr>
          </w:p>
          <w:p>
            <w:pPr>
              <w:pStyle w:val="TableText"/>
              <w:spacing w:before="108" w:line="215" w:lineRule="auto"/>
              <w:ind w:left="182"/>
            </w:pPr>
            <w:r>
              <w:rPr>
                <w:spacing w:val="30"/>
              </w:rPr>
              <w:t>500g”</w:t>
            </w:r>
          </w:p>
        </w:tc>
        <w:tc>
          <w:tcPr>
            <w:tcW w:w="1378" w:type="dxa"/>
            <w:vAlign w:val="top"/>
          </w:tcPr>
          <w:p>
            <w:pPr>
              <w:spacing w:line="246" w:lineRule="auto"/>
              <w:rPr>
                <w:rFonts w:ascii="Arial"/>
                <w:sz w:val="21"/>
              </w:rPr>
            </w:pPr>
          </w:p>
          <w:p>
            <w:pPr>
              <w:spacing w:line="247" w:lineRule="auto"/>
              <w:rPr>
                <w:rFonts w:ascii="Arial"/>
                <w:sz w:val="21"/>
              </w:rPr>
            </w:pPr>
          </w:p>
          <w:p>
            <w:pPr>
              <w:pStyle w:val="TableText"/>
              <w:spacing w:before="107" w:line="184" w:lineRule="auto"/>
              <w:ind w:left="436"/>
            </w:pPr>
            <w:r>
              <w:rPr>
                <w:spacing w:val="-2"/>
              </w:rPr>
              <w:t>E4*</w:t>
            </w:r>
          </w:p>
        </w:tc>
        <w:tc>
          <w:tcPr>
            <w:tcW w:w="1691" w:type="dxa"/>
            <w:vAlign w:val="top"/>
          </w:tcPr>
          <w:p>
            <w:pPr>
              <w:pStyle w:val="TableText"/>
              <w:spacing w:before="315" w:line="552" w:lineRule="exact"/>
              <w:ind w:left="339"/>
              <w:rPr>
                <w:rFonts w:ascii="Calibri" w:eastAsia="Calibri" w:hAnsi="Calibri" w:cs="Calibri"/>
              </w:rPr>
            </w:pPr>
            <w:r>
              <w:rPr>
                <w:spacing w:val="-1"/>
                <w:position w:val="20"/>
              </w:rPr>
              <w:t>P002</w:t>
            </w:r>
            <w:r>
              <w:rPr>
                <w:rFonts w:ascii="Calibri" w:eastAsia="Calibri" w:hAnsi="Calibri" w:cs="Calibri"/>
                <w:spacing w:val="-1"/>
                <w:position w:val="20"/>
              </w:rPr>
              <w:t>⁴</w:t>
            </w:r>
          </w:p>
          <w:p>
            <w:pPr>
              <w:pStyle w:val="TableText"/>
              <w:spacing w:before="1" w:line="183" w:lineRule="auto"/>
              <w:ind w:left="427"/>
            </w:pPr>
            <w:r>
              <w:rPr>
                <w:spacing w:val="-6"/>
              </w:rPr>
              <w:t>IBCO8</w:t>
            </w:r>
          </w:p>
        </w:tc>
        <w:tc>
          <w:tcPr>
            <w:tcW w:w="1720" w:type="dxa"/>
            <w:vAlign w:val="top"/>
          </w:tcPr>
          <w:p>
            <w:pPr>
              <w:spacing w:line="402" w:lineRule="auto"/>
              <w:rPr>
                <w:rFonts w:ascii="Arial"/>
                <w:sz w:val="21"/>
              </w:rPr>
            </w:pPr>
          </w:p>
          <w:p>
            <w:pPr>
              <w:pStyle w:val="TableText"/>
              <w:spacing w:before="108" w:line="218" w:lineRule="auto"/>
              <w:ind w:left="271"/>
            </w:pPr>
            <w:r>
              <w:t>B2",B4'</w:t>
            </w:r>
          </w:p>
        </w:tc>
        <w:tc>
          <w:tcPr>
            <w:tcW w:w="1368" w:type="dxa"/>
            <w:vAlign w:val="top"/>
          </w:tcPr>
          <w:p>
            <w:pPr>
              <w:spacing w:line="441" w:lineRule="auto"/>
              <w:rPr>
                <w:rFonts w:ascii="Arial"/>
                <w:sz w:val="21"/>
              </w:rPr>
            </w:pPr>
          </w:p>
          <w:p>
            <w:pPr>
              <w:pStyle w:val="TableText"/>
              <w:spacing w:before="107" w:line="241" w:lineRule="auto"/>
              <w:ind w:left="429"/>
            </w:pPr>
            <w:r>
              <w:rPr>
                <w:spacing w:val="-2"/>
              </w:rPr>
              <w:t>T3d</w:t>
            </w:r>
          </w:p>
        </w:tc>
        <w:tc>
          <w:tcPr>
            <w:tcW w:w="1725" w:type="dxa"/>
            <w:vAlign w:val="top"/>
          </w:tcPr>
          <w:p>
            <w:pPr>
              <w:spacing w:line="441" w:lineRule="auto"/>
              <w:rPr>
                <w:rFonts w:ascii="Arial"/>
                <w:sz w:val="21"/>
              </w:rPr>
            </w:pPr>
          </w:p>
          <w:p>
            <w:pPr>
              <w:pStyle w:val="TableText"/>
              <w:spacing w:before="107" w:line="241" w:lineRule="auto"/>
              <w:ind w:left="361"/>
            </w:pPr>
            <w:r>
              <w:rPr>
                <w:spacing w:val="-1"/>
              </w:rPr>
              <w:t>TP33“</w:t>
            </w:r>
          </w:p>
        </w:tc>
      </w:tr>
      <w:tr>
        <w:tblPrEx>
          <w:tblW w:w="17438" w:type="dxa"/>
          <w:tblInd w:w="2" w:type="dxa"/>
          <w:tblLayout w:type="fixed"/>
        </w:tblPrEx>
        <w:trPr>
          <w:trHeight w:val="689"/>
        </w:trPr>
        <w:tc>
          <w:tcPr>
            <w:tcW w:w="2028" w:type="dxa"/>
            <w:vAlign w:val="top"/>
          </w:tcPr>
          <w:p>
            <w:pPr>
              <w:pStyle w:val="TableText"/>
              <w:spacing w:before="185" w:line="220" w:lineRule="auto"/>
              <w:ind w:left="342"/>
            </w:pPr>
            <w:r>
              <w:rPr>
                <w:spacing w:val="5"/>
              </w:rPr>
              <w:t>熔融苯酚</w:t>
            </w:r>
          </w:p>
        </w:tc>
        <w:tc>
          <w:tcPr>
            <w:tcW w:w="1711" w:type="dxa"/>
            <w:vAlign w:val="top"/>
          </w:tcPr>
          <w:p>
            <w:pPr>
              <w:pStyle w:val="TableText"/>
              <w:spacing w:before="271" w:line="185" w:lineRule="auto"/>
              <w:ind w:left="514"/>
            </w:pPr>
            <w:r>
              <w:rPr>
                <w:spacing w:val="-3"/>
              </w:rPr>
              <w:t>2312</w:t>
            </w:r>
          </w:p>
        </w:tc>
        <w:tc>
          <w:tcPr>
            <w:tcW w:w="1701" w:type="dxa"/>
            <w:vAlign w:val="top"/>
          </w:tcPr>
          <w:p>
            <w:pPr>
              <w:pStyle w:val="TableText"/>
              <w:spacing w:before="214" w:line="237" w:lineRule="auto"/>
              <w:ind w:left="680"/>
            </w:pPr>
            <w:r>
              <w:t>Ⅱ</w:t>
            </w:r>
          </w:p>
        </w:tc>
        <w:tc>
          <w:tcPr>
            <w:tcW w:w="1378" w:type="dxa"/>
            <w:vAlign w:val="top"/>
          </w:tcPr>
          <w:p>
            <w:pPr>
              <w:pStyle w:val="TableText"/>
              <w:spacing w:before="271" w:line="185" w:lineRule="auto"/>
              <w:ind w:left="436"/>
            </w:pPr>
            <w:r>
              <w:rPr>
                <w:spacing w:val="-3"/>
              </w:rPr>
              <w:t>6.1</w:t>
            </w:r>
          </w:p>
        </w:tc>
        <w:tc>
          <w:tcPr>
            <w:tcW w:w="1369" w:type="dxa"/>
            <w:vAlign w:val="top"/>
          </w:tcPr>
          <w:p>
            <w:pPr>
              <w:rPr>
                <w:rFonts w:ascii="Arial"/>
                <w:sz w:val="21"/>
              </w:rPr>
            </w:pPr>
          </w:p>
        </w:tc>
        <w:tc>
          <w:tcPr>
            <w:tcW w:w="1369" w:type="dxa"/>
            <w:vAlign w:val="top"/>
          </w:tcPr>
          <w:p>
            <w:pPr>
              <w:pStyle w:val="TableText"/>
              <w:spacing w:before="220" w:line="241" w:lineRule="auto"/>
              <w:ind w:left="515"/>
            </w:pPr>
            <w:r>
              <w:rPr>
                <w:spacing w:val="-4"/>
              </w:rPr>
              <w:t>o*</w:t>
            </w:r>
          </w:p>
        </w:tc>
        <w:tc>
          <w:tcPr>
            <w:tcW w:w="1378" w:type="dxa"/>
            <w:vAlign w:val="top"/>
          </w:tcPr>
          <w:p>
            <w:pPr>
              <w:pStyle w:val="TableText"/>
              <w:spacing w:before="274" w:line="183" w:lineRule="auto"/>
              <w:ind w:left="515"/>
            </w:pPr>
            <w:r>
              <w:rPr>
                <w:spacing w:val="-2"/>
              </w:rPr>
              <w:t>Eo</w:t>
            </w:r>
          </w:p>
        </w:tc>
        <w:tc>
          <w:tcPr>
            <w:tcW w:w="1691" w:type="dxa"/>
            <w:vAlign w:val="top"/>
          </w:tcPr>
          <w:p>
            <w:pPr>
              <w:pStyle w:val="TableText"/>
              <w:spacing w:before="188" w:line="221" w:lineRule="auto"/>
              <w:ind w:left="672"/>
            </w:pPr>
            <w:r>
              <w:t>无</w:t>
            </w:r>
          </w:p>
        </w:tc>
        <w:tc>
          <w:tcPr>
            <w:tcW w:w="1720" w:type="dxa"/>
            <w:vAlign w:val="top"/>
          </w:tcPr>
          <w:p>
            <w:pPr>
              <w:rPr>
                <w:rFonts w:ascii="Arial"/>
                <w:sz w:val="21"/>
              </w:rPr>
            </w:pPr>
          </w:p>
        </w:tc>
        <w:tc>
          <w:tcPr>
            <w:tcW w:w="1368" w:type="dxa"/>
            <w:vAlign w:val="top"/>
          </w:tcPr>
          <w:p>
            <w:pPr>
              <w:pStyle w:val="TableText"/>
              <w:spacing w:before="258" w:line="192" w:lineRule="auto"/>
              <w:ind w:left="350"/>
              <w:rPr>
                <w:rFonts w:ascii="Calibri" w:eastAsia="Calibri" w:hAnsi="Calibri" w:cs="Calibri"/>
              </w:rPr>
            </w:pPr>
            <w:r>
              <w:rPr>
                <w:spacing w:val="-2"/>
              </w:rPr>
              <w:t>T7</w:t>
            </w:r>
            <w:r>
              <w:rPr>
                <w:rFonts w:ascii="Calibri" w:eastAsia="Calibri" w:hAnsi="Calibri" w:cs="Calibri"/>
                <w:spacing w:val="-2"/>
              </w:rPr>
              <w:t>⁴</w:t>
            </w:r>
          </w:p>
        </w:tc>
        <w:tc>
          <w:tcPr>
            <w:tcW w:w="1725" w:type="dxa"/>
            <w:vAlign w:val="top"/>
          </w:tcPr>
          <w:p>
            <w:pPr>
              <w:pStyle w:val="TableText"/>
              <w:spacing w:before="220" w:line="241" w:lineRule="auto"/>
              <w:ind w:left="527"/>
            </w:pPr>
            <w:r>
              <w:rPr>
                <w:spacing w:val="-1"/>
              </w:rPr>
              <w:t>TP3'</w:t>
            </w:r>
          </w:p>
        </w:tc>
      </w:tr>
      <w:tr>
        <w:tblPrEx>
          <w:tblW w:w="17438" w:type="dxa"/>
          <w:tblInd w:w="2" w:type="dxa"/>
          <w:tblLayout w:type="fixed"/>
        </w:tblPrEx>
        <w:trPr>
          <w:trHeight w:val="1334"/>
        </w:trPr>
        <w:tc>
          <w:tcPr>
            <w:tcW w:w="2028" w:type="dxa"/>
            <w:vAlign w:val="top"/>
          </w:tcPr>
          <w:p>
            <w:pPr>
              <w:spacing w:line="399" w:lineRule="auto"/>
              <w:rPr>
                <w:rFonts w:ascii="Arial"/>
                <w:sz w:val="21"/>
              </w:rPr>
            </w:pPr>
          </w:p>
          <w:p>
            <w:pPr>
              <w:pStyle w:val="TableText"/>
              <w:spacing w:before="107" w:line="220" w:lineRule="auto"/>
              <w:ind w:left="342"/>
            </w:pPr>
            <w:r>
              <w:rPr>
                <w:spacing w:val="6"/>
              </w:rPr>
              <w:t>苯酚溶液</w:t>
            </w:r>
          </w:p>
        </w:tc>
        <w:tc>
          <w:tcPr>
            <w:tcW w:w="1711" w:type="dxa"/>
            <w:vAlign w:val="top"/>
          </w:tcPr>
          <w:p>
            <w:pPr>
              <w:spacing w:line="241" w:lineRule="auto"/>
              <w:rPr>
                <w:rFonts w:ascii="Arial"/>
                <w:sz w:val="21"/>
              </w:rPr>
            </w:pPr>
          </w:p>
          <w:p>
            <w:pPr>
              <w:spacing w:line="242" w:lineRule="auto"/>
              <w:rPr>
                <w:rFonts w:ascii="Arial"/>
                <w:sz w:val="21"/>
              </w:rPr>
            </w:pPr>
          </w:p>
          <w:p>
            <w:pPr>
              <w:pStyle w:val="TableText"/>
              <w:spacing w:before="108" w:line="185" w:lineRule="auto"/>
              <w:ind w:left="514"/>
            </w:pPr>
            <w:r>
              <w:rPr>
                <w:spacing w:val="-3"/>
              </w:rPr>
              <w:t>2821</w:t>
            </w:r>
          </w:p>
        </w:tc>
        <w:tc>
          <w:tcPr>
            <w:tcW w:w="1701" w:type="dxa"/>
            <w:vAlign w:val="top"/>
          </w:tcPr>
          <w:p>
            <w:pPr>
              <w:spacing w:line="427" w:lineRule="auto"/>
              <w:rPr>
                <w:rFonts w:ascii="Arial"/>
                <w:sz w:val="21"/>
              </w:rPr>
            </w:pPr>
          </w:p>
          <w:p>
            <w:pPr>
              <w:pStyle w:val="TableText"/>
              <w:spacing w:before="107" w:line="237" w:lineRule="auto"/>
              <w:ind w:left="680"/>
            </w:pPr>
            <w:r>
              <w:t>Ⅱ</w:t>
            </w:r>
          </w:p>
        </w:tc>
        <w:tc>
          <w:tcPr>
            <w:tcW w:w="1378" w:type="dxa"/>
            <w:vAlign w:val="top"/>
          </w:tcPr>
          <w:p>
            <w:pPr>
              <w:spacing w:line="241" w:lineRule="auto"/>
              <w:rPr>
                <w:rFonts w:ascii="Arial"/>
                <w:sz w:val="21"/>
              </w:rPr>
            </w:pPr>
          </w:p>
          <w:p>
            <w:pPr>
              <w:spacing w:line="242" w:lineRule="auto"/>
              <w:rPr>
                <w:rFonts w:ascii="Arial"/>
                <w:sz w:val="21"/>
              </w:rPr>
            </w:pPr>
          </w:p>
          <w:p>
            <w:pPr>
              <w:pStyle w:val="TableText"/>
              <w:spacing w:before="108" w:line="185" w:lineRule="auto"/>
              <w:ind w:left="436"/>
            </w:pPr>
            <w:r>
              <w:rPr>
                <w:spacing w:val="-3"/>
              </w:rPr>
              <w:t>6.1</w:t>
            </w:r>
          </w:p>
        </w:tc>
        <w:tc>
          <w:tcPr>
            <w:tcW w:w="1369" w:type="dxa"/>
            <w:vAlign w:val="top"/>
          </w:tcPr>
          <w:p>
            <w:pPr>
              <w:rPr>
                <w:rFonts w:ascii="Arial"/>
                <w:sz w:val="21"/>
              </w:rPr>
            </w:pPr>
          </w:p>
        </w:tc>
        <w:tc>
          <w:tcPr>
            <w:tcW w:w="1369" w:type="dxa"/>
            <w:vAlign w:val="top"/>
          </w:tcPr>
          <w:p>
            <w:pPr>
              <w:spacing w:line="471" w:lineRule="auto"/>
              <w:rPr>
                <w:rFonts w:ascii="Arial"/>
                <w:sz w:val="21"/>
              </w:rPr>
            </w:pPr>
          </w:p>
          <w:p>
            <w:pPr>
              <w:pStyle w:val="TableText"/>
              <w:spacing w:before="107" w:line="192" w:lineRule="auto"/>
              <w:ind w:left="16"/>
              <w:rPr>
                <w:rFonts w:ascii="Calibri" w:eastAsia="Calibri" w:hAnsi="Calibri" w:cs="Calibri"/>
              </w:rPr>
            </w:pPr>
            <w:r>
              <w:rPr>
                <w:spacing w:val="-6"/>
              </w:rPr>
              <w:t>100</w:t>
            </w:r>
            <w:r>
              <w:rPr>
                <w:spacing w:val="56"/>
              </w:rPr>
              <w:t xml:space="preserve">  </w:t>
            </w:r>
            <w:r>
              <w:rPr>
                <w:spacing w:val="-6"/>
              </w:rPr>
              <w:t>mL</w:t>
            </w:r>
            <w:r>
              <w:rPr>
                <w:rFonts w:ascii="Calibri" w:eastAsia="Calibri" w:hAnsi="Calibri" w:cs="Calibri"/>
                <w:spacing w:val="-6"/>
              </w:rPr>
              <w:t>⁵</w:t>
            </w:r>
          </w:p>
        </w:tc>
        <w:tc>
          <w:tcPr>
            <w:tcW w:w="1378" w:type="dxa"/>
            <w:vAlign w:val="top"/>
          </w:tcPr>
          <w:p>
            <w:pPr>
              <w:spacing w:line="448" w:lineRule="auto"/>
              <w:rPr>
                <w:rFonts w:ascii="Arial"/>
                <w:sz w:val="21"/>
              </w:rPr>
            </w:pPr>
          </w:p>
          <w:p>
            <w:pPr>
              <w:pStyle w:val="TableText"/>
              <w:spacing w:before="107" w:line="205" w:lineRule="auto"/>
              <w:ind w:left="436"/>
            </w:pPr>
            <w:r>
              <w:rPr>
                <w:spacing w:val="-2"/>
              </w:rPr>
              <w:t>E4'</w:t>
            </w:r>
          </w:p>
        </w:tc>
        <w:tc>
          <w:tcPr>
            <w:tcW w:w="1691" w:type="dxa"/>
            <w:vAlign w:val="top"/>
          </w:tcPr>
          <w:p>
            <w:pPr>
              <w:pStyle w:val="TableText"/>
              <w:spacing w:before="326" w:line="538" w:lineRule="exact"/>
              <w:ind w:left="339"/>
              <w:rPr>
                <w:rFonts w:ascii="Calibri" w:eastAsia="Calibri" w:hAnsi="Calibri" w:cs="Calibri"/>
              </w:rPr>
            </w:pPr>
            <w:r>
              <w:rPr>
                <w:spacing w:val="-1"/>
                <w:position w:val="19"/>
              </w:rPr>
              <w:t>P001</w:t>
            </w:r>
            <w:r>
              <w:rPr>
                <w:rFonts w:ascii="Calibri" w:eastAsia="Calibri" w:hAnsi="Calibri" w:cs="Calibri"/>
                <w:spacing w:val="-1"/>
                <w:position w:val="19"/>
              </w:rPr>
              <w:t>⁴</w:t>
            </w:r>
          </w:p>
          <w:p>
            <w:pPr>
              <w:pStyle w:val="TableText"/>
              <w:spacing w:line="192" w:lineRule="auto"/>
              <w:ind w:left="261"/>
              <w:rPr>
                <w:rFonts w:ascii="Calibri" w:eastAsia="Calibri" w:hAnsi="Calibri" w:cs="Calibri"/>
              </w:rPr>
            </w:pPr>
            <w:r>
              <w:rPr>
                <w:spacing w:val="-5"/>
              </w:rPr>
              <w:t>IBCO2</w:t>
            </w:r>
            <w:r>
              <w:rPr>
                <w:rFonts w:ascii="Calibri" w:eastAsia="Calibri" w:hAnsi="Calibri" w:cs="Calibri"/>
                <w:spacing w:val="-5"/>
              </w:rPr>
              <w:t>⁴</w:t>
            </w:r>
          </w:p>
        </w:tc>
        <w:tc>
          <w:tcPr>
            <w:tcW w:w="1720" w:type="dxa"/>
            <w:vAlign w:val="top"/>
          </w:tcPr>
          <w:p>
            <w:pPr>
              <w:rPr>
                <w:rFonts w:ascii="Arial"/>
                <w:sz w:val="21"/>
              </w:rPr>
            </w:pPr>
          </w:p>
        </w:tc>
        <w:tc>
          <w:tcPr>
            <w:tcW w:w="1368" w:type="dxa"/>
            <w:vAlign w:val="top"/>
          </w:tcPr>
          <w:p>
            <w:pPr>
              <w:spacing w:line="471" w:lineRule="auto"/>
              <w:rPr>
                <w:rFonts w:ascii="Arial"/>
                <w:sz w:val="21"/>
              </w:rPr>
            </w:pPr>
          </w:p>
          <w:p>
            <w:pPr>
              <w:pStyle w:val="TableText"/>
              <w:spacing w:before="107" w:line="192" w:lineRule="auto"/>
              <w:ind w:left="350"/>
              <w:rPr>
                <w:rFonts w:ascii="Calibri" w:eastAsia="Calibri" w:hAnsi="Calibri" w:cs="Calibri"/>
              </w:rPr>
            </w:pPr>
            <w:r>
              <w:rPr>
                <w:spacing w:val="-2"/>
              </w:rPr>
              <w:t>T7</w:t>
            </w:r>
            <w:r>
              <w:rPr>
                <w:rFonts w:ascii="Calibri" w:eastAsia="Calibri" w:hAnsi="Calibri" w:cs="Calibri"/>
                <w:spacing w:val="-2"/>
              </w:rPr>
              <w:t>⁴</w:t>
            </w:r>
          </w:p>
        </w:tc>
        <w:tc>
          <w:tcPr>
            <w:tcW w:w="1725" w:type="dxa"/>
            <w:vAlign w:val="top"/>
          </w:tcPr>
          <w:p>
            <w:pPr>
              <w:spacing w:line="448" w:lineRule="auto"/>
              <w:rPr>
                <w:rFonts w:ascii="Arial"/>
                <w:sz w:val="21"/>
              </w:rPr>
            </w:pPr>
          </w:p>
          <w:p>
            <w:pPr>
              <w:pStyle w:val="TableText"/>
              <w:spacing w:before="107" w:line="205" w:lineRule="auto"/>
              <w:ind w:left="527"/>
            </w:pPr>
            <w:r>
              <w:rPr>
                <w:spacing w:val="-1"/>
              </w:rPr>
              <w:t>TP2'</w:t>
            </w:r>
          </w:p>
        </w:tc>
      </w:tr>
      <w:tr>
        <w:tblPrEx>
          <w:tblW w:w="17438" w:type="dxa"/>
          <w:tblInd w:w="2" w:type="dxa"/>
          <w:tblLayout w:type="fixed"/>
        </w:tblPrEx>
        <w:trPr>
          <w:trHeight w:val="1686"/>
        </w:trPr>
        <w:tc>
          <w:tcPr>
            <w:tcW w:w="2028" w:type="dxa"/>
            <w:vAlign w:val="top"/>
          </w:tcPr>
          <w:p>
            <w:pPr>
              <w:spacing w:line="287" w:lineRule="auto"/>
              <w:rPr>
                <w:rFonts w:ascii="Arial"/>
                <w:sz w:val="21"/>
              </w:rPr>
            </w:pPr>
          </w:p>
          <w:p>
            <w:pPr>
              <w:spacing w:line="287" w:lineRule="auto"/>
              <w:rPr>
                <w:rFonts w:ascii="Arial"/>
                <w:sz w:val="21"/>
              </w:rPr>
            </w:pPr>
          </w:p>
          <w:p>
            <w:pPr>
              <w:pStyle w:val="TableText"/>
              <w:spacing w:before="107" w:line="220" w:lineRule="auto"/>
              <w:ind w:left="342"/>
            </w:pPr>
            <w:r>
              <w:rPr>
                <w:spacing w:val="6"/>
              </w:rPr>
              <w:t>苯酚溶液</w:t>
            </w:r>
          </w:p>
        </w:tc>
        <w:tc>
          <w:tcPr>
            <w:tcW w:w="1711" w:type="dxa"/>
            <w:vAlign w:val="top"/>
          </w:tcPr>
          <w:p>
            <w:pPr>
              <w:spacing w:line="329" w:lineRule="auto"/>
              <w:rPr>
                <w:rFonts w:ascii="Arial"/>
                <w:sz w:val="21"/>
              </w:rPr>
            </w:pPr>
          </w:p>
          <w:p>
            <w:pPr>
              <w:spacing w:line="330" w:lineRule="auto"/>
              <w:rPr>
                <w:rFonts w:ascii="Arial"/>
                <w:sz w:val="21"/>
              </w:rPr>
            </w:pPr>
          </w:p>
          <w:p>
            <w:pPr>
              <w:pStyle w:val="TableText"/>
              <w:spacing w:before="107" w:line="185" w:lineRule="auto"/>
              <w:ind w:left="514"/>
            </w:pPr>
            <w:r>
              <w:rPr>
                <w:spacing w:val="-3"/>
              </w:rPr>
              <w:t>2821</w:t>
            </w:r>
          </w:p>
        </w:tc>
        <w:tc>
          <w:tcPr>
            <w:tcW w:w="1701" w:type="dxa"/>
            <w:vAlign w:val="top"/>
          </w:tcPr>
          <w:p>
            <w:pPr>
              <w:spacing w:line="301" w:lineRule="auto"/>
              <w:rPr>
                <w:rFonts w:ascii="Arial"/>
                <w:sz w:val="21"/>
              </w:rPr>
            </w:pPr>
          </w:p>
          <w:p>
            <w:pPr>
              <w:spacing w:line="302" w:lineRule="auto"/>
              <w:rPr>
                <w:rFonts w:ascii="Arial"/>
                <w:sz w:val="21"/>
              </w:rPr>
            </w:pPr>
          </w:p>
          <w:p>
            <w:pPr>
              <w:pStyle w:val="TableText"/>
              <w:spacing w:before="107" w:line="237" w:lineRule="auto"/>
              <w:ind w:left="680"/>
            </w:pPr>
            <w:r>
              <w:t>Ⅲ</w:t>
            </w:r>
          </w:p>
        </w:tc>
        <w:tc>
          <w:tcPr>
            <w:tcW w:w="1378" w:type="dxa"/>
            <w:vAlign w:val="top"/>
          </w:tcPr>
          <w:p>
            <w:pPr>
              <w:spacing w:line="329" w:lineRule="auto"/>
              <w:rPr>
                <w:rFonts w:ascii="Arial"/>
                <w:sz w:val="21"/>
              </w:rPr>
            </w:pPr>
          </w:p>
          <w:p>
            <w:pPr>
              <w:spacing w:line="330" w:lineRule="auto"/>
              <w:rPr>
                <w:rFonts w:ascii="Arial"/>
                <w:sz w:val="21"/>
              </w:rPr>
            </w:pPr>
          </w:p>
          <w:p>
            <w:pPr>
              <w:pStyle w:val="TableText"/>
              <w:spacing w:before="107" w:line="185" w:lineRule="auto"/>
              <w:ind w:left="436"/>
            </w:pPr>
            <w:r>
              <w:rPr>
                <w:spacing w:val="-3"/>
              </w:rPr>
              <w:t>6.1</w:t>
            </w:r>
          </w:p>
        </w:tc>
        <w:tc>
          <w:tcPr>
            <w:tcW w:w="1369" w:type="dxa"/>
            <w:vAlign w:val="top"/>
          </w:tcPr>
          <w:p>
            <w:pPr>
              <w:spacing w:line="304" w:lineRule="auto"/>
              <w:rPr>
                <w:rFonts w:ascii="Arial"/>
                <w:sz w:val="21"/>
              </w:rPr>
            </w:pPr>
          </w:p>
          <w:p>
            <w:pPr>
              <w:spacing w:line="304" w:lineRule="auto"/>
              <w:rPr>
                <w:rFonts w:ascii="Arial"/>
                <w:sz w:val="21"/>
              </w:rPr>
            </w:pPr>
          </w:p>
          <w:p>
            <w:pPr>
              <w:pStyle w:val="TableText"/>
              <w:spacing w:before="107" w:line="241" w:lineRule="auto"/>
              <w:ind w:left="349"/>
            </w:pPr>
            <w:r>
              <w:rPr>
                <w:spacing w:val="-3"/>
              </w:rPr>
              <w:t>223'</w:t>
            </w:r>
          </w:p>
        </w:tc>
        <w:tc>
          <w:tcPr>
            <w:tcW w:w="1369" w:type="dxa"/>
            <w:vAlign w:val="top"/>
          </w:tcPr>
          <w:p>
            <w:pPr>
              <w:spacing w:line="304" w:lineRule="auto"/>
              <w:rPr>
                <w:rFonts w:ascii="Arial"/>
                <w:sz w:val="21"/>
              </w:rPr>
            </w:pPr>
          </w:p>
          <w:p>
            <w:pPr>
              <w:spacing w:line="304" w:lineRule="auto"/>
              <w:rPr>
                <w:rFonts w:ascii="Arial"/>
                <w:sz w:val="21"/>
              </w:rPr>
            </w:pPr>
          </w:p>
          <w:p>
            <w:pPr>
              <w:pStyle w:val="TableText"/>
              <w:spacing w:before="107" w:line="241" w:lineRule="auto"/>
              <w:ind w:left="427"/>
            </w:pPr>
            <w:r>
              <w:rPr>
                <w:spacing w:val="-4"/>
              </w:rPr>
              <w:t>5L'</w:t>
            </w:r>
          </w:p>
        </w:tc>
        <w:tc>
          <w:tcPr>
            <w:tcW w:w="1378" w:type="dxa"/>
            <w:vAlign w:val="top"/>
          </w:tcPr>
          <w:p>
            <w:pPr>
              <w:spacing w:line="331" w:lineRule="auto"/>
              <w:rPr>
                <w:rFonts w:ascii="Arial"/>
                <w:sz w:val="21"/>
              </w:rPr>
            </w:pPr>
          </w:p>
          <w:p>
            <w:pPr>
              <w:spacing w:line="331" w:lineRule="auto"/>
              <w:rPr>
                <w:rFonts w:ascii="Arial"/>
                <w:sz w:val="21"/>
              </w:rPr>
            </w:pPr>
          </w:p>
          <w:p>
            <w:pPr>
              <w:pStyle w:val="TableText"/>
              <w:spacing w:before="108" w:line="183" w:lineRule="auto"/>
              <w:ind w:left="515"/>
            </w:pPr>
            <w:r>
              <w:rPr>
                <w:spacing w:val="-2"/>
              </w:rPr>
              <w:t>EI</w:t>
            </w:r>
          </w:p>
        </w:tc>
        <w:tc>
          <w:tcPr>
            <w:tcW w:w="1691" w:type="dxa"/>
            <w:vAlign w:val="top"/>
          </w:tcPr>
          <w:p>
            <w:pPr>
              <w:pStyle w:val="TableText"/>
              <w:spacing w:before="249" w:line="528" w:lineRule="exact"/>
              <w:ind w:left="339"/>
              <w:rPr>
                <w:rFonts w:ascii="Calibri" w:eastAsia="Calibri" w:hAnsi="Calibri" w:cs="Calibri"/>
              </w:rPr>
            </w:pPr>
            <w:r>
              <w:rPr>
                <w:spacing w:val="-1"/>
                <w:position w:val="18"/>
              </w:rPr>
              <w:t>P001</w:t>
            </w:r>
            <w:r>
              <w:rPr>
                <w:rFonts w:ascii="Calibri" w:eastAsia="Calibri" w:hAnsi="Calibri" w:cs="Calibri"/>
                <w:spacing w:val="-1"/>
                <w:position w:val="18"/>
              </w:rPr>
              <w:t>⁴</w:t>
            </w:r>
          </w:p>
          <w:p>
            <w:pPr>
              <w:pStyle w:val="TableText"/>
              <w:spacing w:line="192" w:lineRule="auto"/>
              <w:ind w:left="261"/>
              <w:rPr>
                <w:rFonts w:ascii="Calibri" w:eastAsia="Calibri" w:hAnsi="Calibri" w:cs="Calibri"/>
              </w:rPr>
            </w:pPr>
            <w:r>
              <w:rPr>
                <w:spacing w:val="-5"/>
              </w:rPr>
              <w:t>IBC03</w:t>
            </w:r>
            <w:r>
              <w:rPr>
                <w:rFonts w:ascii="Calibri" w:eastAsia="Calibri" w:hAnsi="Calibri" w:cs="Calibri"/>
                <w:spacing w:val="-5"/>
              </w:rPr>
              <w:t>⁴</w:t>
            </w:r>
          </w:p>
          <w:p>
            <w:pPr>
              <w:pStyle w:val="TableText"/>
              <w:spacing w:before="213" w:line="191" w:lineRule="auto"/>
              <w:ind w:left="339"/>
              <w:rPr>
                <w:rFonts w:ascii="Calibri" w:eastAsia="Calibri" w:hAnsi="Calibri" w:cs="Calibri"/>
              </w:rPr>
            </w:pPr>
            <w:r>
              <w:rPr>
                <w:spacing w:val="-1"/>
              </w:rPr>
              <w:t>LPO1</w:t>
            </w:r>
            <w:r>
              <w:rPr>
                <w:rFonts w:ascii="Calibri" w:eastAsia="Calibri" w:hAnsi="Calibri" w:cs="Calibri"/>
                <w:spacing w:val="-1"/>
              </w:rPr>
              <w:t>⁴</w:t>
            </w:r>
          </w:p>
        </w:tc>
        <w:tc>
          <w:tcPr>
            <w:tcW w:w="1720" w:type="dxa"/>
            <w:vAlign w:val="top"/>
          </w:tcPr>
          <w:p>
            <w:pPr>
              <w:rPr>
                <w:rFonts w:ascii="Arial"/>
                <w:sz w:val="21"/>
              </w:rPr>
            </w:pPr>
          </w:p>
        </w:tc>
        <w:tc>
          <w:tcPr>
            <w:tcW w:w="1368" w:type="dxa"/>
            <w:vAlign w:val="top"/>
          </w:tcPr>
          <w:p>
            <w:pPr>
              <w:spacing w:line="323" w:lineRule="auto"/>
              <w:rPr>
                <w:rFonts w:ascii="Arial"/>
                <w:sz w:val="21"/>
              </w:rPr>
            </w:pPr>
          </w:p>
          <w:p>
            <w:pPr>
              <w:spacing w:line="323" w:lineRule="auto"/>
              <w:rPr>
                <w:rFonts w:ascii="Arial"/>
                <w:sz w:val="21"/>
              </w:rPr>
            </w:pPr>
          </w:p>
          <w:p>
            <w:pPr>
              <w:pStyle w:val="TableText"/>
              <w:spacing w:before="108" w:line="192" w:lineRule="auto"/>
              <w:ind w:left="350"/>
              <w:rPr>
                <w:rFonts w:ascii="Calibri" w:eastAsia="Calibri" w:hAnsi="Calibri" w:cs="Calibri"/>
              </w:rPr>
            </w:pPr>
            <w:r>
              <w:rPr>
                <w:spacing w:val="-2"/>
              </w:rPr>
              <w:t>T4</w:t>
            </w:r>
            <w:r>
              <w:rPr>
                <w:rFonts w:ascii="Calibri" w:eastAsia="Calibri" w:hAnsi="Calibri" w:cs="Calibri"/>
                <w:spacing w:val="-2"/>
              </w:rPr>
              <w:t>⁴</w:t>
            </w:r>
          </w:p>
        </w:tc>
        <w:tc>
          <w:tcPr>
            <w:tcW w:w="1725" w:type="dxa"/>
            <w:vAlign w:val="top"/>
          </w:tcPr>
          <w:p>
            <w:pPr>
              <w:spacing w:line="329" w:lineRule="auto"/>
              <w:rPr>
                <w:rFonts w:ascii="Arial"/>
                <w:sz w:val="21"/>
              </w:rPr>
            </w:pPr>
          </w:p>
          <w:p>
            <w:pPr>
              <w:spacing w:line="330" w:lineRule="auto"/>
              <w:rPr>
                <w:rFonts w:ascii="Arial"/>
                <w:sz w:val="21"/>
              </w:rPr>
            </w:pPr>
          </w:p>
          <w:p>
            <w:pPr>
              <w:pStyle w:val="TableText"/>
              <w:spacing w:before="107" w:line="185" w:lineRule="auto"/>
              <w:ind w:left="527"/>
            </w:pPr>
            <w:r>
              <w:rPr>
                <w:spacing w:val="-1"/>
              </w:rPr>
              <w:t>TP1*</w:t>
            </w:r>
          </w:p>
        </w:tc>
      </w:tr>
    </w:tbl>
    <w:p>
      <w:pPr>
        <w:sectPr>
          <w:footerReference w:type="default" r:id="rId23"/>
          <w:type w:val="continuous"/>
          <w:pgSz w:w="22489" w:h="31680"/>
          <w:pgMar w:top="2324" w:right="2524" w:bottom="2675" w:left="2517" w:header="0" w:footer="2405" w:gutter="0"/>
          <w:pgNumType w:start="16"/>
          <w:cols w:num="1" w:space="708" w:equalWidth="0">
            <w:col w:w="17447" w:space="0"/>
          </w:cols>
        </w:sectPr>
      </w:pPr>
    </w:p>
    <w:tbl>
      <w:tblPr>
        <w:tblStyle w:val="TableNormal2"/>
        <w:tblW w:w="1743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7438"/>
      </w:tblGrid>
      <w:tr>
        <w:tblPrEx>
          <w:tblW w:w="1743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8826"/>
        </w:trPr>
        <w:tc>
          <w:tcPr>
            <w:tcW w:w="17438" w:type="dxa"/>
            <w:vAlign w:val="top"/>
          </w:tcPr>
          <w:p>
            <w:pPr>
              <w:pStyle w:val="TableText"/>
              <w:spacing w:before="216" w:line="220" w:lineRule="auto"/>
              <w:ind w:left="879"/>
            </w:pPr>
            <w:r>
              <w:rPr>
                <w:spacing w:val="2"/>
              </w:rPr>
              <w:t>·279:物质划入这个类别或包装类别所依据的是人类经验而不是?关于危险货物运输的建议书  规章范本》</w:t>
            </w:r>
          </w:p>
          <w:p>
            <w:pPr>
              <w:pStyle w:val="TableText"/>
              <w:spacing w:before="165" w:line="528" w:lineRule="exact"/>
              <w:ind w:left="1241"/>
            </w:pPr>
            <w:r>
              <w:rPr>
                <w:spacing w:val="2"/>
                <w:position w:val="14"/>
              </w:rPr>
              <w:t>(</w:t>
            </w:r>
            <w:r>
              <w:rPr>
                <w:position w:val="14"/>
              </w:rPr>
              <w:t>UN</w:t>
            </w:r>
            <w:r>
              <w:rPr>
                <w:spacing w:val="2"/>
                <w:position w:val="14"/>
              </w:rPr>
              <w:t xml:space="preserve"> </w:t>
            </w:r>
            <w:r>
              <w:rPr>
                <w:position w:val="14"/>
              </w:rPr>
              <w:t>RTDG</w:t>
            </w:r>
            <w:r>
              <w:rPr>
                <w:spacing w:val="2"/>
                <w:position w:val="14"/>
              </w:rPr>
              <w:t>)所定分类标准的严格应用。</w:t>
            </w:r>
          </w:p>
          <w:p>
            <w:pPr>
              <w:pStyle w:val="TableText"/>
              <w:spacing w:before="1" w:line="220" w:lineRule="auto"/>
              <w:ind w:left="909"/>
            </w:pPr>
            <w:r>
              <w:rPr>
                <w:spacing w:val="2"/>
              </w:rPr>
              <w:t>6有限数量要求。</w:t>
            </w:r>
          </w:p>
          <w:p>
            <w:pPr>
              <w:pStyle w:val="TableText"/>
              <w:spacing w:before="142" w:line="499" w:lineRule="exact"/>
              <w:ind w:left="1134"/>
            </w:pPr>
            <w:r>
              <w:rPr>
                <w:spacing w:val="3"/>
                <w:position w:val="12"/>
              </w:rPr>
              <w:t>例外数量：E0:不允许例外数量运输。</w:t>
            </w:r>
            <w:r>
              <w:rPr>
                <w:position w:val="12"/>
              </w:rPr>
              <w:t>El</w:t>
            </w:r>
            <w:r>
              <w:rPr>
                <w:spacing w:val="3"/>
                <w:position w:val="12"/>
              </w:rPr>
              <w:t>:每件内容器的最大净装载量30g,每件外容器的最大净装载量10</w:t>
            </w:r>
            <w:r>
              <w:rPr>
                <w:spacing w:val="2"/>
                <w:position w:val="12"/>
              </w:rPr>
              <w:t>00 g。</w:t>
            </w:r>
          </w:p>
          <w:p>
            <w:pPr>
              <w:pStyle w:val="TableText"/>
              <w:spacing w:before="1" w:line="214" w:lineRule="auto"/>
              <w:ind w:left="1202"/>
            </w:pPr>
            <w:r>
              <w:rPr>
                <w:spacing w:val="3"/>
              </w:rPr>
              <w:t>E4:每件内容器的最大净装载量1g,每件外容器的最大净装载量500 g。</w:t>
            </w:r>
          </w:p>
          <w:p>
            <w:pPr>
              <w:pStyle w:val="TableText"/>
              <w:spacing w:before="182" w:line="220" w:lineRule="auto"/>
              <w:ind w:left="1143"/>
            </w:pPr>
            <w:r>
              <w:rPr>
                <w:spacing w:val="3"/>
              </w:rPr>
              <w:t>见《关于危险货物运输的建议书  规章范本》(</w:t>
            </w:r>
            <w:r>
              <w:t>UN</w:t>
            </w:r>
            <w:r>
              <w:rPr>
                <w:spacing w:val="3"/>
              </w:rPr>
              <w:t xml:space="preserve"> </w:t>
            </w:r>
            <w:r>
              <w:t>RTDG</w:t>
            </w:r>
            <w:r>
              <w:rPr>
                <w:spacing w:val="3"/>
              </w:rPr>
              <w:t>)。</w:t>
            </w:r>
          </w:p>
          <w:p>
            <w:pPr>
              <w:pStyle w:val="TableText"/>
              <w:spacing w:before="154" w:line="509" w:lineRule="exact"/>
              <w:ind w:left="1134"/>
            </w:pPr>
            <w:r>
              <w:rPr>
                <w:spacing w:val="2"/>
                <w:position w:val="12"/>
              </w:rPr>
              <w:t>B2:非金属或硬塑料中型散货箱用来装运固态物质时，中型散货箱应放在封闭的货物运输装置中运输。</w:t>
            </w:r>
          </w:p>
          <w:p>
            <w:pPr>
              <w:pStyle w:val="TableText"/>
              <w:spacing w:before="1" w:line="219" w:lineRule="auto"/>
              <w:ind w:left="743"/>
            </w:pPr>
            <w:r>
              <w:rPr>
                <w:spacing w:val="6"/>
              </w:rPr>
              <w:t>‘B4:软体、纤维板或木制中型散货箱应是防筛漏和防水的或者配有防筛漏和防水的衬里。</w:t>
            </w:r>
          </w:p>
          <w:p>
            <w:pPr>
              <w:pStyle w:val="TableText"/>
              <w:spacing w:before="145" w:line="221" w:lineRule="auto"/>
              <w:ind w:left="1124"/>
            </w:pPr>
            <w:r>
              <w:t>TP</w:t>
            </w:r>
            <w:r>
              <w:rPr>
                <w:spacing w:val="3"/>
              </w:rPr>
              <w:t>33:对这类物质划定的便携式罐体规范，适用于颗粒和粉状固体，和在熔点以上</w:t>
            </w:r>
            <w:r>
              <w:rPr>
                <w:spacing w:val="2"/>
              </w:rPr>
              <w:t>温度装卸但冷却后以固体物</w:t>
            </w:r>
          </w:p>
          <w:p>
            <w:pPr>
              <w:pStyle w:val="TableText"/>
              <w:spacing w:before="192" w:line="221" w:lineRule="auto"/>
              <w:ind w:left="1251"/>
            </w:pPr>
            <w:r>
              <w:rPr>
                <w:spacing w:val="2"/>
              </w:rPr>
              <w:t>质运输的固体。</w:t>
            </w:r>
          </w:p>
          <w:p>
            <w:pPr>
              <w:pStyle w:val="TableText"/>
              <w:spacing w:before="113" w:line="220" w:lineRule="auto"/>
              <w:ind w:left="821"/>
            </w:pPr>
            <w:r>
              <w:rPr>
                <w:spacing w:val="2"/>
              </w:rPr>
              <w:t>·</w:t>
            </w:r>
            <w:r>
              <w:t>TP</w:t>
            </w:r>
            <w:r>
              <w:rPr>
                <w:spacing w:val="2"/>
              </w:rPr>
              <w:t>3:在熔点以上运输的固体和高温液体，最大装载度应根据《关于危险货物运输的建议书  规章范本》</w:t>
            </w:r>
          </w:p>
          <w:p>
            <w:pPr>
              <w:pStyle w:val="TableText"/>
              <w:spacing w:before="204" w:line="221" w:lineRule="auto"/>
              <w:ind w:left="1241"/>
            </w:pPr>
            <w:r>
              <w:rPr>
                <w:spacing w:val="2"/>
              </w:rPr>
              <w:t>(</w:t>
            </w:r>
            <w:r>
              <w:t>UN</w:t>
            </w:r>
            <w:r>
              <w:rPr>
                <w:spacing w:val="2"/>
              </w:rPr>
              <w:t xml:space="preserve"> </w:t>
            </w:r>
            <w:r>
              <w:t>RTDG</w:t>
            </w:r>
            <w:r>
              <w:rPr>
                <w:spacing w:val="2"/>
              </w:rPr>
              <w:t>)对应条款决定。</w:t>
            </w:r>
          </w:p>
          <w:p>
            <w:pPr>
              <w:pStyle w:val="TableText"/>
              <w:spacing w:before="123" w:line="221" w:lineRule="auto"/>
              <w:ind w:left="1163"/>
            </w:pPr>
            <w:r>
              <w:t>TP</w:t>
            </w:r>
            <w:r>
              <w:rPr>
                <w:spacing w:val="2"/>
              </w:rPr>
              <w:t>2:不得超过规定的装载度。</w:t>
            </w:r>
          </w:p>
          <w:p>
            <w:pPr>
              <w:pStyle w:val="TableText"/>
              <w:spacing w:before="171" w:line="220" w:lineRule="auto"/>
              <w:ind w:left="1134"/>
            </w:pPr>
            <w:r>
              <w:rPr>
                <w:spacing w:val="2"/>
              </w:rPr>
              <w:t>223:本名称所包括的物质，如其化学或物理性质在试验时不符合《关于危险货物运输的建议书  规章范本》</w:t>
            </w:r>
          </w:p>
          <w:p>
            <w:pPr>
              <w:pStyle w:val="TableText"/>
              <w:spacing w:before="145" w:line="528" w:lineRule="exact"/>
              <w:ind w:left="1232"/>
            </w:pPr>
            <w:r>
              <w:rPr>
                <w:spacing w:val="2"/>
                <w:position w:val="14"/>
              </w:rPr>
              <w:t>(</w:t>
            </w:r>
            <w:r>
              <w:rPr>
                <w:position w:val="14"/>
              </w:rPr>
              <w:t>UN</w:t>
            </w:r>
            <w:r>
              <w:rPr>
                <w:spacing w:val="2"/>
                <w:position w:val="14"/>
              </w:rPr>
              <w:t xml:space="preserve"> </w:t>
            </w:r>
            <w:r>
              <w:rPr>
                <w:position w:val="14"/>
              </w:rPr>
              <w:t>RTDG</w:t>
            </w:r>
            <w:r>
              <w:rPr>
                <w:spacing w:val="2"/>
                <w:position w:val="14"/>
              </w:rPr>
              <w:t>)中第3.2章危险货物一览表第3栏所确定的类或项，或任何其他类或项的定义标准，不受其限制。</w:t>
            </w:r>
          </w:p>
          <w:p>
            <w:pPr>
              <w:pStyle w:val="TableText"/>
              <w:spacing w:before="2" w:line="219" w:lineRule="auto"/>
              <w:ind w:left="909"/>
            </w:pPr>
            <w:r>
              <w:rPr>
                <w:spacing w:val="2"/>
              </w:rPr>
              <w:t>*</w:t>
            </w:r>
            <w:r>
              <w:t>TP</w:t>
            </w:r>
            <w:r>
              <w:rPr>
                <w:spacing w:val="2"/>
              </w:rPr>
              <w:t>1:不得超过《关于危险货物运输的建议书  规章范本》(</w:t>
            </w:r>
            <w:r>
              <w:t>UN</w:t>
            </w:r>
            <w:r>
              <w:rPr>
                <w:spacing w:val="2"/>
              </w:rPr>
              <w:t xml:space="preserve"> </w:t>
            </w:r>
            <w:r>
              <w:t>RTDG</w:t>
            </w:r>
            <w:r>
              <w:rPr>
                <w:spacing w:val="2"/>
              </w:rPr>
              <w:t>)对应条款规定的装载度。</w:t>
            </w:r>
          </w:p>
        </w:tc>
      </w:tr>
    </w:tbl>
    <w:p>
      <w:pPr>
        <w:spacing w:line="14" w:lineRule="auto"/>
        <w:rPr>
          <w:rFonts w:ascii="Arial"/>
          <w:sz w:val="2"/>
        </w:rPr>
      </w:pPr>
    </w:p>
    <w:p>
      <w:pPr>
        <w:spacing w:line="14" w:lineRule="auto"/>
        <w:rPr>
          <w:rFonts w:ascii="Arial" w:eastAsia="Arial" w:hAnsi="Arial" w:cs="Arial"/>
          <w:sz w:val="2"/>
          <w:szCs w:val="2"/>
        </w:rPr>
      </w:pPr>
      <w:r>
        <w:rPr>
          <w:rFonts w:ascii="Arial" w:eastAsia="Arial" w:hAnsi="Arial" w:cs="Arial"/>
          <w:sz w:val="2"/>
          <w:szCs w:val="2"/>
        </w:rPr>
        <w:br/>
      </w:r>
      <w:r>
        <w:rPr>
          <w:rFonts w:ascii="Arial" w:eastAsia="Arial" w:hAnsi="Arial" w:cs="Arial"/>
          <w:sz w:val="2"/>
          <w:szCs w:val="2"/>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4" w:history="1">
        <w:r>
          <w:rPr>
            <w:rFonts w:ascii="SimSun" w:eastAsia="SimSun" w:hAnsi="SimSun" w:cs="SimSun"/>
            <w:b/>
            <w:bCs/>
            <w:noProof w:val="0"/>
            <w:snapToGrid/>
            <w:color w:val="0000EE"/>
            <w:kern w:val="0"/>
            <w:sz w:val="30"/>
            <w:szCs w:val="30"/>
            <w:u w:val="single" w:color="0000EE"/>
          </w:rPr>
          <w:t>https://d.book118.com/515214110203011122</w:t>
        </w:r>
      </w:hyperlink>
    </w:p>
    <w:p>
      <w:pPr>
        <w:spacing w:line="14" w:lineRule="auto"/>
        <w:rPr>
          <w:rFonts w:ascii="Arial" w:eastAsia="Arial" w:hAnsi="Arial" w:cs="Arial"/>
          <w:sz w:val="2"/>
          <w:szCs w:val="2"/>
        </w:rPr>
      </w:pPr>
    </w:p>
    <w:sectPr>
      <w:footerReference w:type="default" r:id="rId25"/>
      <w:type w:val="nextPage"/>
      <w:pgSz w:w="22489" w:h="31680"/>
      <w:pgMar w:top="2324" w:right="2524" w:bottom="2675" w:left="2517" w:header="0" w:footer="2405" w:gutter="0"/>
      <w:pgNumType w:start="17"/>
      <w:cols w:num="1" w:space="708" w:equalWidth="0">
        <w:col w:w="17447" w:space="0"/>
      </w:cols>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230" w:lineRule="auto"/>
      <w:ind w:left="508"/>
      <w:rPr>
        <w:sz w:val="27"/>
        <w:szCs w:val="27"/>
      </w:rPr>
    </w:pPr>
    <w:r>
      <w:rPr>
        <w:sz w:val="27"/>
        <w:szCs w:val="27"/>
      </w:rPr>
      <w:t>Ⅱ</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8" w:lineRule="auto"/>
      <w:ind w:left="16739"/>
      <w:rPr>
        <w:sz w:val="25"/>
        <w:szCs w:val="25"/>
      </w:rPr>
    </w:pPr>
    <w:r>
      <w:rPr>
        <w:sz w:val="25"/>
        <w:szCs w:val="25"/>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8" w:lineRule="auto"/>
      <w:ind w:left="16739"/>
      <w:rPr>
        <w:sz w:val="25"/>
        <w:szCs w:val="25"/>
      </w:rPr>
    </w:pPr>
    <w:r>
      <w:rPr>
        <w:sz w:val="25"/>
        <w:szCs w:val="25"/>
      </w:rPr>
      <w:t>1</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77" w:lineRule="auto"/>
      <w:ind w:left="557"/>
      <w:rPr>
        <w:sz w:val="26"/>
        <w:szCs w:val="26"/>
      </w:rPr>
    </w:pPr>
    <w:r>
      <w:rPr>
        <w:sz w:val="26"/>
        <w:szCs w:val="26"/>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77" w:lineRule="auto"/>
      <w:ind w:left="557"/>
      <w:rPr>
        <w:sz w:val="26"/>
        <w:szCs w:val="26"/>
      </w:rPr>
    </w:pPr>
    <w:r>
      <w:rPr>
        <w:sz w:val="26"/>
        <w:szCs w:val="26"/>
      </w:rPr>
      <w:t>2</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8" w:lineRule="auto"/>
      <w:ind w:left="17570"/>
      <w:rPr>
        <w:sz w:val="29"/>
        <w:szCs w:val="29"/>
      </w:rPr>
    </w:pPr>
    <w:r>
      <w:rPr>
        <w:sz w:val="29"/>
        <w:szCs w:val="29"/>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8" w:lineRule="auto"/>
      <w:ind w:left="17570"/>
      <w:rPr>
        <w:sz w:val="29"/>
        <w:szCs w:val="29"/>
      </w:rPr>
    </w:pPr>
    <w:r>
      <w:rPr>
        <w:sz w:val="29"/>
        <w:szCs w:val="29"/>
      </w:rPr>
      <w:t>3</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77" w:lineRule="auto"/>
      <w:ind w:left="484"/>
      <w:rPr>
        <w:sz w:val="27"/>
        <w:szCs w:val="27"/>
      </w:rPr>
    </w:pPr>
    <w:r>
      <w:rPr>
        <w:sz w:val="27"/>
        <w:szCs w:val="27"/>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77" w:lineRule="auto"/>
      <w:ind w:left="484"/>
      <w:rPr>
        <w:sz w:val="27"/>
        <w:szCs w:val="27"/>
      </w:rPr>
    </w:pPr>
    <w:r>
      <w:rPr>
        <w:sz w:val="27"/>
        <w:szCs w:val="27"/>
      </w:rPr>
      <w:t>4</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77" w:lineRule="auto"/>
      <w:ind w:left="484"/>
      <w:rPr>
        <w:sz w:val="27"/>
        <w:szCs w:val="27"/>
      </w:rPr>
    </w:pPr>
    <w:r>
      <w:rPr>
        <w:sz w:val="27"/>
        <w:szCs w:val="27"/>
      </w:rPr>
      <w:t>4</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77" w:lineRule="auto"/>
      <w:ind w:left="484"/>
      <w:rPr>
        <w:sz w:val="27"/>
        <w:szCs w:val="27"/>
      </w:rPr>
    </w:pPr>
    <w:r>
      <w:rPr>
        <w:sz w:val="27"/>
        <w:szCs w:val="27"/>
      </w:rPr>
      <w:t>4</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59"/>
      <w:szCs w:val="59"/>
      <w:lang w:val="en-US" w:eastAsia="en-US" w:bidi="ar-SA"/>
    </w:rPr>
  </w:style>
  <w:style w:type="paragraph" w:customStyle="1" w:styleId="TableText">
    <w:name w:val="Table Text"/>
    <w:basedOn w:val="Normal"/>
    <w:semiHidden/>
    <w:qFormat/>
    <w:rPr>
      <w:rFonts w:ascii="SimSun" w:eastAsia="SimSun" w:hAnsi="SimSun" w:cs="SimSun"/>
      <w:sz w:val="33"/>
      <w:szCs w:val="33"/>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png" /><Relationship Id="rId11" Type="http://schemas.openxmlformats.org/officeDocument/2006/relationships/image" Target="media/image5.jpeg"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yperlink" Target="5.3.2.1" TargetMode="External" /><Relationship Id="rId15" Type="http://schemas.openxmlformats.org/officeDocument/2006/relationships/hyperlink" Target="5.3.2.2" TargetMode="External" /><Relationship Id="rId16" Type="http://schemas.openxmlformats.org/officeDocument/2006/relationships/footer" Target="footer6.xml" /><Relationship Id="rId17" Type="http://schemas.openxmlformats.org/officeDocument/2006/relationships/footer" Target="footer7.xml" /><Relationship Id="rId18" Type="http://schemas.openxmlformats.org/officeDocument/2006/relationships/footer" Target="footer8.xml" /><Relationship Id="rId19" Type="http://schemas.openxmlformats.org/officeDocument/2006/relationships/image" Target="media/image6.jpeg" /><Relationship Id="rId2" Type="http://schemas.openxmlformats.org/officeDocument/2006/relationships/webSettings" Target="webSettings.xml" /><Relationship Id="rId20" Type="http://schemas.openxmlformats.org/officeDocument/2006/relationships/image" Target="media/image7.jpeg" /><Relationship Id="rId21" Type="http://schemas.openxmlformats.org/officeDocument/2006/relationships/image" Target="media/image8.jpeg" /><Relationship Id="rId22" Type="http://schemas.openxmlformats.org/officeDocument/2006/relationships/footer" Target="footer9.xml" /><Relationship Id="rId23" Type="http://schemas.openxmlformats.org/officeDocument/2006/relationships/footer" Target="footer10.xml" /><Relationship Id="rId24" Type="http://schemas.openxmlformats.org/officeDocument/2006/relationships/hyperlink" Target="https://d.book118.com/515214110203011122" TargetMode="External" /><Relationship Id="rId25" Type="http://schemas.openxmlformats.org/officeDocument/2006/relationships/footer" Target="footer11.xml" /><Relationship Id="rId26" Type="http://schemas.openxmlformats.org/officeDocument/2006/relationships/theme" Target="theme/theme1.xml" /><Relationship Id="rId27"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jpeg"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footer" Target="foot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2024-03-13T11:44:58Z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2024-03-13T11:45:01Z</vt:filetime>
  </property>
  <property fmtid="{D5CDD505-2E9C-101B-9397-08002B2CF9AE}" pid="3" name="CRO">
    <vt:lpwstr>wqlLaW5nc29mdCBQREYgdG8gV1BTIDkw</vt:lpwstr>
  </property>
  <property fmtid="{D5CDD505-2E9C-101B-9397-08002B2CF9AE}" pid="4" name="UsrData">
    <vt:lpwstr>65f121332b86d9001f98ef28wl</vt:lpwstr>
  </property>
</Properties>
</file>