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16825" w:lineRule="exact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5" type="#_x0000_t136" style="width:415.45pt;height:30.5pt;margin-top:112.6pt;margin-left:-34.74pt;mso-position-horizontal-relative:page;mso-position-vertical-relative:page;position:absolute;rotation:315;z-index:251658240" o:allowincell="f" filled="t" fillcolor="#bf504d" stroked="f">
            <v:fill opacity="3855f"/>
            <v:textpath style="font-family:SimHei;font-size:30pt;mso-text-shadow:auto;v-text-kern:t" string="北大汇丰智库   北大汇丰智库"/>
          </v:shape>
        </w:pict>
      </w:r>
      <w:r>
        <w:pict>
          <v:shape id="_x0000_s1026" type="#_x0000_t136" style="width:679.3pt;height:30.5pt;margin-top:208.33pt;margin-left:-92.33pt;mso-position-horizontal-relative:page;mso-position-vertical-relative:page;position:absolute;rotation:315;z-index:251659264" o:allowincell="f" filled="t" fillcolor="#bf504d" stroked="f">
            <v:fill opacity="3855f"/>
            <v:textpath style="font-family:SimHei;font-size:30pt;mso-text-shadow:auto;v-text-kern:t" string="丰智库   北大汇丰智库   北大汇丰智库   北大"/>
          </v:shape>
        </w:pict>
      </w:r>
      <w:r>
        <w:pict>
          <v:shape id="_x0000_s1027" type="#_x0000_t136" style="width:799.1pt;height:30.5pt;margin-top:314.5pt;margin-left:-88.3pt;mso-position-horizontal-relative:page;mso-position-vertical-relative:page;position:absolute;rotation:315;z-index:251660288" o:allowincell="f" filled="t" fillcolor="#bf504d" stroked="f">
            <v:fill opacity="3855f"/>
            <v:textpath style="font-family:SimHei;font-size:30pt;mso-text-shadow:auto;v-text-kern:t" string="北大汇丰智库   北大汇丰智库   北大汇丰智库   北大汇"/>
          </v:shape>
        </w:pict>
      </w:r>
      <w:r>
        <w:pict>
          <v:shape id="_x0000_s1028" type="#_x0000_t136" style="width:799.3pt;height:30.5pt;margin-top:503.44pt;margin-left:-107.28pt;mso-position-horizontal-relative:page;mso-position-vertical-relative:page;position:absolute;rotation:315;z-index:251661312" o:allowincell="f" filled="t" fillcolor="#bf504d" stroked="f">
            <v:fill opacity="3855f"/>
            <v:textpath style="font-family:SimHei;font-size:30pt;mso-text-shadow:auto;v-text-kern:t" string="丰智库   北大汇丰智库   北大汇丰智库   北大汇丰智库"/>
          </v:shape>
        </w:pict>
      </w:r>
      <w:r>
        <w:pict>
          <v:shape id="_x0000_s1029" type="#_x0000_t136" style="width:678.15pt;height:30.5pt;margin-top:609.28pt;margin-left:17.54pt;mso-position-horizontal-relative:page;mso-position-vertical-relative:page;position:absolute;rotation:315;z-index:251662336" o:allowincell="f" filled="t" fillcolor="#bf504d" stroked="f">
            <v:fill opacity="3855f"/>
            <v:textpath style="font-family:SimHei;font-size:30pt;mso-text-shadow:auto;v-text-kern:t" string="智库   北大汇丰智库   北大汇丰智库   北大汇"/>
          </v:shape>
        </w:pict>
      </w:r>
      <w:r>
        <w:pict>
          <v:shape id="_x0000_s1030" type="#_x0000_t136" style="width:415.45pt;height:30.5pt;margin-top:705.25pt;margin-left:223pt;mso-position-horizontal-relative:page;mso-position-vertical-relative:page;position:absolute;rotation:315;z-index:251663360" o:allowincell="f" filled="t" fillcolor="#bf504d" stroked="f">
            <v:fill opacity="3855f"/>
            <v:textpath style="font-family:SimHei;font-size:30pt;mso-text-shadow:auto;v-text-kern:t" string="北大汇丰智库   北大汇丰智库"/>
          </v:shape>
        </w:pict>
      </w:r>
      <w:r>
        <w:rPr>
          <w:position w:val="-336"/>
        </w:rPr>
        <w:drawing>
          <wp:inline distT="0" distB="0" distL="0" distR="0">
            <wp:extent cx="7557835" cy="10683901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7835" cy="10683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5" w:lineRule="exact"/>
        <w:sectPr>
          <w:headerReference w:type="default" r:id="rId5"/>
          <w:footerReference w:type="default" r:id="rId6"/>
          <w:pgSz w:w="11906" w:h="16838"/>
          <w:pgMar w:top="1" w:right="0" w:bottom="1" w:left="0" w:header="0" w:footer="0" w:gutter="0"/>
          <w:cols w:space="708"/>
        </w:sectPr>
      </w:pPr>
    </w:p>
    <w:p>
      <w:pPr>
        <w:spacing w:line="258" w:lineRule="auto"/>
        <w:rPr>
          <w:rFonts w:ascii="Arial"/>
          <w:sz w:val="21"/>
        </w:rPr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1079715</wp:posOffset>
            </wp:positionH>
            <wp:positionV relativeFrom="page">
              <wp:posOffset>7738865</wp:posOffset>
            </wp:positionV>
            <wp:extent cx="3317014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701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202" w:line="186" w:lineRule="auto"/>
        <w:ind w:left="1709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color w:val="0E57C5"/>
          <w:spacing w:val="6"/>
          <w:sz w:val="47"/>
          <w:szCs w:val="47"/>
        </w:rPr>
        <w:t>摘要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pStyle w:val="BodyText"/>
        <w:spacing w:before="78" w:line="360" w:lineRule="auto"/>
        <w:ind w:left="1711" w:right="1620" w:firstLine="478"/>
        <w:jc w:val="both"/>
      </w:pPr>
      <w:r>
        <w:rPr>
          <w:spacing w:val="-2"/>
        </w:rPr>
        <w:t>低基数下，供需进一步修复，</w:t>
      </w:r>
      <w:r>
        <w:rPr>
          <w:spacing w:val="-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预计</w:t>
      </w:r>
      <w:r>
        <w:rPr>
          <w:spacing w:val="-5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2023 </w:t>
      </w:r>
      <w:r>
        <w:rPr>
          <w:spacing w:val="-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spacing w:val="-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四季度</w:t>
      </w:r>
      <w:r>
        <w:rPr>
          <w:spacing w:val="-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 xml:space="preserve">GDP </w:t>
      </w:r>
      <w:r>
        <w:rPr>
          <w:spacing w:val="-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增速为</w:t>
      </w:r>
      <w:r>
        <w:rPr>
          <w:spacing w:val="-5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5.5%</w:t>
      </w:r>
      <w:r>
        <w:rPr>
          <w:spacing w:val="-3"/>
        </w:rPr>
        <w:t>。</w:t>
      </w:r>
      <w:r>
        <w:rPr>
          <w:spacing w:val="-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生产方</w:t>
      </w:r>
      <w:r>
        <w:rPr>
          <w:spacing w:val="-3"/>
        </w:rPr>
        <w:t xml:space="preserve"> </w:t>
      </w:r>
      <w:r>
        <w:rPr>
          <w:spacing w:val="-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面</w:t>
      </w:r>
      <w:r>
        <w:rPr>
          <w:spacing w:val="-2"/>
        </w:rPr>
        <w:t>，规上工业增加值的同比和环比都在回升，汽车、运输设备、电子设备、电气、</w:t>
      </w:r>
      <w:r>
        <w:rPr>
          <w:spacing w:val="4"/>
        </w:rPr>
        <w:t xml:space="preserve"> </w:t>
      </w:r>
      <w:r>
        <w:rPr>
          <w:spacing w:val="3"/>
        </w:rPr>
        <w:t>有色加工制造业增速处于高位。</w:t>
      </w:r>
      <w:r>
        <w:rPr>
          <w:spacing w:val="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需求方面</w:t>
      </w:r>
      <w:r>
        <w:rPr>
          <w:spacing w:val="3"/>
        </w:rPr>
        <w:t>，民间</w:t>
      </w:r>
      <w:r>
        <w:rPr>
          <w:spacing w:val="2"/>
        </w:rPr>
        <w:t>投资和房地产投资增速都在筑底</w:t>
      </w:r>
      <w:r>
        <w:t xml:space="preserve"> </w:t>
      </w:r>
      <w:r>
        <w:rPr>
          <w:spacing w:val="3"/>
        </w:rPr>
        <w:t>阶段；消费同比回升、环比转负，服装、通讯器</w:t>
      </w:r>
      <w:r>
        <w:rPr>
          <w:spacing w:val="2"/>
        </w:rPr>
        <w:t>材、汽车、烟酒、金银珠宝等升</w:t>
      </w:r>
      <w:r>
        <w:t xml:space="preserve"> </w:t>
      </w:r>
      <w:r>
        <w:rPr>
          <w:spacing w:val="-4"/>
        </w:rPr>
        <w:t>级类消费增速领先；出口增速转正，对美出口好转。</w:t>
      </w:r>
      <w:r>
        <w:rPr>
          <w:spacing w:val="-4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物价方面</w:t>
      </w:r>
      <w:r>
        <w:rPr>
          <w:spacing w:val="-4"/>
        </w:rPr>
        <w:t>，</w:t>
      </w:r>
      <w:r>
        <w:rPr>
          <w:rFonts w:ascii="Times New Roman" w:eastAsia="Times New Roman" w:hAnsi="Times New Roman" w:cs="Times New Roman"/>
          <w:spacing w:val="-4"/>
        </w:rPr>
        <w:t xml:space="preserve">CPI </w:t>
      </w:r>
      <w:r>
        <w:rPr>
          <w:spacing w:val="-4"/>
        </w:rPr>
        <w:t>和</w:t>
      </w:r>
      <w:r>
        <w:rPr>
          <w:spacing w:val="-4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PPI</w:t>
      </w:r>
      <w:r>
        <w:rPr>
          <w:rFonts w:ascii="Times New Roman" w:eastAsia="Times New Roman" w:hAnsi="Times New Roman" w:cs="Times New Roman"/>
          <w:spacing w:val="32"/>
          <w:w w:val="101"/>
        </w:rPr>
        <w:t xml:space="preserve"> </w:t>
      </w:r>
      <w:r>
        <w:rPr>
          <w:spacing w:val="-4"/>
        </w:rPr>
        <w:t xml:space="preserve">同比同 </w:t>
      </w:r>
      <w:r>
        <w:rPr>
          <w:spacing w:val="3"/>
        </w:rPr>
        <w:t>时转弱，显示内需偏弱。</w:t>
      </w:r>
      <w:r>
        <w:rPr>
          <w:spacing w:val="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政策方面</w:t>
      </w:r>
      <w:r>
        <w:rPr>
          <w:spacing w:val="3"/>
        </w:rPr>
        <w:t>，货币政策边</w:t>
      </w:r>
      <w:r>
        <w:rPr>
          <w:spacing w:val="2"/>
        </w:rPr>
        <w:t>际收紧，财政政策有所加码。当</w:t>
      </w:r>
      <w:r>
        <w:t xml:space="preserve"> </w:t>
      </w:r>
      <w:r>
        <w:rPr>
          <w:spacing w:val="3"/>
        </w:rPr>
        <w:t>前宏观经济存在需求依然偏弱、机电产品的产能</w:t>
      </w:r>
      <w:r>
        <w:rPr>
          <w:spacing w:val="2"/>
        </w:rPr>
        <w:t>扩张缺乏需求支撑、楼市面临供</w:t>
      </w:r>
      <w:r>
        <w:t xml:space="preserve"> </w:t>
      </w:r>
      <w:r>
        <w:rPr>
          <w:spacing w:val="3"/>
        </w:rPr>
        <w:t>给冲击等问题，建议中央加杠杆稳需求、完善企</w:t>
      </w:r>
      <w:r>
        <w:rPr>
          <w:spacing w:val="2"/>
        </w:rPr>
        <w:t>业出海政策配套、加速土地财政</w:t>
      </w:r>
    </w:p>
    <w:p>
      <w:pPr>
        <w:pStyle w:val="BodyText"/>
        <w:spacing w:line="220" w:lineRule="auto"/>
        <w:ind w:left="1711"/>
      </w:pPr>
      <w:r>
        <w:rPr>
          <w:spacing w:val="-4"/>
        </w:rPr>
        <w:t>转型。</w:t>
      </w:r>
    </w:p>
    <w:p>
      <w:pPr>
        <w:pStyle w:val="BodyText"/>
        <w:spacing w:before="181" w:line="360" w:lineRule="auto"/>
        <w:ind w:left="1710" w:right="1701" w:firstLine="502"/>
        <w:jc w:val="both"/>
      </w:pPr>
      <w:r>
        <w:rPr>
          <w:spacing w:val="-1"/>
        </w:rPr>
        <w:t>中性情况下，</w:t>
      </w:r>
      <w:r>
        <w:rPr>
          <w:spacing w:val="-1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预计</w:t>
      </w:r>
      <w:r>
        <w:rPr>
          <w:spacing w:val="-4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2024 </w:t>
      </w:r>
      <w:r>
        <w:rPr>
          <w:spacing w:val="-1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spacing w:val="-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GDP</w:t>
      </w:r>
      <w:r>
        <w:rPr>
          <w:rFonts w:ascii="Times New Roman" w:eastAsia="Times New Roman" w:hAnsi="Times New Roman" w:cs="Times New Roman"/>
          <w:b/>
          <w:bCs/>
          <w:spacing w:val="15"/>
        </w:rPr>
        <w:t xml:space="preserve"> </w:t>
      </w:r>
      <w:r>
        <w:rPr>
          <w:spacing w:val="-1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增速为</w:t>
      </w:r>
      <w:r>
        <w:rPr>
          <w:spacing w:val="-4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5.0%</w:t>
      </w:r>
      <w:r>
        <w:rPr>
          <w:rFonts w:ascii="Times New Roman" w:eastAsia="Times New Roman" w:hAnsi="Times New Roman" w:cs="Times New Roman"/>
          <w:b/>
          <w:bCs/>
          <w:spacing w:val="-25"/>
        </w:rPr>
        <w:t xml:space="preserve"> </w:t>
      </w:r>
      <w:r>
        <w:rPr>
          <w:spacing w:val="-1"/>
        </w:rPr>
        <w:t>。展望</w:t>
      </w:r>
      <w:r>
        <w:rPr>
          <w:spacing w:val="-5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 xml:space="preserve">2024 </w:t>
      </w:r>
      <w:r>
        <w:rPr>
          <w:spacing w:val="-2"/>
        </w:rPr>
        <w:t>年，中国依然面临</w:t>
      </w:r>
      <w:r>
        <w:t xml:space="preserve"> </w:t>
      </w:r>
      <w:r>
        <w:rPr>
          <w:spacing w:val="3"/>
        </w:rPr>
        <w:t>着复杂的房地产、地方债务、中小银行风险的拆弹</w:t>
      </w:r>
      <w:r>
        <w:rPr>
          <w:spacing w:val="2"/>
        </w:rPr>
        <w:t>工作，但在中美关系缓和、出</w:t>
      </w:r>
      <w:r>
        <w:t xml:space="preserve"> </w:t>
      </w:r>
      <w:r>
        <w:rPr>
          <w:spacing w:val="3"/>
        </w:rPr>
        <w:t>口基数较低、市场信心低谷已过、房地产投资企稳</w:t>
      </w:r>
      <w:r>
        <w:rPr>
          <w:spacing w:val="2"/>
        </w:rPr>
        <w:t>、俄乌冲突对油价影响减弱的</w:t>
      </w:r>
    </w:p>
    <w:p>
      <w:pPr>
        <w:pStyle w:val="BodyText"/>
        <w:spacing w:line="219" w:lineRule="auto"/>
        <w:ind w:left="1714"/>
      </w:pPr>
      <w:r>
        <w:rPr>
          <w:spacing w:val="-7"/>
        </w:rPr>
        <w:t>背景下，积极信号正在不断增加。。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pStyle w:val="BodyText"/>
        <w:spacing w:before="59" w:line="219" w:lineRule="auto"/>
        <w:ind w:left="1711"/>
        <w:rPr>
          <w:sz w:val="18"/>
          <w:szCs w:val="18"/>
        </w:rPr>
      </w:pPr>
      <w:r>
        <w:rPr>
          <w:spacing w:val="-1"/>
          <w:sz w:val="18"/>
          <w:szCs w:val="18"/>
        </w:rPr>
        <w:t>北大汇丰智库经济组（撰稿人：邹欣）</w:t>
      </w:r>
    </w:p>
    <w:p>
      <w:pPr>
        <w:pStyle w:val="BodyText"/>
        <w:spacing w:before="136" w:line="350" w:lineRule="exact"/>
        <w:ind w:left="1710"/>
        <w:rPr>
          <w:sz w:val="18"/>
          <w:szCs w:val="18"/>
        </w:rPr>
        <w:sectPr>
          <w:headerReference w:type="default" r:id="rId8"/>
          <w:footerReference w:type="default" r:id="rId9"/>
          <w:pgSz w:w="11906" w:h="16839"/>
          <w:pgMar w:top="400" w:right="0" w:bottom="400" w:left="0" w:header="0" w:footer="0" w:gutter="0"/>
          <w:pgNumType w:start="2"/>
          <w:cols w:space="708"/>
        </w:sectPr>
      </w:pPr>
      <w:r>
        <w:rPr>
          <w:spacing w:val="-3"/>
          <w:position w:val="13"/>
          <w:sz w:val="18"/>
          <w:szCs w:val="18"/>
        </w:rPr>
        <w:t>成稿时间：</w:t>
      </w:r>
      <w:r>
        <w:rPr>
          <w:rFonts w:ascii="Times New Roman" w:eastAsia="Times New Roman" w:hAnsi="Times New Roman" w:cs="Times New Roman"/>
          <w:spacing w:val="-3"/>
          <w:position w:val="13"/>
          <w:sz w:val="18"/>
          <w:szCs w:val="18"/>
        </w:rPr>
        <w:t xml:space="preserve">2023 </w:t>
      </w:r>
      <w:r>
        <w:rPr>
          <w:spacing w:val="-3"/>
          <w:position w:val="13"/>
          <w:sz w:val="18"/>
          <w:szCs w:val="18"/>
        </w:rPr>
        <w:t>年</w:t>
      </w:r>
      <w:r>
        <w:rPr>
          <w:spacing w:val="-24"/>
          <w:position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3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11"/>
          <w:w w:val="101"/>
          <w:position w:val="13"/>
          <w:sz w:val="18"/>
          <w:szCs w:val="18"/>
        </w:rPr>
        <w:t xml:space="preserve"> </w:t>
      </w:r>
      <w:r>
        <w:rPr>
          <w:spacing w:val="-3"/>
          <w:position w:val="13"/>
          <w:sz w:val="18"/>
          <w:szCs w:val="18"/>
        </w:rPr>
        <w:t>月</w:t>
      </w:r>
      <w:r>
        <w:rPr>
          <w:spacing w:val="-41"/>
          <w:position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3"/>
          <w:sz w:val="18"/>
          <w:szCs w:val="18"/>
        </w:rPr>
        <w:t xml:space="preserve">29  </w:t>
      </w:r>
      <w:r>
        <w:rPr>
          <w:spacing w:val="-3"/>
          <w:position w:val="13"/>
          <w:sz w:val="18"/>
          <w:szCs w:val="18"/>
        </w:rPr>
        <w:t>日</w:t>
      </w:r>
      <w:r>
        <w:rPr>
          <w:rFonts w:ascii="Times New Roman" w:eastAsia="Times New Roman" w:hAnsi="Times New Roman" w:cs="Times New Roman"/>
          <w:spacing w:val="-3"/>
          <w:position w:val="13"/>
          <w:sz w:val="18"/>
          <w:szCs w:val="18"/>
        </w:rPr>
        <w:t xml:space="preserve">|  </w:t>
      </w:r>
      <w:r>
        <w:rPr>
          <w:spacing w:val="-3"/>
          <w:position w:val="13"/>
          <w:sz w:val="18"/>
          <w:szCs w:val="18"/>
        </w:rPr>
        <w:t>总第</w:t>
      </w:r>
      <w:r>
        <w:rPr>
          <w:spacing w:val="-33"/>
          <w:position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3"/>
          <w:sz w:val="18"/>
          <w:szCs w:val="18"/>
        </w:rPr>
        <w:t xml:space="preserve">85 </w:t>
      </w:r>
      <w:r>
        <w:rPr>
          <w:spacing w:val="-3"/>
          <w:position w:val="13"/>
          <w:sz w:val="18"/>
          <w:szCs w:val="18"/>
        </w:rPr>
        <w:t>期</w:t>
      </w:r>
      <w:r>
        <w:rPr>
          <w:spacing w:val="15"/>
          <w:position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3"/>
          <w:sz w:val="18"/>
          <w:szCs w:val="18"/>
        </w:rPr>
        <w:t>| 2023-2024</w:t>
      </w:r>
      <w:r>
        <w:rPr>
          <w:rFonts w:ascii="Times New Roman" w:eastAsia="Times New Roman" w:hAnsi="Times New Roman" w:cs="Times New Roman"/>
          <w:spacing w:val="-4"/>
          <w:position w:val="13"/>
          <w:sz w:val="18"/>
          <w:szCs w:val="18"/>
        </w:rPr>
        <w:t xml:space="preserve"> </w:t>
      </w:r>
      <w:r>
        <w:rPr>
          <w:spacing w:val="-4"/>
          <w:position w:val="13"/>
          <w:sz w:val="18"/>
          <w:szCs w:val="18"/>
        </w:rPr>
        <w:t>学年第</w:t>
      </w:r>
      <w:r>
        <w:rPr>
          <w:spacing w:val="-23"/>
          <w:position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13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pacing w:val="6"/>
          <w:position w:val="13"/>
          <w:sz w:val="18"/>
          <w:szCs w:val="18"/>
        </w:rPr>
        <w:t xml:space="preserve"> </w:t>
      </w:r>
      <w:r>
        <w:rPr>
          <w:spacing w:val="-4"/>
          <w:position w:val="13"/>
          <w:sz w:val="18"/>
          <w:szCs w:val="18"/>
        </w:rPr>
        <w:t>期</w:t>
      </w:r>
    </w:p>
    <w:p>
      <w:pPr>
        <w:pStyle w:val="BodyText"/>
        <w:spacing w:before="1" w:line="212" w:lineRule="auto"/>
        <w:ind w:left="1709"/>
        <w:rPr>
          <w:sz w:val="18"/>
          <w:szCs w:val="18"/>
        </w:rPr>
      </w:pPr>
      <w:r>
        <w:rPr>
          <w:spacing w:val="-1"/>
          <w:sz w:val="18"/>
          <w:szCs w:val="18"/>
        </w:rPr>
        <w:t>联系人：程云（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0755-26032270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，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chengyun@phbs.pku.edu.cn</w:t>
      </w:r>
      <w:r>
        <w:rPr>
          <w:spacing w:val="-1"/>
          <w:sz w:val="18"/>
          <w:szCs w:val="18"/>
        </w:rPr>
        <w:t>）</w:t>
      </w:r>
    </w:p>
    <w:p>
      <w:pPr>
        <w:spacing w:line="212" w:lineRule="auto"/>
        <w:rPr>
          <w:sz w:val="18"/>
          <w:szCs w:val="18"/>
        </w:rPr>
        <w:sectPr>
          <w:headerReference w:type="default" r:id="rId10"/>
          <w:footerReference w:type="default" r:id="rId11"/>
          <w:type w:val="nextPage"/>
          <w:pgSz w:w="11906" w:h="16839"/>
          <w:pgMar w:top="400" w:right="0" w:bottom="400" w:left="0" w:header="0" w:footer="0" w:gutter="0"/>
          <w:pgNumType w:start="3"/>
          <w:cols w:space="708"/>
          <w:titlePg w:val="0"/>
        </w:sect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33" w:line="187" w:lineRule="auto"/>
        <w:ind w:left="1710"/>
        <w:outlineLvl w:val="0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b/>
          <w:bCs/>
          <w:color w:val="0E57C5"/>
          <w:spacing w:val="7"/>
          <w:sz w:val="31"/>
          <w:szCs w:val="31"/>
        </w:rPr>
        <w:t>一、</w:t>
      </w:r>
      <w:r>
        <w:rPr>
          <w:rFonts w:ascii="Microsoft YaHei" w:eastAsia="Microsoft YaHei" w:hAnsi="Microsoft YaHei" w:cs="Microsoft YaHei"/>
          <w:b/>
          <w:bCs/>
          <w:color w:val="0E57C5"/>
          <w:spacing w:val="-5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57C5"/>
          <w:sz w:val="31"/>
          <w:szCs w:val="31"/>
        </w:rPr>
        <w:t>GDP</w:t>
      </w:r>
      <w:r>
        <w:rPr>
          <w:rFonts w:ascii="Microsoft YaHei" w:eastAsia="Microsoft YaHei" w:hAnsi="Microsoft YaHei" w:cs="Microsoft YaHei"/>
          <w:b/>
          <w:bCs/>
          <w:color w:val="0E57C5"/>
          <w:spacing w:val="7"/>
          <w:sz w:val="31"/>
          <w:szCs w:val="31"/>
        </w:rPr>
        <w:t>：低基数下供需好转</w:t>
      </w:r>
      <w:r>
        <w:rPr>
          <w:rFonts w:ascii="Microsoft YaHei" w:eastAsia="Microsoft YaHei" w:hAnsi="Microsoft YaHei" w:cs="Microsoft YaHei"/>
          <w:b/>
          <w:bCs/>
          <w:color w:val="0E57C5"/>
          <w:spacing w:val="-51"/>
          <w:sz w:val="31"/>
          <w:szCs w:val="31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0E57C5"/>
          <w:spacing w:val="7"/>
          <w:sz w:val="31"/>
          <w:szCs w:val="31"/>
        </w:rPr>
        <w:t>，完成年度经济目标无压力</w:t>
      </w:r>
    </w:p>
    <w:p>
      <w:pPr>
        <w:pStyle w:val="BodyText"/>
        <w:spacing w:before="184" w:line="376" w:lineRule="auto"/>
        <w:ind w:left="1710" w:right="1639" w:firstLine="503"/>
      </w:pPr>
      <w:r>
        <w:rPr>
          <w:spacing w:val="-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四季度国内外经济形势出现以下边际变化：一是</w:t>
      </w:r>
      <w:r>
        <w:rPr>
          <w:spacing w:val="-38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 xml:space="preserve">2024 </w:t>
      </w:r>
      <w:r>
        <w:rPr>
          <w:spacing w:val="-2"/>
        </w:rPr>
        <w:t>年美联储可能会降息三</w:t>
      </w:r>
      <w:r>
        <w:t xml:space="preserve"> </w:t>
      </w:r>
      <w:r>
        <w:rPr>
          <w:spacing w:val="-3"/>
        </w:rPr>
        <w:t>次。</w:t>
      </w:r>
      <w:r>
        <w:rPr>
          <w:rFonts w:ascii="Times New Roman" w:eastAsia="Times New Roman" w:hAnsi="Times New Roman" w:cs="Times New Roman"/>
          <w:spacing w:val="-3"/>
        </w:rPr>
        <w:t>12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3"/>
        </w:rPr>
        <w:t>月美联储公布的</w:t>
      </w:r>
      <w:r>
        <w:rPr>
          <w:rFonts w:ascii="Times New Roman" w:eastAsia="Times New Roman" w:hAnsi="Times New Roman" w:cs="Times New Roman"/>
          <w:spacing w:val="-3"/>
        </w:rPr>
        <w:t>“</w:t>
      </w:r>
      <w:r>
        <w:rPr>
          <w:rFonts w:ascii="Times New Roman" w:eastAsia="Times New Roman" w:hAnsi="Times New Roman" w:cs="Times New Roman"/>
          <w:spacing w:val="-39"/>
        </w:rPr>
        <w:t xml:space="preserve"> </w:t>
      </w:r>
      <w:r>
        <w:rPr>
          <w:spacing w:val="-3"/>
        </w:rPr>
        <w:t>点阵图</w:t>
      </w:r>
      <w:r>
        <w:rPr>
          <w:rFonts w:ascii="Times New Roman" w:eastAsia="Times New Roman" w:hAnsi="Times New Roman" w:cs="Times New Roman"/>
          <w:spacing w:val="-3"/>
        </w:rPr>
        <w:t>”</w:t>
      </w:r>
      <w:r>
        <w:rPr>
          <w:spacing w:val="-3"/>
        </w:rPr>
        <w:t>显示，</w:t>
      </w:r>
      <w:r>
        <w:rPr>
          <w:rFonts w:ascii="Times New Roman" w:eastAsia="Times New Roman" w:hAnsi="Times New Roman" w:cs="Times New Roman"/>
          <w:spacing w:val="-3"/>
        </w:rPr>
        <w:t xml:space="preserve">FOMC </w:t>
      </w:r>
      <w:r>
        <w:rPr>
          <w:spacing w:val="-3"/>
        </w:rPr>
        <w:t>委员们对</w:t>
      </w:r>
      <w:r>
        <w:rPr>
          <w:spacing w:val="-55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 xml:space="preserve">2024 </w:t>
      </w:r>
      <w:r>
        <w:rPr>
          <w:spacing w:val="-3"/>
        </w:rPr>
        <w:t>年的联邦基准利率预</w:t>
      </w:r>
      <w:r>
        <w:t xml:space="preserve"> </w:t>
      </w:r>
      <w:r>
        <w:rPr>
          <w:spacing w:val="-3"/>
        </w:rPr>
        <w:t>期的中位数为</w:t>
      </w:r>
      <w:r>
        <w:rPr>
          <w:spacing w:val="-56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4.5%</w:t>
      </w:r>
      <w:r>
        <w:rPr>
          <w:spacing w:val="-3"/>
        </w:rPr>
        <w:t>至</w:t>
      </w:r>
      <w:r>
        <w:rPr>
          <w:spacing w:val="-56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4.75%</w:t>
      </w:r>
      <w:r>
        <w:rPr>
          <w:spacing w:val="-3"/>
        </w:rPr>
        <w:t>，即较现阶段</w:t>
      </w:r>
      <w:r>
        <w:rPr>
          <w:spacing w:val="-48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5.25%</w:t>
      </w:r>
      <w:r>
        <w:rPr>
          <w:spacing w:val="-3"/>
        </w:rPr>
        <w:t>至</w:t>
      </w:r>
      <w:r>
        <w:rPr>
          <w:spacing w:val="-49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5.5%</w:t>
      </w:r>
      <w:r>
        <w:rPr>
          <w:spacing w:val="-3"/>
        </w:rPr>
        <w:t>的水平下调</w:t>
      </w:r>
      <w:r>
        <w:rPr>
          <w:spacing w:val="-51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75B</w:t>
      </w:r>
      <w:r>
        <w:rPr>
          <w:rFonts w:ascii="Times New Roman" w:eastAsia="Times New Roman" w:hAnsi="Times New Roman" w:cs="Times New Roman"/>
          <w:spacing w:val="-4"/>
        </w:rPr>
        <w:t>P</w:t>
      </w:r>
      <w:r>
        <w:rPr>
          <w:spacing w:val="-4"/>
        </w:rPr>
        <w:t>，意味着</w:t>
      </w:r>
      <w:r>
        <w:t xml:space="preserve"> </w:t>
      </w:r>
      <w:r>
        <w:rPr>
          <w:spacing w:val="-2"/>
        </w:rPr>
        <w:t>明年可能会降息三次。</w:t>
      </w:r>
      <w:r>
        <w:rPr>
          <w:spacing w:val="-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二是</w:t>
      </w:r>
      <w:r>
        <w:rPr>
          <w:spacing w:val="-2"/>
        </w:rPr>
        <w:t>中美元首会晤后，外部环</w:t>
      </w:r>
      <w:r>
        <w:rPr>
          <w:spacing w:val="-3"/>
        </w:rPr>
        <w:t>境有明显改善的迹象。近期，</w:t>
      </w:r>
      <w:r>
        <w:t xml:space="preserve"> </w:t>
      </w:r>
      <w:r>
        <w:rPr>
          <w:spacing w:val="3"/>
        </w:rPr>
        <w:t>中日韩外长会谈重启、中澳破冰、中欧领导人会晤、</w:t>
      </w:r>
      <w:r>
        <w:rPr>
          <w:spacing w:val="2"/>
        </w:rPr>
        <w:t>中国放开六国来华签证、中</w:t>
      </w:r>
      <w:r>
        <w:t xml:space="preserve"> </w:t>
      </w:r>
      <w:r>
        <w:rPr>
          <w:spacing w:val="3"/>
        </w:rPr>
        <w:t>国和新加坡互免签证等一系列消息均表明，中国面临</w:t>
      </w:r>
      <w:r>
        <w:rPr>
          <w:spacing w:val="2"/>
        </w:rPr>
        <w:t>的外部环境有所好转。</w:t>
      </w:r>
      <w:r>
        <w:rPr>
          <w:spacing w:val="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三是</w:t>
      </w:r>
      <w:r>
        <w:t xml:space="preserve"> </w:t>
      </w:r>
      <w:r>
        <w:rPr>
          <w:spacing w:val="-4"/>
        </w:rPr>
        <w:t>穆迪下调中国主权信用和八家中国主要银行的评级展望为</w:t>
      </w:r>
      <w:r>
        <w:rPr>
          <w:rFonts w:ascii="Times New Roman" w:eastAsia="Times New Roman" w:hAnsi="Times New Roman" w:cs="Times New Roman"/>
          <w:spacing w:val="-4"/>
        </w:rPr>
        <w:t>“</w:t>
      </w:r>
      <w:r>
        <w:rPr>
          <w:rFonts w:ascii="Times New Roman" w:eastAsia="Times New Roman" w:hAnsi="Times New Roman" w:cs="Times New Roman"/>
          <w:spacing w:val="-32"/>
        </w:rPr>
        <w:t xml:space="preserve"> </w:t>
      </w:r>
      <w:r>
        <w:rPr>
          <w:spacing w:val="-4"/>
        </w:rPr>
        <w:t>负面</w:t>
      </w:r>
      <w:r>
        <w:rPr>
          <w:rFonts w:ascii="Times New Roman" w:eastAsia="Times New Roman" w:hAnsi="Times New Roman" w:cs="Times New Roman"/>
          <w:spacing w:val="-4"/>
        </w:rPr>
        <w:t>”</w:t>
      </w:r>
      <w:r>
        <w:rPr>
          <w:spacing w:val="-4"/>
        </w:rPr>
        <w:t>，或将加剧国际资</w:t>
      </w:r>
      <w:r>
        <w:t xml:space="preserve"> </w:t>
      </w:r>
      <w:r>
        <w:rPr>
          <w:spacing w:val="3"/>
        </w:rPr>
        <w:t>本对中国市场的顾虑。此前，贝莱德、花旗、先锋领</w:t>
      </w:r>
      <w:r>
        <w:rPr>
          <w:spacing w:val="2"/>
        </w:rPr>
        <w:t>航等知名国际金融机构已经</w:t>
      </w:r>
      <w:r>
        <w:t xml:space="preserve"> </w:t>
      </w:r>
      <w:r>
        <w:rPr>
          <w:spacing w:val="3"/>
        </w:rPr>
        <w:t>关闭部分中国业务。</w:t>
      </w:r>
      <w:r>
        <w:rPr>
          <w:spacing w:val="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四是</w:t>
      </w:r>
      <w:r>
        <w:rPr>
          <w:spacing w:val="3"/>
        </w:rPr>
        <w:t>总书记赴上海考察，释放进</w:t>
      </w:r>
      <w:r>
        <w:rPr>
          <w:spacing w:val="2"/>
        </w:rPr>
        <w:t>一步扩大开放的信号。总书</w:t>
      </w:r>
      <w:r>
        <w:t xml:space="preserve"> </w:t>
      </w:r>
      <w:r>
        <w:rPr>
          <w:spacing w:val="3"/>
        </w:rPr>
        <w:t>记在上海考察时强调，上海要在更高起点上全面深化</w:t>
      </w:r>
      <w:r>
        <w:rPr>
          <w:spacing w:val="2"/>
        </w:rPr>
        <w:t>改革开放，要全方位大力度</w:t>
      </w:r>
      <w:r>
        <w:t xml:space="preserve"> </w:t>
      </w:r>
      <w:r>
        <w:rPr>
          <w:spacing w:val="3"/>
        </w:rPr>
        <w:t>推进首创性改革、引领性开放，加快形成具有国</w:t>
      </w:r>
      <w:r>
        <w:rPr>
          <w:spacing w:val="2"/>
        </w:rPr>
        <w:t>际竞争力的政策和制度体系。</w:t>
      </w:r>
      <w:r>
        <w:rPr>
          <w:spacing w:val="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五</w:t>
      </w:r>
      <w:r>
        <w:t xml:space="preserve"> </w:t>
      </w:r>
      <w:r>
        <w:rPr>
          <w:spacing w:val="-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是</w:t>
      </w:r>
      <w:r>
        <w:rPr>
          <w:spacing w:val="-2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12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3"/>
        </w:rPr>
        <w:t>月</w:t>
      </w:r>
      <w:r>
        <w:rPr>
          <w:spacing w:val="-41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8</w:t>
      </w:r>
      <w:r>
        <w:rPr>
          <w:rFonts w:ascii="Times New Roman" w:eastAsia="Times New Roman" w:hAnsi="Times New Roman" w:cs="Times New Roman"/>
          <w:spacing w:val="55"/>
          <w:w w:val="101"/>
        </w:rPr>
        <w:t xml:space="preserve"> </w:t>
      </w:r>
      <w:r>
        <w:rPr>
          <w:spacing w:val="-3"/>
        </w:rPr>
        <w:t>日的中共中央政治局会议和</w:t>
      </w:r>
      <w:r>
        <w:rPr>
          <w:spacing w:val="-25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12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3"/>
        </w:rPr>
        <w:t>月</w:t>
      </w:r>
      <w:r>
        <w:rPr>
          <w:spacing w:val="-2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12</w:t>
      </w:r>
      <w:r>
        <w:rPr>
          <w:rFonts w:ascii="Times New Roman" w:eastAsia="Times New Roman" w:hAnsi="Times New Roman" w:cs="Times New Roman"/>
          <w:spacing w:val="55"/>
          <w:w w:val="101"/>
        </w:rPr>
        <w:t xml:space="preserve"> </w:t>
      </w:r>
      <w:r>
        <w:rPr>
          <w:spacing w:val="-4"/>
        </w:rPr>
        <w:t>日的中央经济工作会议定调</w:t>
      </w:r>
      <w:r>
        <w:rPr>
          <w:spacing w:val="-4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2024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spacing w:val="-4"/>
        </w:rPr>
        <w:t>年经济工作</w:t>
      </w:r>
      <w:r>
        <w:rPr>
          <w:rFonts w:ascii="Times New Roman" w:eastAsia="Times New Roman" w:hAnsi="Times New Roman" w:cs="Times New Roman"/>
          <w:spacing w:val="-4"/>
        </w:rPr>
        <w:t>“</w:t>
      </w:r>
      <w:r>
        <w:rPr>
          <w:color w:val="333333"/>
          <w:spacing w:val="-4"/>
        </w:rPr>
        <w:t>稳中求进、以进促稳、先立后破</w:t>
      </w:r>
      <w:r>
        <w:rPr>
          <w:rFonts w:ascii="Times New Roman" w:eastAsia="Times New Roman" w:hAnsi="Times New Roman" w:cs="Times New Roman"/>
          <w:spacing w:val="-4"/>
        </w:rPr>
        <w:t>”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spacing w:val="-4"/>
        </w:rPr>
        <w:t>的总基调。会议提出，</w:t>
      </w:r>
      <w:r>
        <w:rPr>
          <w:color w:val="333333"/>
          <w:spacing w:val="-4"/>
        </w:rPr>
        <w:t>强化宏观</w:t>
      </w:r>
      <w:r>
        <w:rPr>
          <w:color w:val="333333"/>
          <w:spacing w:val="-5"/>
        </w:rPr>
        <w:t>政策</w:t>
      </w:r>
      <w:r>
        <w:rPr>
          <w:color w:val="333333"/>
        </w:rPr>
        <w:t xml:space="preserve"> </w:t>
      </w:r>
      <w:r>
        <w:rPr>
          <w:color w:val="333333"/>
          <w:spacing w:val="3"/>
        </w:rPr>
        <w:t>逆周期和跨周期调节，积极的财政政策要适度加力、</w:t>
      </w:r>
      <w:r>
        <w:rPr>
          <w:color w:val="333333"/>
          <w:spacing w:val="2"/>
        </w:rPr>
        <w:t>提质增效，稳健的货币政策</w:t>
      </w:r>
      <w:r>
        <w:rPr>
          <w:color w:val="333333"/>
        </w:rPr>
        <w:t xml:space="preserve"> </w:t>
      </w:r>
      <w:r>
        <w:rPr>
          <w:color w:val="333333"/>
          <w:spacing w:val="-2"/>
        </w:rPr>
        <w:t>要灵活适度、精准有效。预计</w:t>
      </w:r>
      <w:r>
        <w:rPr>
          <w:color w:val="333333"/>
          <w:spacing w:val="-55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</w:rPr>
        <w:t xml:space="preserve">2024 </w:t>
      </w:r>
      <w:r>
        <w:rPr>
          <w:color w:val="333333"/>
          <w:spacing w:val="-2"/>
        </w:rPr>
        <w:t>年</w:t>
      </w:r>
      <w:r>
        <w:rPr>
          <w:color w:val="333333"/>
          <w:spacing w:val="-52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</w:rPr>
        <w:t xml:space="preserve">GDP </w:t>
      </w:r>
      <w:r>
        <w:rPr>
          <w:color w:val="333333"/>
          <w:spacing w:val="-2"/>
        </w:rPr>
        <w:t>增速目标料将不低于</w:t>
      </w:r>
      <w:r>
        <w:rPr>
          <w:color w:val="333333"/>
          <w:spacing w:val="-56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</w:rPr>
        <w:t>4</w:t>
      </w:r>
      <w:r>
        <w:rPr>
          <w:rFonts w:ascii="Times New Roman" w:eastAsia="Times New Roman" w:hAnsi="Times New Roman" w:cs="Times New Roman"/>
          <w:color w:val="333333"/>
          <w:spacing w:val="-3"/>
        </w:rPr>
        <w:t>.5%</w:t>
      </w:r>
      <w:r>
        <w:rPr>
          <w:rFonts w:ascii="Times New Roman" w:eastAsia="Times New Roman" w:hAnsi="Times New Roman" w:cs="Times New Roman"/>
          <w:color w:val="333333"/>
          <w:spacing w:val="-31"/>
        </w:rPr>
        <w:t xml:space="preserve"> </w:t>
      </w:r>
      <w:r>
        <w:rPr>
          <w:color w:val="333333"/>
          <w:spacing w:val="-3"/>
        </w:rPr>
        <w:t>，</w:t>
      </w:r>
      <w:r>
        <w:rPr>
          <w:color w:val="333333"/>
          <w:spacing w:val="-65"/>
        </w:rPr>
        <w:t xml:space="preserve"> </w:t>
      </w:r>
      <w:r>
        <w:rPr>
          <w:color w:val="333333"/>
          <w:spacing w:val="-3"/>
        </w:rPr>
        <w:t>目标赤字</w:t>
      </w:r>
      <w:r>
        <w:rPr>
          <w:color w:val="333333"/>
        </w:rPr>
        <w:t xml:space="preserve"> </w:t>
      </w:r>
      <w:r>
        <w:rPr>
          <w:color w:val="333333"/>
          <w:spacing w:val="-2"/>
        </w:rPr>
        <w:t>率大概率突破</w:t>
      </w:r>
      <w:r>
        <w:rPr>
          <w:color w:val="333333"/>
          <w:spacing w:val="-35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</w:rPr>
        <w:t>3%</w:t>
      </w:r>
      <w:r>
        <w:rPr>
          <w:color w:val="333333"/>
          <w:spacing w:val="-2"/>
        </w:rPr>
        <w:t>，宏观政策更关注结构调整的质和效而不是总量，政策力度将保</w:t>
      </w:r>
      <w:r>
        <w:rPr>
          <w:color w:val="333333"/>
        </w:rPr>
        <w:t xml:space="preserve"> </w:t>
      </w:r>
      <w:r>
        <w:rPr>
          <w:color w:val="333333"/>
          <w:spacing w:val="3"/>
        </w:rPr>
        <w:t>持温和适度，可能没有大力度的经济刺激。</w:t>
      </w:r>
      <w:r>
        <w:rPr>
          <w:color w:val="333333"/>
          <w:spacing w:val="3"/>
          <w14:textOutline w14:w="4356" w14:cap="sq">
            <w14:solidFill>
              <w14:srgbClr w14:val="333333"/>
            </w14:solidFill>
            <w14:prstDash w14:val="solid"/>
            <w14:bevel/>
          </w14:textOutline>
        </w:rPr>
        <w:t>六是</w:t>
      </w:r>
      <w:r>
        <w:rPr>
          <w:color w:val="333333"/>
          <w:spacing w:val="3"/>
        </w:rPr>
        <w:t>近期出台了一系列稳楼市政策，</w:t>
      </w:r>
      <w:r>
        <w:rPr>
          <w:color w:val="333333"/>
          <w:spacing w:val="15"/>
        </w:rPr>
        <w:t xml:space="preserve"> </w:t>
      </w:r>
      <w:r>
        <w:rPr>
          <w:color w:val="333333"/>
          <w:spacing w:val="3"/>
        </w:rPr>
        <w:t>包括增加对房企的融资支持、一线城市降低首付比例</w:t>
      </w:r>
      <w:r>
        <w:rPr>
          <w:color w:val="333333"/>
          <w:spacing w:val="2"/>
        </w:rPr>
        <w:t>和房贷利率、部分地区取消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土拍限价等，在</w:t>
      </w:r>
      <w:r>
        <w:rPr>
          <w:color w:val="333333"/>
          <w:spacing w:val="-4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</w:rPr>
        <w:t xml:space="preserve">2024 </w:t>
      </w:r>
      <w:r>
        <w:rPr>
          <w:color w:val="333333"/>
          <w:spacing w:val="-1"/>
        </w:rPr>
        <w:t>年</w:t>
      </w:r>
      <w:r>
        <w:rPr>
          <w:rFonts w:ascii="Times New Roman" w:eastAsia="Times New Roman" w:hAnsi="Times New Roman" w:cs="Times New Roman"/>
          <w:color w:val="333333"/>
          <w:spacing w:val="-1"/>
        </w:rPr>
        <w:t>“</w:t>
      </w:r>
      <w:r>
        <w:rPr>
          <w:color w:val="333333"/>
          <w:spacing w:val="-1"/>
        </w:rPr>
        <w:t>先立后破</w:t>
      </w:r>
      <w:r>
        <w:rPr>
          <w:rFonts w:ascii="Times New Roman" w:eastAsia="Times New Roman" w:hAnsi="Times New Roman" w:cs="Times New Roman"/>
          <w:color w:val="333333"/>
          <w:spacing w:val="-1"/>
        </w:rPr>
        <w:t>”</w:t>
      </w:r>
      <w:r>
        <w:rPr>
          <w:rFonts w:ascii="Times New Roman" w:eastAsia="Times New Roman" w:hAnsi="Times New Roman" w:cs="Times New Roman"/>
          <w:color w:val="333333"/>
          <w:spacing w:val="-32"/>
        </w:rPr>
        <w:t xml:space="preserve"> </w:t>
      </w:r>
      <w:r>
        <w:rPr>
          <w:color w:val="333333"/>
          <w:spacing w:val="-1"/>
        </w:rPr>
        <w:t>的指导方针下，未来可能会进一步放松一线城</w:t>
      </w:r>
    </w:p>
    <w:p>
      <w:pPr>
        <w:pStyle w:val="BodyText"/>
        <w:spacing w:line="219" w:lineRule="auto"/>
        <w:ind w:left="1717"/>
      </w:pPr>
      <w:r>
        <w:rPr>
          <w:color w:val="333333"/>
          <w:spacing w:val="-4"/>
        </w:rPr>
        <w:t>市的限购。</w:t>
      </w:r>
    </w:p>
    <w:p>
      <w:pPr>
        <w:pStyle w:val="BodyText"/>
        <w:spacing w:before="206" w:line="376" w:lineRule="auto"/>
        <w:ind w:left="1710" w:right="1701" w:firstLine="479"/>
        <w:jc w:val="both"/>
        <w:sectPr>
          <w:headerReference w:type="default" r:id="rId12"/>
          <w:footerReference w:type="default" r:id="rId13"/>
          <w:pgSz w:w="11906" w:h="16839"/>
          <w:pgMar w:top="400" w:right="0" w:bottom="1595" w:left="0" w:header="0" w:footer="1431" w:gutter="0"/>
          <w:pgNumType w:start="4"/>
          <w:cols w:space="708"/>
        </w:sectPr>
      </w:pPr>
      <w:r>
        <w:rPr>
          <w:spacing w:val="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低基数下，四季度多数经济指标回升向好，但经济复苏的基础</w:t>
      </w:r>
      <w:r>
        <w:rPr>
          <w:spacing w:val="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仍需巩固；预</w:t>
      </w:r>
      <w:r>
        <w:t xml:space="preserve"> </w:t>
      </w:r>
      <w:r>
        <w:rPr>
          <w:spacing w:val="-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计四季度</w:t>
      </w:r>
      <w:r>
        <w:rPr>
          <w:spacing w:val="-5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GDP</w:t>
      </w:r>
      <w:r>
        <w:rPr>
          <w:rFonts w:ascii="Times New Roman" w:eastAsia="Times New Roman" w:hAnsi="Times New Roman" w:cs="Times New Roman"/>
          <w:b/>
          <w:bCs/>
          <w:spacing w:val="16"/>
        </w:rPr>
        <w:t xml:space="preserve"> </w:t>
      </w:r>
      <w:r>
        <w:rPr>
          <w:spacing w:val="-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增速为</w:t>
      </w:r>
      <w:r>
        <w:rPr>
          <w:spacing w:val="-5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5.5%</w:t>
      </w:r>
      <w:r>
        <w:rPr>
          <w:rFonts w:ascii="Times New Roman" w:eastAsia="Times New Roman" w:hAnsi="Times New Roman" w:cs="Times New Roman"/>
          <w:b/>
          <w:bCs/>
          <w:spacing w:val="-31"/>
        </w:rPr>
        <w:t xml:space="preserve"> </w:t>
      </w:r>
      <w:r>
        <w:rPr>
          <w:spacing w:val="-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，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2023 </w:t>
      </w:r>
      <w:r>
        <w:rPr>
          <w:spacing w:val="-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spacing w:val="-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GDP</w:t>
      </w:r>
      <w:r>
        <w:rPr>
          <w:rFonts w:ascii="Times New Roman" w:eastAsia="Times New Roman" w:hAnsi="Times New Roman" w:cs="Times New Roman"/>
          <w:b/>
          <w:bCs/>
          <w:spacing w:val="16"/>
        </w:rPr>
        <w:t xml:space="preserve"> </w:t>
      </w:r>
      <w:r>
        <w:rPr>
          <w:spacing w:val="-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增速为</w:t>
      </w:r>
      <w:r>
        <w:rPr>
          <w:spacing w:val="-5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5.3%</w:t>
      </w:r>
      <w:r>
        <w:rPr>
          <w:rFonts w:ascii="Times New Roman" w:eastAsia="Times New Roman" w:hAnsi="Times New Roman" w:cs="Times New Roman"/>
          <w:b/>
          <w:bCs/>
          <w:spacing w:val="-31"/>
        </w:rPr>
        <w:t xml:space="preserve"> </w:t>
      </w:r>
      <w:r>
        <w:rPr>
          <w:spacing w:val="-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，高于</w:t>
      </w:r>
      <w:r>
        <w:rPr>
          <w:spacing w:val="-4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5%</w:t>
      </w:r>
      <w:r>
        <w:rPr>
          <w:spacing w:val="-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的目标</w:t>
      </w:r>
      <w:r>
        <w:rPr>
          <w:spacing w:val="-3"/>
        </w:rPr>
        <w:t>。</w:t>
      </w:r>
      <w:r>
        <w:rPr>
          <w:spacing w:val="-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一是</w:t>
      </w:r>
      <w:r>
        <w:t xml:space="preserve"> </w:t>
      </w:r>
      <w:r>
        <w:rPr>
          <w:spacing w:val="1"/>
        </w:rPr>
        <w:t>供需进一步修复，但</w:t>
      </w:r>
      <w:r>
        <w:rPr>
          <w:spacing w:val="-44"/>
        </w:rPr>
        <w:t xml:space="preserve"> </w:t>
      </w:r>
      <w:r>
        <w:rPr>
          <w:rFonts w:ascii="Times New Roman" w:eastAsia="Times New Roman" w:hAnsi="Times New Roman" w:cs="Times New Roman"/>
        </w:rPr>
        <w:t>CPI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spacing w:val="1"/>
        </w:rPr>
        <w:t>和</w:t>
      </w:r>
      <w:r>
        <w:rPr>
          <w:spacing w:val="-51"/>
        </w:rPr>
        <w:t xml:space="preserve"> </w:t>
      </w:r>
      <w:r>
        <w:rPr>
          <w:rFonts w:ascii="Times New Roman" w:eastAsia="Times New Roman" w:hAnsi="Times New Roman" w:cs="Times New Roman"/>
        </w:rPr>
        <w:t>PPI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spacing w:val="1"/>
        </w:rPr>
        <w:t>同比负增长，且社消环比转负，说明需求还是偏</w:t>
      </w:r>
      <w:r>
        <w:t xml:space="preserve"> </w:t>
      </w:r>
      <w:r>
        <w:rPr>
          <w:spacing w:val="3"/>
        </w:rPr>
        <w:t>弱。</w:t>
      </w:r>
      <w:r>
        <w:rPr>
          <w:spacing w:val="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二是</w:t>
      </w:r>
      <w:r>
        <w:rPr>
          <w:spacing w:val="3"/>
        </w:rPr>
        <w:t>房地产投资增速企稳，但商品房销售</w:t>
      </w:r>
      <w:r>
        <w:rPr>
          <w:spacing w:val="2"/>
        </w:rPr>
        <w:t>增速仍在下行，现有房地产调控政</w:t>
      </w:r>
      <w:r>
        <w:t xml:space="preserve"> </w:t>
      </w:r>
      <w:r>
        <w:rPr>
          <w:spacing w:val="3"/>
        </w:rPr>
        <w:t>策放松力度还有待加强。</w:t>
      </w:r>
      <w:r>
        <w:rPr>
          <w:spacing w:val="3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三是</w:t>
      </w:r>
      <w:r>
        <w:rPr>
          <w:spacing w:val="3"/>
        </w:rPr>
        <w:t>货币政策边际收</w:t>
      </w:r>
      <w:r>
        <w:rPr>
          <w:spacing w:val="2"/>
        </w:rPr>
        <w:t>紧，财政政策有所加码，宏观政策</w:t>
      </w:r>
    </w:p>
    <w:p>
      <w:pPr>
        <w:pStyle w:val="BodyText"/>
        <w:spacing w:line="219" w:lineRule="auto"/>
        <w:ind w:left="1710"/>
      </w:pPr>
      <w:r>
        <w:rPr>
          <w:spacing w:val="-2"/>
        </w:rPr>
        <w:t>相对克制。</w:t>
      </w:r>
    </w:p>
    <w:p>
      <w:pPr>
        <w:spacing w:line="219" w:lineRule="auto"/>
        <w:sectPr>
          <w:headerReference w:type="default" r:id="rId14"/>
          <w:footerReference w:type="default" r:id="rId15"/>
          <w:type w:val="nextPage"/>
          <w:pgSz w:w="11906" w:h="16839"/>
          <w:pgMar w:top="400" w:right="0" w:bottom="1595" w:left="0" w:header="0" w:footer="1431" w:gutter="0"/>
          <w:pgNumType w:start="5"/>
          <w:cols w:space="708"/>
          <w:titlePg w:val="0"/>
        </w:sectPr>
      </w:pPr>
    </w:p>
    <w:p>
      <w:pPr>
        <w:spacing w:before="5"/>
      </w:pPr>
      <w:r>
        <w:pict>
          <v:shape id="_x0000_s1031" type="#_x0000_t136" style="width:799.1pt;height:30.5pt;margin-top:314.5pt;margin-left:-88.29pt;mso-position-horizontal-relative:page;mso-position-vertical-relative:page;position:absolute;rotation:315;z-index:251665408" o:allowincell="f" filled="t" fillcolor="#bf504d" stroked="f">
            <v:fill opacity="3855f"/>
            <v:textpath style="font-family:SimHei;font-size:30pt;mso-text-shadow:auto;v-text-kern:t" string="北大汇丰智库   北大汇丰智库   北大汇丰智库   北大汇"/>
          </v:shape>
        </w:pict>
      </w:r>
      <w:r>
        <w:pict>
          <v:shape id="_x0000_s1032" type="#_x0000_t136" style="width:799.3pt;height:30.5pt;margin-top:503.44pt;margin-left:-107.27pt;mso-position-horizontal-relative:page;mso-position-vertical-relative:page;position:absolute;rotation:315;z-index:251666432" o:allowincell="f" filled="t" fillcolor="#bf504d" stroked="f">
            <v:fill opacity="3855f"/>
            <v:textpath style="font-family:SimHei;font-size:30pt;mso-text-shadow:auto;v-text-kern:t" string="丰智库   北大汇丰智库   北大汇丰智库   北大汇丰智库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width:429.85pt;height:508.4pt;margin-top:77.18pt;margin-left:84.5pt;mso-position-horizontal-relative:page;mso-position-vertical-relative:page;position:absolute;z-index:25166950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5" w:line="376" w:lineRule="auto"/>
                    <w:ind w:left="20" w:right="20" w:firstLine="482"/>
                  </w:pPr>
                  <w:r>
                    <w:rPr>
                      <w:spacing w:val="-1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展望</w:t>
                  </w:r>
                  <w:r>
                    <w:rPr>
                      <w:spacing w:val="-5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</w:rPr>
                    <w:t xml:space="preserve">2024 </w:t>
                  </w:r>
                  <w:r>
                    <w:rPr>
                      <w:spacing w:val="-1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年，中国依然面临着复杂的房地产、地方债务、中小银行风险的拆</w:t>
                  </w:r>
                  <w:r>
                    <w:t xml:space="preserve"> </w:t>
                  </w:r>
                  <w:r>
                    <w:rPr>
                      <w:spacing w:val="-2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弹工作，但内外积极因素正不断增多，经济发展仍将</w:t>
                  </w:r>
                  <w:r>
                    <w:rPr>
                      <w:spacing w:val="-3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行稳致远</w:t>
                  </w:r>
                  <w:r>
                    <w:rPr>
                      <w:spacing w:val="-3"/>
                    </w:rPr>
                    <w:t>。</w:t>
                  </w:r>
                  <w:r>
                    <w:rPr>
                      <w:spacing w:val="-3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从外部环境来看</w:t>
                  </w:r>
                  <w:r>
                    <w:rPr>
                      <w:spacing w:val="-3"/>
                    </w:rPr>
                    <w:t>，</w:t>
                  </w:r>
                  <w:r>
                    <w:t xml:space="preserve"> </w:t>
                  </w:r>
                  <w:r>
                    <w:rPr>
                      <w:spacing w:val="3"/>
                    </w:rPr>
                    <w:t>虽然中美大国博弈的中长期趋势不变，但明年美国大</w:t>
                  </w:r>
                  <w:r>
                    <w:rPr>
                      <w:spacing w:val="2"/>
                    </w:rPr>
                    <w:t>选、美联储大概率在美国经</w:t>
                  </w:r>
                  <w:r>
                    <w:t xml:space="preserve"> </w:t>
                  </w:r>
                  <w:r>
                    <w:rPr>
                      <w:spacing w:val="3"/>
                    </w:rPr>
                    <w:t>济衰退前降息，中美关系将阶段性缓和，中国面临的</w:t>
                  </w:r>
                  <w:r>
                    <w:rPr>
                      <w:spacing w:val="2"/>
                    </w:rPr>
                    <w:t>外部制裁压力以及资本流出</w:t>
                  </w:r>
                  <w:r>
                    <w:t xml:space="preserve"> </w:t>
                  </w:r>
                  <w:r>
                    <w:rPr>
                      <w:spacing w:val="3"/>
                    </w:rPr>
                    <w:t>压力将减轻。特别地，当美联储降息时，意味着美国经济面临的下行压力加大，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3"/>
                    </w:rPr>
                    <w:t>可能会影响中国出口的外需。</w:t>
                  </w:r>
                  <w:r>
                    <w:rPr>
                      <w:spacing w:val="3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从内部情况来看</w:t>
                  </w:r>
                  <w:r>
                    <w:rPr>
                      <w:spacing w:val="3"/>
                    </w:rPr>
                    <w:t>，根据</w:t>
                  </w:r>
                  <w:r>
                    <w:rPr>
                      <w:spacing w:val="2"/>
                    </w:rPr>
                    <w:t>最新的中央经济工作会议通</w:t>
                  </w:r>
                  <w:r>
                    <w:t xml:space="preserve"> </w:t>
                  </w:r>
                  <w:r>
                    <w:rPr>
                      <w:spacing w:val="-2"/>
                    </w:rPr>
                    <w:t>稿，</w:t>
                  </w:r>
                  <w:r>
                    <w:rPr>
                      <w:spacing w:val="-61"/>
                    </w:rPr>
                    <w:t xml:space="preserve"> </w:t>
                  </w:r>
                  <w:r>
                    <w:rPr>
                      <w:spacing w:val="-2"/>
                    </w:rPr>
                    <w:t>目前经济存在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“</w:t>
                  </w:r>
                  <w:r>
                    <w:rPr>
                      <w:color w:val="333333"/>
                      <w:spacing w:val="-2"/>
                    </w:rPr>
                    <w:t>有效需求不足、部分行业产能过剩、社会预期偏弱、风险隐患</w:t>
                  </w:r>
                  <w:r>
                    <w:rPr>
                      <w:color w:val="333333"/>
                    </w:rPr>
                    <w:t xml:space="preserve"> </w:t>
                  </w:r>
                  <w:r>
                    <w:rPr>
                      <w:color w:val="333333"/>
                      <w:spacing w:val="-1"/>
                    </w:rPr>
                    <w:t>仍然较多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</w:rPr>
                    <w:t>”</w:t>
                  </w:r>
                  <w:r>
                    <w:rPr>
                      <w:rFonts w:ascii="Times New Roman" w:eastAsia="Times New Roman" w:hAnsi="Times New Roman" w:cs="Times New Roman"/>
                      <w:spacing w:val="-32"/>
                    </w:rPr>
                    <w:t xml:space="preserve"> </w:t>
                  </w:r>
                  <w:r>
                    <w:rPr>
                      <w:spacing w:val="-1"/>
                    </w:rPr>
                    <w:t>的困难和挑战，叠加房地产调整、地方债务、金融机构资产</w:t>
                  </w:r>
                  <w:r>
                    <w:rPr>
                      <w:spacing w:val="-2"/>
                    </w:rPr>
                    <w:t>质量恶化等</w:t>
                  </w:r>
                  <w:r>
                    <w:t xml:space="preserve"> </w:t>
                  </w:r>
                  <w:r>
                    <w:rPr>
                      <w:spacing w:val="3"/>
                    </w:rPr>
                    <w:t>结构性问题错综复杂，中国经济有一定的下行压力。</w:t>
                  </w:r>
                  <w:r>
                    <w:rPr>
                      <w:spacing w:val="2"/>
                    </w:rPr>
                    <w:t>但也有一些积极的信号正在</w:t>
                  </w:r>
                  <w:r>
                    <w:t xml:space="preserve"> </w:t>
                  </w:r>
                  <w:r>
                    <w:rPr>
                      <w:spacing w:val="2"/>
                    </w:rPr>
                    <w:t>显现：</w:t>
                  </w:r>
                  <w:r>
                    <w:rPr>
                      <w:spacing w:val="2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一是</w:t>
                  </w:r>
                  <w:r>
                    <w:rPr>
                      <w:spacing w:val="2"/>
                    </w:rPr>
                    <w:t>由于</w:t>
                  </w:r>
                  <w:r>
                    <w:rPr>
                      <w:spacing w:val="-5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</w:rPr>
                    <w:t xml:space="preserve">2023 </w:t>
                  </w:r>
                  <w:r>
                    <w:rPr>
                      <w:spacing w:val="2"/>
                    </w:rPr>
                    <w:t>年出口的基数偏低，如果</w:t>
                  </w:r>
                  <w:r>
                    <w:rPr>
                      <w:spacing w:val="-5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</w:rPr>
                    <w:t xml:space="preserve">2024 </w:t>
                  </w:r>
                  <w:r>
                    <w:rPr>
                      <w:spacing w:val="2"/>
                    </w:rPr>
                    <w:t>年没有出现全球性</w:t>
                  </w:r>
                  <w:r>
                    <w:rPr>
                      <w:spacing w:val="1"/>
                    </w:rPr>
                    <w:t>的经济危</w:t>
                  </w:r>
                  <w:r>
                    <w:t xml:space="preserve"> </w:t>
                  </w:r>
                  <w:r>
                    <w:rPr>
                      <w:spacing w:val="2"/>
                    </w:rPr>
                    <w:t>机，那么</w:t>
                  </w:r>
                  <w:r>
                    <w:rPr>
                      <w:spacing w:val="-5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</w:rPr>
                    <w:t xml:space="preserve">2024 </w:t>
                  </w:r>
                  <w:r>
                    <w:rPr>
                      <w:spacing w:val="2"/>
                    </w:rPr>
                    <w:t>年的出口增速将会明显高于</w:t>
                  </w:r>
                  <w:r>
                    <w:rPr>
                      <w:spacing w:val="-5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</w:rPr>
                    <w:t xml:space="preserve">2023 </w:t>
                  </w:r>
                  <w:r>
                    <w:rPr>
                      <w:spacing w:val="2"/>
                    </w:rPr>
                    <w:t>年。</w:t>
                  </w:r>
                  <w:r>
                    <w:rPr>
                      <w:spacing w:val="2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二是</w:t>
                  </w:r>
                  <w:r>
                    <w:rPr>
                      <w:spacing w:val="2"/>
                    </w:rPr>
                    <w:t>民企最悲观的</w:t>
                  </w:r>
                  <w:r>
                    <w:rPr>
                      <w:spacing w:val="1"/>
                    </w:rPr>
                    <w:t>时刻应该</w:t>
                  </w:r>
                  <w:r>
                    <w:t xml:space="preserve"> </w:t>
                  </w:r>
                  <w:r>
                    <w:rPr>
                      <w:spacing w:val="1"/>
                    </w:rPr>
                    <w:t>已经过去。</w:t>
                  </w:r>
                  <w:r>
                    <w:rPr>
                      <w:spacing w:val="-62"/>
                    </w:rPr>
                    <w:t xml:space="preserve"> </w:t>
                  </w:r>
                  <w:r>
                    <w:rPr>
                      <w:spacing w:val="1"/>
                    </w:rPr>
                    <w:t>目前，民间投资增速阶段性企稳，如果没有发生黑天鹅事件，市场信</w:t>
                  </w:r>
                  <w:r>
                    <w:t xml:space="preserve"> </w:t>
                  </w:r>
                  <w:r>
                    <w:rPr>
                      <w:spacing w:val="5"/>
                    </w:rPr>
                    <w:t>心将会逐渐修复。</w:t>
                  </w:r>
                  <w:r>
                    <w:rPr>
                      <w:spacing w:val="5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三是</w:t>
                  </w:r>
                  <w:r>
                    <w:rPr>
                      <w:spacing w:val="5"/>
                    </w:rPr>
                    <w:t>随着房企现金流的修复以及</w:t>
                  </w:r>
                  <w:r>
                    <w:rPr>
                      <w:color w:val="333333"/>
                      <w:spacing w:val="5"/>
                    </w:rPr>
                    <w:t>保障性住房建</w:t>
                  </w:r>
                  <w:r>
                    <w:rPr>
                      <w:color w:val="333333"/>
                      <w:spacing w:val="4"/>
                    </w:rPr>
                    <w:t>设、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4"/>
                    </w:rPr>
                    <w:t>“</w:t>
                  </w:r>
                  <w:r>
                    <w:rPr>
                      <w:color w:val="333333"/>
                      <w:spacing w:val="4"/>
                    </w:rPr>
                    <w:t>平急两用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4"/>
                    </w:rPr>
                    <w:t>”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</w:rPr>
                    <w:t xml:space="preserve"> </w:t>
                  </w:r>
                  <w:r>
                    <w:rPr>
                      <w:color w:val="333333"/>
                      <w:spacing w:val="-4"/>
                    </w:rPr>
                    <w:t>公共基础设施建设、城中村改造等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-4"/>
                    </w:rPr>
                    <w:t>“</w:t>
                  </w:r>
                  <w:r>
                    <w:rPr>
                      <w:color w:val="333333"/>
                      <w:spacing w:val="-4"/>
                    </w:rPr>
                    <w:t>三大工程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-4"/>
                    </w:rPr>
                    <w:t>”</w:t>
                  </w:r>
                  <w:r>
                    <w:rPr>
                      <w:rFonts w:ascii="Times New Roman" w:eastAsia="Times New Roman" w:hAnsi="Times New Roman" w:cs="Times New Roman"/>
                      <w:color w:val="333333"/>
                      <w:spacing w:val="-30"/>
                    </w:rPr>
                    <w:t xml:space="preserve"> </w:t>
                  </w:r>
                  <w:r>
                    <w:rPr>
                      <w:color w:val="333333"/>
                      <w:spacing w:val="-4"/>
                    </w:rPr>
                    <w:t>的推进</w:t>
                  </w:r>
                  <w:r>
                    <w:rPr>
                      <w:spacing w:val="-4"/>
                    </w:rPr>
                    <w:t>，房地产投资有望阶段性</w:t>
                  </w:r>
                  <w:r>
                    <w:rPr>
                      <w:spacing w:val="-5"/>
                    </w:rPr>
                    <w:t>企稳</w:t>
                  </w:r>
                  <w:r>
                    <w:t xml:space="preserve"> </w:t>
                  </w:r>
                  <w:r>
                    <w:rPr>
                      <w:spacing w:val="1"/>
                    </w:rPr>
                    <w:t>反弹。事实上，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</w:rPr>
                    <w:t xml:space="preserve">2023 </w:t>
                  </w:r>
                  <w:r>
                    <w:rPr>
                      <w:spacing w:val="1"/>
                    </w:rPr>
                    <w:t>年下半年以来，房地产投资的当月增速已经有企</w:t>
                  </w:r>
                  <w:r>
                    <w:t>稳迹象。</w:t>
                  </w:r>
                  <w:r>
                    <w:rPr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四</w:t>
                  </w:r>
                  <w:r>
                    <w:t xml:space="preserve"> </w:t>
                  </w:r>
                  <w:r>
                    <w:rPr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是</w:t>
                  </w:r>
                  <w:r>
                    <w:t>国际油价对物价的拖累将会明显减弱，物价将会</w:t>
                  </w:r>
                  <w:r>
                    <w:rPr>
                      <w:spacing w:val="-1"/>
                    </w:rPr>
                    <w:t>重回温和增长区间。假设</w:t>
                  </w:r>
                  <w:r>
                    <w:rPr>
                      <w:spacing w:val="-5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</w:rPr>
                    <w:t>2024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  </w:t>
                  </w:r>
                  <w:r>
                    <w:rPr>
                      <w:spacing w:val="-1"/>
                    </w:rPr>
                    <w:t>年主要产油国没有出现大规模的地缘政治冲突，那么</w:t>
                  </w:r>
                  <w:r>
                    <w:rPr>
                      <w:spacing w:val="-49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</w:rPr>
                    <w:t xml:space="preserve">2024 </w:t>
                  </w:r>
                  <w:r>
                    <w:rPr>
                      <w:spacing w:val="-1"/>
                    </w:rPr>
                    <w:t>年国际油价将维持现有</w:t>
                  </w:r>
                  <w:r>
                    <w:t xml:space="preserve"> </w:t>
                  </w:r>
                  <w:r>
                    <w:t>水平窄幅波动。考虑基数效应，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2024 </w:t>
                  </w:r>
                  <w:r>
                    <w:t>年的</w:t>
                  </w:r>
                  <w:r>
                    <w:rPr>
                      <w:spacing w:val="-4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</w:rPr>
                    <w:t>PPI</w:t>
                  </w:r>
                  <w:r>
                    <w:rPr>
                      <w:rFonts w:ascii="Times New Roman" w:eastAsia="Times New Roman" w:hAnsi="Times New Roman" w:cs="Times New Roman"/>
                      <w:spacing w:val="32"/>
                    </w:rPr>
                    <w:t xml:space="preserve"> </w:t>
                  </w:r>
                  <w:r>
                    <w:t xml:space="preserve">同比将会明显反弹、有望转正，随 </w:t>
                  </w:r>
                  <w:r>
                    <w:rPr>
                      <w:spacing w:val="-4"/>
                    </w:rPr>
                    <w:t>着工业品价格向消费品价格传导，但由于终端需求仍弱，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CPI</w:t>
                  </w:r>
                  <w:r>
                    <w:rPr>
                      <w:rFonts w:ascii="Times New Roman" w:eastAsia="Times New Roman" w:hAnsi="Times New Roman" w:cs="Times New Roman"/>
                      <w:spacing w:val="48"/>
                    </w:rPr>
                    <w:t xml:space="preserve"> </w:t>
                  </w:r>
                  <w:r>
                    <w:rPr>
                      <w:spacing w:val="-4"/>
                    </w:rPr>
                    <w:t>同比的反弹幅度将会</w:t>
                  </w:r>
                </w:p>
                <w:p>
                  <w:pPr>
                    <w:pStyle w:val="BodyText"/>
                    <w:spacing w:before="1" w:line="220" w:lineRule="auto"/>
                    <w:ind w:left="24"/>
                  </w:pPr>
                  <w:r>
                    <w:rPr>
                      <w:spacing w:val="-7"/>
                    </w:rPr>
                    <w:t>弱于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</w:rPr>
                    <w:t>PPI</w:t>
                  </w:r>
                  <w:r>
                    <w:rPr>
                      <w:rFonts w:ascii="Times New Roman" w:eastAsia="Times New Roman" w:hAnsi="Times New Roman" w:cs="Times New Roman"/>
                      <w:spacing w:val="32"/>
                    </w:rPr>
                    <w:t xml:space="preserve"> </w:t>
                  </w:r>
                  <w:r>
                    <w:rPr>
                      <w:spacing w:val="-7"/>
                    </w:rPr>
                    <w:t>同比。</w:t>
                  </w:r>
                </w:p>
                <w:p>
                  <w:pPr>
                    <w:spacing w:before="298" w:line="230" w:lineRule="auto"/>
                    <w:ind w:left="3114"/>
                    <w:rPr>
                      <w:rFonts w:ascii="SimHei" w:eastAsia="SimHei" w:hAnsi="SimHei" w:cs="SimHei"/>
                      <w:sz w:val="20"/>
                      <w:szCs w:val="20"/>
                    </w:rPr>
                  </w:pPr>
                  <w:r>
                    <w:rPr>
                      <w:rFonts w:ascii="SimHei" w:eastAsia="SimHei" w:hAnsi="SimHei" w:cs="SimHei"/>
                      <w:spacing w:val="8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表</w:t>
                  </w:r>
                  <w:r>
                    <w:rPr>
                      <w:rFonts w:ascii="SimHei" w:eastAsia="SimHei" w:hAnsi="SimHei" w:cs="SimHei"/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8"/>
                      <w:sz w:val="20"/>
                      <w:szCs w:val="20"/>
                    </w:rPr>
                    <w:t>1</w:t>
                  </w:r>
                  <w:r>
                    <w:rPr>
                      <w:rFonts w:ascii="SimHei" w:eastAsia="SimHei" w:hAnsi="SimHei" w:cs="SimHei"/>
                      <w:spacing w:val="8"/>
                      <w:sz w:val="20"/>
                      <w:szCs w:val="20"/>
                      <w14:textOutline w14:w="3797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：对经济增速的预测</w:t>
                  </w:r>
                </w:p>
              </w:txbxContent>
            </v:textbox>
          </v:shape>
        </w:pict>
      </w:r>
      <w:r>
        <w:pict>
          <v:shape id="_x0000_s1034" type="#_x0000_t202" style="width:425.7pt;height:16.25pt;margin-top:730.7pt;margin-left:85.53pt;mso-position-horizontal-relative:page;mso-position-vertical-relative:page;position:absolute;z-index:25166745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19" w:lineRule="auto"/>
                    <w:ind w:left="20"/>
                  </w:pPr>
                  <w:r>
                    <w:rPr>
                      <w:spacing w:val="2"/>
                    </w:rPr>
                    <w:t>的经济危机、超预期的地缘政治事件，中性情况下，考虑到基数效应、财政政策</w:t>
                  </w:r>
                </w:p>
              </w:txbxContent>
            </v:textbox>
          </v:shape>
        </w:pict>
      </w:r>
      <w:r>
        <w:pict>
          <v:shape id="_x0000_s1035" type="#_x0000_t202" style="width:426.75pt;height:60.45pt;margin-top:662.19pt;margin-left:84.53pt;mso-position-horizontal-relative:page;mso-position-vertical-relative:page;position:absolute;z-index:251668480" o:allowincell="f" filled="f" stroked="f">
            <o:lock v:ext="edit" aspectratio="f"/>
            <v:textbox inset="0,0,0,0">
              <w:txbxContent>
                <w:p>
                  <w:pPr>
                    <w:spacing w:before="20" w:line="326" w:lineRule="exact"/>
                    <w:ind w:left="21"/>
                    <w:rPr>
                      <w:rFonts w:ascii="SimHei" w:eastAsia="SimHei" w:hAnsi="SimHei" w:cs="SimHei"/>
                      <w:sz w:val="20"/>
                      <w:szCs w:val="20"/>
                    </w:rPr>
                  </w:pPr>
                  <w:r>
                    <w:rPr>
                      <w:rFonts w:ascii="SimHei" w:eastAsia="SimHei" w:hAnsi="SimHei" w:cs="SimHei"/>
                      <w:spacing w:val="7"/>
                      <w:position w:val="9"/>
                      <w:sz w:val="20"/>
                      <w:szCs w:val="20"/>
                    </w:rPr>
                    <w:t>注：每个季度为</w:t>
                  </w:r>
                  <w:r>
                    <w:rPr>
                      <w:rFonts w:ascii="SimHei" w:eastAsia="SimHei" w:hAnsi="SimHei" w:cs="SimHei"/>
                      <w:spacing w:val="-29"/>
                      <w:position w:val="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position w:val="9"/>
                      <w:sz w:val="20"/>
                      <w:szCs w:val="20"/>
                    </w:rPr>
                    <w:t>GDP</w:t>
                  </w:r>
                  <w:r>
                    <w:rPr>
                      <w:rFonts w:ascii="Times New Roman" w:eastAsia="Times New Roman" w:hAnsi="Times New Roman" w:cs="Times New Roman"/>
                      <w:spacing w:val="27"/>
                      <w:position w:val="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7"/>
                      <w:position w:val="9"/>
                      <w:sz w:val="20"/>
                      <w:szCs w:val="20"/>
                    </w:rPr>
                    <w:t>当季同比，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position w:val="9"/>
                      <w:sz w:val="20"/>
                      <w:szCs w:val="20"/>
                    </w:rPr>
                    <w:t xml:space="preserve">e </w:t>
                  </w:r>
                  <w:r>
                    <w:rPr>
                      <w:rFonts w:ascii="SimHei" w:eastAsia="SimHei" w:hAnsi="SimHei" w:cs="SimHei"/>
                      <w:spacing w:val="7"/>
                      <w:position w:val="9"/>
                      <w:sz w:val="20"/>
                      <w:szCs w:val="20"/>
                    </w:rPr>
                    <w:t>代表预测值。</w:t>
                  </w:r>
                </w:p>
                <w:p>
                  <w:pPr>
                    <w:spacing w:line="229" w:lineRule="auto"/>
                    <w:ind w:left="20"/>
                    <w:rPr>
                      <w:rFonts w:ascii="SimHei" w:eastAsia="SimHei" w:hAnsi="SimHei" w:cs="SimHei"/>
                      <w:sz w:val="20"/>
                      <w:szCs w:val="20"/>
                    </w:rPr>
                  </w:pPr>
                  <w:r>
                    <w:rPr>
                      <w:rFonts w:ascii="SimHei" w:eastAsia="SimHei" w:hAnsi="SimHei" w:cs="SimHei"/>
                      <w:spacing w:val="3"/>
                      <w:sz w:val="20"/>
                      <w:szCs w:val="20"/>
                    </w:rPr>
                    <w:t>数据来源：</w:t>
                  </w:r>
                  <w:r>
                    <w:rPr>
                      <w:rFonts w:ascii="SimHei" w:eastAsia="SimHei" w:hAnsi="SimHei" w:cs="SimHei"/>
                      <w:spacing w:val="-5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3"/>
                      <w:sz w:val="20"/>
                      <w:szCs w:val="20"/>
                    </w:rPr>
                    <w:t>自行整理。</w:t>
                  </w:r>
                </w:p>
                <w:p>
                  <w:pPr>
                    <w:pStyle w:val="BodyText"/>
                    <w:spacing w:before="308" w:line="219" w:lineRule="auto"/>
                    <w:ind w:right="20"/>
                    <w:jc w:val="right"/>
                  </w:pPr>
                  <w:r>
                    <w:rPr>
                      <w:spacing w:val="-2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中性情况下，预计</w:t>
                  </w:r>
                  <w:r>
                    <w:rPr>
                      <w:spacing w:val="-3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</w:rPr>
                    <w:t xml:space="preserve">2024 </w:t>
                  </w:r>
                  <w:r>
                    <w:rPr>
                      <w:spacing w:val="-2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年</w:t>
                  </w:r>
                  <w:r>
                    <w:rPr>
                      <w:spacing w:val="-4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</w:rPr>
                    <w:t>GDP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8"/>
                    </w:rPr>
                    <w:t xml:space="preserve"> </w:t>
                  </w:r>
                  <w:r>
                    <w:rPr>
                      <w:spacing w:val="-2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增速为</w:t>
                  </w:r>
                  <w:r>
                    <w:rPr>
                      <w:spacing w:val="-5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</w:rPr>
                    <w:t>5.0%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24"/>
                    </w:rPr>
                    <w:t xml:space="preserve"> </w:t>
                  </w:r>
                  <w:r>
                    <w:rPr>
                      <w:spacing w:val="-2"/>
                    </w:rPr>
                    <w:t>。如果</w:t>
                  </w:r>
                  <w:r>
                    <w:rPr>
                      <w:spacing w:val="-5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2024</w:t>
                  </w:r>
                  <w:r>
                    <w:rPr>
                      <w:rFonts w:ascii="Times New Roman" w:eastAsia="Times New Roman" w:hAnsi="Times New Roman" w:cs="Times New Roman"/>
                      <w:spacing w:val="15"/>
                      <w:w w:val="101"/>
                    </w:rPr>
                    <w:t xml:space="preserve"> </w:t>
                  </w:r>
                  <w:r>
                    <w:rPr>
                      <w:spacing w:val="-2"/>
                    </w:rPr>
                    <w:t>年没有出现全球性</w:t>
                  </w:r>
                </w:p>
              </w:txbxContent>
            </v:textbox>
          </v:shape>
        </w:pict>
      </w: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  <w:sectPr>
          <w:headerReference w:type="default" r:id="rId16"/>
          <w:footerReference w:type="default" r:id="rId17"/>
          <w:pgSz w:w="11906" w:h="16839"/>
          <w:pgMar w:top="400" w:right="0" w:bottom="1596" w:left="0" w:header="0" w:footer="1431" w:gutter="0"/>
          <w:pgNumType w:start="6"/>
          <w:cols w:space="708"/>
        </w:sectPr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tbl>
      <w:tblPr>
        <w:tblStyle w:val="TableNormal0"/>
        <w:tblW w:w="8721" w:type="dxa"/>
        <w:tblInd w:w="159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03"/>
        <w:gridCol w:w="1409"/>
        <w:gridCol w:w="1528"/>
        <w:gridCol w:w="1528"/>
        <w:gridCol w:w="1249"/>
        <w:gridCol w:w="1204"/>
      </w:tblGrid>
      <w:tr>
        <w:tblPrEx>
          <w:tblW w:w="8721" w:type="dxa"/>
          <w:tblInd w:w="1593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97"/>
        </w:trPr>
        <w:tc>
          <w:tcPr>
            <w:tcW w:w="180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6" type="#_x0000_t202" style="width:21.9pt;height:14.3pt;margin-top:6.21pt;margin-left:-55.44pt;mso-position-horizontal-relative:right-margin-area;mso-position-vertical-relative:top-margin-area;position:absolute;z-index:251679744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218" w:lineRule="auto"/>
                          <w:ind w:left="20"/>
                          <w:rPr>
                            <w:rFonts w:ascii="DengXian" w:eastAsia="DengXian" w:hAnsi="DengXian" w:cs="DengXi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DengXian" w:eastAsia="DengXian" w:hAnsi="DengXian" w:cs="DengXian"/>
                            <w:b/>
                            <w:bCs/>
                            <w:spacing w:val="-2"/>
                            <w:sz w:val="20"/>
                            <w:szCs w:val="20"/>
                          </w:rPr>
                          <w:t>时间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7" type="#_x0000_t202" style="width:43.6pt;height:14.4pt;margin-top:6.12pt;margin-left:-56.99pt;mso-position-horizontal-relative:right-margin-area;mso-position-vertical-relative:top-margin-area;position:absolute;z-index:251678720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219" w:lineRule="auto"/>
                          <w:ind w:left="20"/>
                          <w:rPr>
                            <w:rFonts w:ascii="DengXian" w:eastAsia="DengXian" w:hAnsi="DengXian" w:cs="DengXi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DengXian" w:eastAsia="DengXian" w:hAnsi="DengXian" w:cs="DengXian"/>
                            <w:b/>
                            <w:bCs/>
                            <w:spacing w:val="7"/>
                            <w:sz w:val="20"/>
                            <w:szCs w:val="20"/>
                          </w:rPr>
                          <w:t>第一季度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528" w:type="dxa"/>
            <w:tcBorders>
              <w:top w:val="single" w:sz="2" w:space="0" w:color="000000"/>
              <w:bottom w:val="single" w:sz="2" w:space="0" w:color="7E7E7E"/>
            </w:tcBorders>
            <w:vAlign w:val="top"/>
          </w:tcPr>
          <w:p>
            <w:pPr>
              <w:spacing w:before="142" w:line="219" w:lineRule="auto"/>
              <w:ind w:left="349"/>
              <w:rPr>
                <w:rFonts w:ascii="DengXian" w:eastAsia="DengXian" w:hAnsi="DengXian" w:cs="DengXian"/>
                <w:sz w:val="20"/>
                <w:szCs w:val="20"/>
              </w:rPr>
            </w:pPr>
            <w:r>
              <w:rPr>
                <w:rFonts w:ascii="DengXian" w:eastAsia="DengXian" w:hAnsi="DengXian" w:cs="DengXian"/>
                <w:b/>
                <w:bCs/>
                <w:spacing w:val="7"/>
                <w:sz w:val="20"/>
                <w:szCs w:val="20"/>
              </w:rPr>
              <w:t>第二季度</w:t>
            </w:r>
          </w:p>
        </w:tc>
        <w:tc>
          <w:tcPr>
            <w:tcW w:w="1528" w:type="dxa"/>
            <w:tcBorders>
              <w:top w:val="single" w:sz="2" w:space="0" w:color="000000"/>
              <w:bottom w:val="single" w:sz="2" w:space="0" w:color="7E7E7E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8" type="#_x0000_t202" style="width:43.6pt;height:14.4pt;margin-top:6.12pt;margin-left:-59.91pt;mso-position-horizontal-relative:right-margin-area;mso-position-vertical-relative:top-margin-area;position:absolute;z-index:251670528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219" w:lineRule="auto"/>
                          <w:ind w:left="20"/>
                          <w:rPr>
                            <w:rFonts w:ascii="DengXian" w:eastAsia="DengXian" w:hAnsi="DengXian" w:cs="DengXi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DengXian" w:eastAsia="DengXian" w:hAnsi="DengXian" w:cs="DengXian"/>
                            <w:b/>
                            <w:bCs/>
                            <w:spacing w:val="7"/>
                            <w:sz w:val="20"/>
                            <w:szCs w:val="20"/>
                          </w:rPr>
                          <w:t>第三季度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249" w:type="dxa"/>
            <w:tcBorders>
              <w:top w:val="single" w:sz="2" w:space="0" w:color="000000"/>
              <w:bottom w:val="single" w:sz="2" w:space="0" w:color="7E7E7E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9" type="#_x0000_t202" style="width:43.6pt;height:14.4pt;margin-top:6.12pt;margin-left:-53pt;mso-position-horizontal-relative:right-margin-area;mso-position-vertical-relative:top-margin-area;position:absolute;z-index:251671552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219" w:lineRule="auto"/>
                          <w:ind w:left="20"/>
                          <w:rPr>
                            <w:rFonts w:ascii="DengXian" w:eastAsia="DengXian" w:hAnsi="DengXian" w:cs="DengXi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DengXian" w:eastAsia="DengXian" w:hAnsi="DengXian" w:cs="DengXian"/>
                            <w:b/>
                            <w:bCs/>
                            <w:spacing w:val="7"/>
                            <w:sz w:val="20"/>
                            <w:szCs w:val="20"/>
                          </w:rPr>
                          <w:t>第四季度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204" w:type="dxa"/>
            <w:tcBorders>
              <w:top w:val="single" w:sz="2" w:space="0" w:color="000000"/>
              <w:bottom w:val="single" w:sz="2" w:space="0" w:color="7E7E7E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40" type="#_x0000_t202" style="width:22.7pt;height:14.25pt;margin-top:6.27pt;margin-left:-41.42pt;mso-position-horizontal-relative:right-margin-area;mso-position-vertical-relative:top-margin-area;position:absolute;z-index:251672576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216" w:lineRule="auto"/>
                          <w:ind w:left="20"/>
                          <w:rPr>
                            <w:rFonts w:ascii="DengXian" w:eastAsia="DengXian" w:hAnsi="DengXian" w:cs="DengXi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DengXian" w:eastAsia="DengXian" w:hAnsi="DengXian" w:cs="DengXian"/>
                            <w:b/>
                            <w:bCs/>
                            <w:spacing w:val="6"/>
                            <w:sz w:val="20"/>
                            <w:szCs w:val="20"/>
                          </w:rPr>
                          <w:t>全年</w:t>
                        </w:r>
                      </w:p>
                    </w:txbxContent>
                  </v:textbox>
                </v:shape>
              </w:pict>
            </w:r>
          </w:p>
        </w:tc>
      </w:tr>
      <w:tr>
        <w:tblPrEx>
          <w:tblW w:w="8721" w:type="dxa"/>
          <w:tblInd w:w="1593" w:type="dxa"/>
          <w:tblLayout w:type="fixed"/>
        </w:tblPrEx>
        <w:trPr>
          <w:trHeight w:val="487"/>
        </w:trPr>
        <w:tc>
          <w:tcPr>
            <w:tcW w:w="1803" w:type="dxa"/>
            <w:tcBorders>
              <w:top w:val="single" w:sz="2" w:space="0" w:color="7E7E7E"/>
              <w:right w:val="single" w:sz="2" w:space="0" w:color="000000"/>
            </w:tcBorders>
            <w:shd w:val="clear" w:color="auto" w:fill="F1F1F1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41" type="#_x0000_t202" style="width:35.85pt;height:14.25pt;margin-top:6.13pt;margin-left:-62.78pt;mso-position-horizontal-relative:right-margin-area;mso-position-vertical-relative:top-margin-area;position:absolute;z-index:251681792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216" w:lineRule="auto"/>
                          <w:ind w:left="20"/>
                          <w:rPr>
                            <w:rFonts w:ascii="DengXian" w:eastAsia="DengXian" w:hAnsi="DengXian" w:cs="DengXi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3"/>
                            <w:sz w:val="20"/>
                            <w:szCs w:val="20"/>
                          </w:rPr>
                          <w:t>2023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DengXian" w:eastAsia="DengXian" w:hAnsi="DengXian" w:cs="DengXian"/>
                            <w:b/>
                            <w:bCs/>
                            <w:spacing w:val="3"/>
                            <w:sz w:val="20"/>
                            <w:szCs w:val="20"/>
                          </w:rPr>
                          <w:t>年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409" w:type="dxa"/>
            <w:tcBorders>
              <w:top w:val="single" w:sz="2" w:space="0" w:color="7E7E7E"/>
              <w:left w:val="single" w:sz="2" w:space="0" w:color="000000"/>
            </w:tcBorders>
            <w:shd w:val="clear" w:color="auto" w:fill="F1F1F1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42" type="#_x0000_t202" style="width:23.75pt;height:11.35pt;margin-top:7.83pt;margin-left:-47.04pt;mso-position-horizontal-relative:right-margin-area;mso-position-vertical-relative:top-margin-area;position:absolute;z-index:251682816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5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sz w:val="20"/>
                            <w:szCs w:val="20"/>
                          </w:rPr>
                          <w:t>4.5%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528" w:type="dxa"/>
            <w:tcBorders>
              <w:top w:val="single" w:sz="2" w:space="0" w:color="7E7E7E"/>
            </w:tcBorders>
            <w:shd w:val="clear" w:color="auto" w:fill="F1F1F1"/>
            <w:vAlign w:val="top"/>
          </w:tcPr>
          <w:p>
            <w:pPr>
              <w:spacing w:before="176" w:line="195" w:lineRule="auto"/>
              <w:ind w:left="5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6.3%</w:t>
            </w:r>
          </w:p>
        </w:tc>
        <w:tc>
          <w:tcPr>
            <w:tcW w:w="1528" w:type="dxa"/>
            <w:tcBorders>
              <w:top w:val="single" w:sz="2" w:space="0" w:color="7E7E7E"/>
            </w:tcBorders>
            <w:shd w:val="clear" w:color="auto" w:fill="F1F1F1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43" type="#_x0000_t202" style="width:23.75pt;height:11.35pt;margin-top:7.83pt;margin-left:-49.96pt;mso-position-horizontal-relative:right-margin-area;mso-position-vertical-relative:top-margin-area;position:absolute;z-index:251674624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5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sz w:val="20"/>
                            <w:szCs w:val="20"/>
                          </w:rPr>
                          <w:t>4.9%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249" w:type="dxa"/>
            <w:tcBorders>
              <w:top w:val="single" w:sz="2" w:space="0" w:color="7E7E7E"/>
            </w:tcBorders>
            <w:shd w:val="clear" w:color="auto" w:fill="F1F1F1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44" type="#_x0000_t202" style="width:28pt;height:11.35pt;margin-top:7.83pt;margin-left:-45pt;mso-position-horizontal-relative:right-margin-area;mso-position-vertical-relative:top-margin-area;position:absolute;z-index:251680768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5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E57C5"/>
                            <w:spacing w:val="2"/>
                            <w:sz w:val="20"/>
                            <w:szCs w:val="20"/>
                          </w:rPr>
                          <w:t>5.5%e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204" w:type="dxa"/>
            <w:tcBorders>
              <w:top w:val="single" w:sz="2" w:space="0" w:color="7E7E7E"/>
            </w:tcBorders>
            <w:shd w:val="clear" w:color="auto" w:fill="F1F1F1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45" type="#_x0000_t202" style="width:28pt;height:11.35pt;margin-top:7.83pt;margin-left:-43.88pt;mso-position-horizontal-relative:right-margin-area;mso-position-vertical-relative:top-margin-area;position:absolute;z-index:251675648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5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E57C5"/>
                            <w:spacing w:val="2"/>
                            <w:sz w:val="20"/>
                            <w:szCs w:val="20"/>
                          </w:rPr>
                          <w:t>5.3%e</w:t>
                        </w:r>
                      </w:p>
                    </w:txbxContent>
                  </v:textbox>
                </v:shape>
              </w:pict>
            </w:r>
          </w:p>
        </w:tc>
      </w:tr>
      <w:tr>
        <w:tblPrEx>
          <w:tblW w:w="8721" w:type="dxa"/>
          <w:tblInd w:w="1593" w:type="dxa"/>
          <w:tblLayout w:type="fixed"/>
        </w:tblPrEx>
        <w:trPr>
          <w:trHeight w:val="497"/>
        </w:trPr>
        <w:tc>
          <w:tcPr>
            <w:tcW w:w="1803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46" type="#_x0000_t202" style="width:35.85pt;height:14.25pt;margin-top:6.26pt;margin-left:-62.78pt;mso-position-horizontal-relative:right-margin-area;mso-position-vertical-relative:top-margin-area;position:absolute;z-index:251676672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216" w:lineRule="auto"/>
                          <w:ind w:left="20"/>
                          <w:rPr>
                            <w:rFonts w:ascii="DengXian" w:eastAsia="DengXian" w:hAnsi="DengXian" w:cs="DengXi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3"/>
                            <w:sz w:val="20"/>
                            <w:szCs w:val="20"/>
                          </w:rPr>
                          <w:t>2024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DengXian" w:eastAsia="DengXian" w:hAnsi="DengXian" w:cs="DengXian"/>
                            <w:b/>
                            <w:bCs/>
                            <w:spacing w:val="3"/>
                            <w:sz w:val="20"/>
                            <w:szCs w:val="20"/>
                          </w:rPr>
                          <w:t>年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409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47" type="#_x0000_t202" style="width:28pt;height:11.35pt;margin-top:7.96pt;margin-left:-48.99pt;mso-position-horizontal-relative:right-margin-area;mso-position-vertical-relative:top-margin-area;position:absolute;z-index:251677696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5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E57C5"/>
                            <w:spacing w:val="2"/>
                            <w:sz w:val="20"/>
                            <w:szCs w:val="20"/>
                          </w:rPr>
                          <w:t>5.3%e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528" w:type="dxa"/>
            <w:tcBorders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48" type="#_x0000_t202" style="width:27.85pt;height:11.35pt;margin-top:7.96pt;margin-left:-51.95pt;mso-position-horizontal-relative:right-margin-area;mso-position-vertical-relative:top-margin-area;position:absolute;z-index:251673600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95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E57C5"/>
                            <w:spacing w:val="2"/>
                            <w:sz w:val="20"/>
                            <w:szCs w:val="20"/>
                          </w:rPr>
                          <w:t>5.2%e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528" w:type="dxa"/>
            <w:tcBorders>
              <w:bottom w:val="single" w:sz="2" w:space="0" w:color="000000"/>
            </w:tcBorders>
            <w:vAlign w:val="top"/>
          </w:tcPr>
          <w:p>
            <w:pPr>
              <w:spacing w:before="179" w:line="195" w:lineRule="auto"/>
              <w:ind w:left="5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E57C5"/>
                <w:spacing w:val="2"/>
                <w:sz w:val="20"/>
                <w:szCs w:val="20"/>
              </w:rPr>
              <w:t>5.0%e</w:t>
            </w:r>
          </w:p>
        </w:tc>
        <w:tc>
          <w:tcPr>
            <w:tcW w:w="1249" w:type="dxa"/>
            <w:tcBorders>
              <w:bottom w:val="single" w:sz="2" w:space="0" w:color="000000"/>
            </w:tcBorders>
            <w:vAlign w:val="top"/>
          </w:tcPr>
          <w:p>
            <w:pPr>
              <w:spacing w:before="179" w:line="195" w:lineRule="auto"/>
              <w:ind w:left="3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E57C5"/>
                <w:spacing w:val="4"/>
                <w:sz w:val="20"/>
                <w:szCs w:val="20"/>
              </w:rPr>
              <w:t>4.7%e</w:t>
            </w:r>
          </w:p>
        </w:tc>
        <w:tc>
          <w:tcPr>
            <w:tcW w:w="1204" w:type="dxa"/>
            <w:tcBorders>
              <w:bottom w:val="single" w:sz="2" w:space="0" w:color="000000"/>
            </w:tcBorders>
            <w:vAlign w:val="top"/>
          </w:tcPr>
          <w:p>
            <w:pPr>
              <w:spacing w:before="179" w:line="195" w:lineRule="auto"/>
              <w:ind w:left="3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E57C5"/>
                <w:spacing w:val="2"/>
                <w:sz w:val="20"/>
                <w:szCs w:val="20"/>
              </w:rPr>
              <w:t>5.0%e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br/>
      </w:r>
      <w:r>
        <w:rPr>
          <w:rFonts w:ascii="Arial" w:eastAsia="Arial" w:hAnsi="Arial" w:cs="Arial"/>
          <w:sz w:val="21"/>
          <w:szCs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https://d.book118.com/515333104001011040</w:t>
        </w:r>
      </w:hyperlink>
    </w:p>
    <w:p>
      <w:pPr>
        <w:rPr>
          <w:rFonts w:ascii="Arial" w:eastAsia="Arial" w:hAnsi="Arial" w:cs="Arial"/>
          <w:sz w:val="21"/>
          <w:szCs w:val="21"/>
        </w:rPr>
      </w:pPr>
    </w:p>
    <w:sectPr>
      <w:headerReference w:type="default" r:id="rId19"/>
      <w:footerReference w:type="default" r:id="rId20"/>
      <w:type w:val="nextPage"/>
      <w:pgSz w:w="11906" w:h="16839"/>
      <w:pgMar w:top="400" w:right="0" w:bottom="1596" w:left="0" w:header="0" w:footer="1431" w:gutter="0"/>
      <w:pgNumType w:start="7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8" w:lineRule="auto"/>
      <w:ind w:left="5921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8" w:lineRule="auto"/>
      <w:ind w:left="5921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591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2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591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2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width:415.45pt;height:30.5pt;margin-top:705.26pt;margin-left:223.02pt;mso-position-horizontal-relative:page;mso-position-vertical-relative:page;position:absolute;rotation:315;z-index:-251658240" o:allowincell="f" filled="t" fillcolor="#bf504d" stroked="f">
          <v:fill opacity="3855f"/>
          <v:textpath style="font-family:SimHei;font-size:30pt;mso-text-shadow:auto;v-text-kern:t" string="北大汇丰智库   北大汇丰智库"/>
        </v:shape>
      </w:pict>
    </w:r>
    <w:r>
      <w:pict>
        <v:shape id="_x0000_s2050" type="#_x0000_t136" style="width:678.15pt;height:30.5pt;margin-top:609.29pt;margin-left:17.56pt;mso-position-horizontal-relative:page;mso-position-vertical-relative:page;position:absolute;rotation:315;z-index:-251657216" o:allowincell="f" filled="t" fillcolor="#bf504d" stroked="f">
          <v:fill opacity="3855f"/>
          <v:textpath style="font-family:SimHei;font-size:30pt;mso-text-shadow:auto;v-text-kern:t" string="智库   北大汇丰智库   北大汇丰智库   北大汇"/>
        </v:shape>
      </w:pict>
    </w:r>
    <w:r>
      <w:pict>
        <v:shape id="_x0000_s2051" type="#_x0000_t136" style="width:799.3pt;height:30.5pt;margin-top:503.44pt;margin-left:-107.27pt;mso-position-horizontal-relative:page;mso-position-vertical-relative:page;position:absolute;rotation:315;z-index:-251656192" o:allowincell="f" filled="t" fillcolor="#bf504d" stroked="f">
          <v:fill opacity="3855f"/>
          <v:textpath style="font-family:SimHei;font-size:30pt;mso-text-shadow:auto;v-text-kern:t" string="丰智库   北大汇丰智库   北大汇丰智库   北大汇丰智库"/>
        </v:shape>
      </w:pict>
    </w:r>
    <w:r>
      <w:pict>
        <v:shape id="_x0000_s2052" type="#_x0000_t136" style="width:799.1pt;height:30.5pt;margin-top:314.5pt;margin-left:-88.29pt;mso-position-horizontal-relative:page;mso-position-vertical-relative:page;position:absolute;rotation:315;z-index:-251655168" o:allowincell="f" filled="t" fillcolor="#bf504d" stroked="f">
          <v:fill opacity="3855f"/>
          <v:textpath style="font-family:SimHei;font-size:30pt;mso-text-shadow:auto;v-text-kern:t" string="北大汇丰智库   北大汇丰智库   北大汇丰智库   北大汇"/>
        </v:shape>
      </w:pict>
    </w:r>
    <w:r>
      <w:pict>
        <v:shape id="_x0000_s2053" type="#_x0000_t136" style="width:679.3pt;height:30.5pt;margin-top:208.33pt;margin-left:-92.32pt;mso-position-horizontal-relative:page;mso-position-vertical-relative:page;position:absolute;rotation:315;z-index:-251654144" o:allowincell="f" filled="t" fillcolor="#bf504d" stroked="f">
          <v:fill opacity="3855f"/>
          <v:textpath style="font-family:SimHei;font-size:30pt;mso-text-shadow:auto;v-text-kern:t" string="丰智库   北大汇丰智库   北大汇丰智库   北大"/>
        </v:shape>
      </w:pict>
    </w:r>
    <w:r>
      <w:pict>
        <v:shape id="_x0000_s2054" type="#_x0000_t136" style="width:415.45pt;height:30.5pt;margin-top:112.59pt;margin-left:-34.73pt;mso-position-horizontal-relative:page;mso-position-vertical-relative:page;position:absolute;rotation:315;z-index:-251653120" o:allowincell="f" filled="t" fillcolor="#bf504d" stroked="f">
          <v:fill opacity="3855f"/>
          <v:textpath style="font-family:SimHei;font-size:30pt;mso-text-shadow:auto;v-text-kern:t" string="北大汇丰智库   北大汇丰智库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5" type="#_x0000_t136" style="width:415.45pt;height:30.5pt;margin-top:705.26pt;margin-left:223.02pt;mso-position-horizontal-relative:page;mso-position-vertical-relative:page;position:absolute;rotation:315;z-index:-251652096" o:allowincell="f" filled="t" fillcolor="#bf504d" stroked="f">
          <v:fill opacity="3855f"/>
          <v:textpath style="font-family:SimHei;font-size:30pt;mso-text-shadow:auto;v-text-kern:t" string="北大汇丰智库   北大汇丰智库"/>
        </v:shape>
      </w:pict>
    </w:r>
    <w:r>
      <w:pict>
        <v:shape id="_x0000_s2056" type="#_x0000_t136" style="width:678.15pt;height:30.5pt;margin-top:609.29pt;margin-left:17.56pt;mso-position-horizontal-relative:page;mso-position-vertical-relative:page;position:absolute;rotation:315;z-index:-251651072" o:allowincell="f" filled="t" fillcolor="#bf504d" stroked="f">
          <v:fill opacity="3855f"/>
          <v:textpath style="font-family:SimHei;font-size:30pt;mso-text-shadow:auto;v-text-kern:t" string="智库   北大汇丰智库   北大汇丰智库   北大汇"/>
        </v:shape>
      </w:pict>
    </w:r>
    <w:r>
      <w:pict>
        <v:shape id="_x0000_s2057" type="#_x0000_t136" style="width:799.3pt;height:30.5pt;margin-top:503.44pt;margin-left:-107.27pt;mso-position-horizontal-relative:page;mso-position-vertical-relative:page;position:absolute;rotation:315;z-index:-251650048" o:allowincell="f" filled="t" fillcolor="#bf504d" stroked="f">
          <v:fill opacity="3855f"/>
          <v:textpath style="font-family:SimHei;font-size:30pt;mso-text-shadow:auto;v-text-kern:t" string="丰智库   北大汇丰智库   北大汇丰智库   北大汇丰智库"/>
        </v:shape>
      </w:pict>
    </w:r>
    <w:r>
      <w:pict>
        <v:shape id="_x0000_s2058" type="#_x0000_t136" style="width:799.1pt;height:30.5pt;margin-top:314.5pt;margin-left:-88.29pt;mso-position-horizontal-relative:page;mso-position-vertical-relative:page;position:absolute;rotation:315;z-index:-251649024" o:allowincell="f" filled="t" fillcolor="#bf504d" stroked="f">
          <v:fill opacity="3855f"/>
          <v:textpath style="font-family:SimHei;font-size:30pt;mso-text-shadow:auto;v-text-kern:t" string="北大汇丰智库   北大汇丰智库   北大汇丰智库   北大汇"/>
        </v:shape>
      </w:pict>
    </w:r>
    <w:r>
      <w:pict>
        <v:shape id="_x0000_s2059" type="#_x0000_t136" style="width:679.3pt;height:30.5pt;margin-top:208.33pt;margin-left:-92.32pt;mso-position-horizontal-relative:page;mso-position-vertical-relative:page;position:absolute;rotation:315;z-index:-251648000" o:allowincell="f" filled="t" fillcolor="#bf504d" stroked="f">
          <v:fill opacity="3855f"/>
          <v:textpath style="font-family:SimHei;font-size:30pt;mso-text-shadow:auto;v-text-kern:t" string="丰智库   北大汇丰智库   北大汇丰智库   北大"/>
        </v:shape>
      </w:pict>
    </w:r>
    <w:r>
      <w:pict>
        <v:shape id="_x0000_s2060" type="#_x0000_t136" style="width:415.45pt;height:30.5pt;margin-top:112.59pt;margin-left:-34.73pt;mso-position-horizontal-relative:page;mso-position-vertical-relative:page;position:absolute;rotation:315;z-index:-251646976" o:allowincell="f" filled="t" fillcolor="#bf504d" stroked="f">
          <v:fill opacity="3855f"/>
          <v:textpath style="font-family:SimHei;font-size:30pt;mso-text-shadow:auto;v-text-kern:t" string="北大汇丰智库   北大汇丰智库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61" type="#_x0000_t136" style="width:799.3pt;height:30.5pt;margin-top:503.44pt;margin-left:-107.27pt;mso-position-horizontal-relative:page;mso-position-vertical-relative:page;position:absolute;rotation:315;z-index:-251645952" o:allowincell="f" filled="t" fillcolor="#bf504d" stroked="f">
          <v:fill opacity="3855f"/>
          <v:textpath style="font-family:SimHei;font-size:30pt;mso-text-shadow:auto;v-text-kern:t" string="丰智库   北大汇丰智库   北大汇丰智库   北大汇丰智库"/>
        </v:shape>
      </w:pict>
    </w:r>
    <w:r>
      <w:pict>
        <v:shape id="_x0000_s2062" type="#_x0000_t136" style="width:799.1pt;height:30.5pt;margin-top:314.5pt;margin-left:-88.29pt;mso-position-horizontal-relative:page;mso-position-vertical-relative:page;position:absolute;rotation:315;z-index:-251644928" o:allowincell="f" filled="t" fillcolor="#bf504d" stroked="f">
          <v:fill opacity="3855f"/>
          <v:textpath style="font-family:SimHei;font-size:30pt;mso-text-shadow:auto;v-text-kern:t" string="北大汇丰智库   北大汇丰智库   北大汇丰智库   北大汇"/>
        </v:shape>
      </w:pict>
    </w:r>
    <w:r>
      <w:pict>
        <v:shape id="_x0000_s2063" type="#_x0000_t136" style="width:679.3pt;height:30.5pt;margin-top:208.33pt;margin-left:-92.32pt;mso-position-horizontal-relative:page;mso-position-vertical-relative:page;position:absolute;rotation:315;z-index:-251643904" o:allowincell="f" filled="t" fillcolor="#bf504d" stroked="f">
          <v:fill opacity="3855f"/>
          <v:textpath style="font-family:SimHei;font-size:30pt;mso-text-shadow:auto;v-text-kern:t" string="丰智库   北大汇丰智库   北大汇丰智库   北大"/>
        </v:shape>
      </w:pict>
    </w:r>
    <w:r>
      <w:pict>
        <v:shape id="_x0000_s2064" type="#_x0000_t136" style="width:415.45pt;height:30.5pt;margin-top:112.59pt;margin-left:-34.73pt;mso-position-horizontal-relative:page;mso-position-vertical-relative:page;position:absolute;rotation:315;z-index:-251642880" o:allowincell="f" filled="t" fillcolor="#bf504d" stroked="f">
          <v:fill opacity="3855f"/>
          <v:textpath style="font-family:SimHei;font-size:30pt;mso-text-shadow:auto;v-text-kern:t" string="北大汇丰智库   北大汇丰智库"/>
        </v:shape>
      </w:pict>
    </w:r>
    <w:r>
      <w:pict>
        <v:shape id="_x0000_s2065" type="#_x0000_t136" style="width:678.15pt;height:30.5pt;margin-top:609.29pt;margin-left:17.56pt;mso-position-horizontal-relative:page;mso-position-vertical-relative:page;position:absolute;rotation:315;z-index:-251641856" o:allowincell="f" filled="t" fillcolor="#bf504d" stroked="f">
          <v:fill opacity="3855f"/>
          <v:textpath style="font-family:SimHei;font-size:30pt;mso-text-shadow:auto;v-text-kern:t" string="智库   北大汇丰智库   北大汇丰智库   北大汇"/>
        </v:shape>
      </w:pict>
    </w:r>
    <w:r>
      <w:pict>
        <v:shape id="_x0000_s2066" type="#_x0000_t136" style="width:415.45pt;height:30.5pt;margin-top:705.26pt;margin-left:223.02pt;mso-position-horizontal-relative:page;mso-position-vertical-relative:page;position:absolute;rotation:315;z-index:-251640832" o:allowincell="f" filled="t" fillcolor="#bf504d" stroked="f">
          <v:fill opacity="3855f"/>
          <v:textpath style="font-family:SimHei;font-size:30pt;mso-text-shadow:auto;v-text-kern:t" string="北大汇丰智库   北大汇丰智库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67" type="#_x0000_t136" style="width:799.3pt;height:30.5pt;margin-top:503.44pt;margin-left:-107.27pt;mso-position-horizontal-relative:page;mso-position-vertical-relative:page;position:absolute;rotation:315;z-index:-251639808" o:allowincell="f" filled="t" fillcolor="#bf504d" stroked="f">
          <v:fill opacity="3855f"/>
          <v:textpath style="font-family:SimHei;font-size:30pt;mso-text-shadow:auto;v-text-kern:t" string="丰智库   北大汇丰智库   北大汇丰智库   北大汇丰智库"/>
        </v:shape>
      </w:pict>
    </w:r>
    <w:r>
      <w:pict>
        <v:shape id="_x0000_s2068" type="#_x0000_t136" style="width:799.1pt;height:30.5pt;margin-top:314.5pt;margin-left:-88.29pt;mso-position-horizontal-relative:page;mso-position-vertical-relative:page;position:absolute;rotation:315;z-index:-251638784" o:allowincell="f" filled="t" fillcolor="#bf504d" stroked="f">
          <v:fill opacity="3855f"/>
          <v:textpath style="font-family:SimHei;font-size:30pt;mso-text-shadow:auto;v-text-kern:t" string="北大汇丰智库   北大汇丰智库   北大汇丰智库   北大汇"/>
        </v:shape>
      </w:pict>
    </w:r>
    <w:r>
      <w:pict>
        <v:shape id="_x0000_s2069" type="#_x0000_t136" style="width:679.3pt;height:30.5pt;margin-top:208.33pt;margin-left:-92.32pt;mso-position-horizontal-relative:page;mso-position-vertical-relative:page;position:absolute;rotation:315;z-index:-251637760" o:allowincell="f" filled="t" fillcolor="#bf504d" stroked="f">
          <v:fill opacity="3855f"/>
          <v:textpath style="font-family:SimHei;font-size:30pt;mso-text-shadow:auto;v-text-kern:t" string="丰智库   北大汇丰智库   北大汇丰智库   北大"/>
        </v:shape>
      </w:pict>
    </w:r>
    <w:r>
      <w:pict>
        <v:shape id="_x0000_s2070" type="#_x0000_t136" style="width:415.45pt;height:30.5pt;margin-top:112.59pt;margin-left:-34.73pt;mso-position-horizontal-relative:page;mso-position-vertical-relative:page;position:absolute;rotation:315;z-index:-251636736" o:allowincell="f" filled="t" fillcolor="#bf504d" stroked="f">
          <v:fill opacity="3855f"/>
          <v:textpath style="font-family:SimHei;font-size:30pt;mso-text-shadow:auto;v-text-kern:t" string="北大汇丰智库   北大汇丰智库"/>
        </v:shape>
      </w:pict>
    </w:r>
    <w:r>
      <w:pict>
        <v:shape id="_x0000_s2071" type="#_x0000_t136" style="width:678.15pt;height:30.5pt;margin-top:609.29pt;margin-left:17.56pt;mso-position-horizontal-relative:page;mso-position-vertical-relative:page;position:absolute;rotation:315;z-index:-251635712" o:allowincell="f" filled="t" fillcolor="#bf504d" stroked="f">
          <v:fill opacity="3855f"/>
          <v:textpath style="font-family:SimHei;font-size:30pt;mso-text-shadow:auto;v-text-kern:t" string="智库   北大汇丰智库   北大汇丰智库   北大汇"/>
        </v:shape>
      </w:pict>
    </w:r>
    <w:r>
      <w:pict>
        <v:shape id="_x0000_s2072" type="#_x0000_t136" style="width:415.45pt;height:30.5pt;margin-top:705.26pt;margin-left:223.02pt;mso-position-horizontal-relative:page;mso-position-vertical-relative:page;position:absolute;rotation:315;z-index:-251634688" o:allowincell="f" filled="t" fillcolor="#bf504d" stroked="f">
          <v:fill opacity="3855f"/>
          <v:textpath style="font-family:SimHei;font-size:30pt;mso-text-shadow:auto;v-text-kern:t" string="北大汇丰智库   北大汇丰智库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73" type="#_x0000_t136" style="width:679.3pt;height:30.5pt;margin-top:208.33pt;margin-left:-92.32pt;mso-position-horizontal-relative:page;mso-position-vertical-relative:page;position:absolute;rotation:315;z-index:-251633664" o:allowincell="f" filled="t" fillcolor="#bf504d" stroked="f">
          <v:fill opacity="3855f"/>
          <v:textpath style="font-family:SimHei;font-size:30pt;mso-text-shadow:auto;v-text-kern:t" string="丰智库   北大汇丰智库   北大汇丰智库   北大"/>
        </v:shape>
      </w:pict>
    </w:r>
    <w:r>
      <w:pict>
        <v:shape id="_x0000_s2074" type="#_x0000_t136" style="width:415.45pt;height:30.5pt;margin-top:112.59pt;margin-left:-34.73pt;mso-position-horizontal-relative:page;mso-position-vertical-relative:page;position:absolute;rotation:315;z-index:-251632640" o:allowincell="f" filled="t" fillcolor="#bf504d" stroked="f">
          <v:fill opacity="3855f"/>
          <v:textpath style="font-family:SimHei;font-size:30pt;mso-text-shadow:auto;v-text-kern:t" string="北大汇丰智库   北大汇丰智库"/>
        </v:shape>
      </w:pict>
    </w:r>
    <w:r>
      <w:pict>
        <v:shape id="_x0000_s2075" type="#_x0000_t136" style="width:678.15pt;height:30.5pt;margin-top:609.29pt;margin-left:17.56pt;mso-position-horizontal-relative:page;mso-position-vertical-relative:page;position:absolute;rotation:315;z-index:-251631616" o:allowincell="f" filled="t" fillcolor="#bf504d" stroked="f">
          <v:fill opacity="3855f"/>
          <v:textpath style="font-family:SimHei;font-size:30pt;mso-text-shadow:auto;v-text-kern:t" string="智库   北大汇丰智库   北大汇丰智库   北大汇"/>
        </v:shape>
      </w:pict>
    </w:r>
    <w:r>
      <w:pict>
        <v:shape id="_x0000_s2076" type="#_x0000_t136" style="width:415.45pt;height:30.5pt;margin-top:705.26pt;margin-left:223.02pt;mso-position-horizontal-relative:page;mso-position-vertical-relative:page;position:absolute;rotation:315;z-index:-251630592" o:allowincell="f" filled="t" fillcolor="#bf504d" stroked="f">
          <v:fill opacity="3855f"/>
          <v:textpath style="font-family:SimHei;font-size:30pt;mso-text-shadow:auto;v-text-kern:t" string="北大汇丰智库   北大汇丰智库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77" type="#_x0000_t136" style="width:679.3pt;height:30.5pt;margin-top:208.33pt;margin-left:-92.32pt;mso-position-horizontal-relative:page;mso-position-vertical-relative:page;position:absolute;rotation:315;z-index:-251629568" o:allowincell="f" filled="t" fillcolor="#bf504d" stroked="f">
          <v:fill opacity="3855f"/>
          <v:textpath style="font-family:SimHei;font-size:30pt;mso-text-shadow:auto;v-text-kern:t" string="丰智库   北大汇丰智库   北大汇丰智库   北大"/>
        </v:shape>
      </w:pict>
    </w:r>
    <w:r>
      <w:pict>
        <v:shape id="_x0000_s2078" type="#_x0000_t136" style="width:415.45pt;height:30.5pt;margin-top:112.59pt;margin-left:-34.73pt;mso-position-horizontal-relative:page;mso-position-vertical-relative:page;position:absolute;rotation:315;z-index:-251628544" o:allowincell="f" filled="t" fillcolor="#bf504d" stroked="f">
          <v:fill opacity="3855f"/>
          <v:textpath style="font-family:SimHei;font-size:30pt;mso-text-shadow:auto;v-text-kern:t" string="北大汇丰智库   北大汇丰智库"/>
        </v:shape>
      </w:pict>
    </w:r>
    <w:r>
      <w:pict>
        <v:shape id="_x0000_s2079" type="#_x0000_t136" style="width:678.15pt;height:30.5pt;margin-top:609.29pt;margin-left:17.56pt;mso-position-horizontal-relative:page;mso-position-vertical-relative:page;position:absolute;rotation:315;z-index:-251627520" o:allowincell="f" filled="t" fillcolor="#bf504d" stroked="f">
          <v:fill opacity="3855f"/>
          <v:textpath style="font-family:SimHei;font-size:30pt;mso-text-shadow:auto;v-text-kern:t" string="智库   北大汇丰智库   北大汇丰智库   北大汇"/>
        </v:shape>
      </w:pict>
    </w:r>
    <w:r>
      <w:pict>
        <v:shape id="_x0000_s2080" type="#_x0000_t136" style="width:415.45pt;height:30.5pt;margin-top:705.26pt;margin-left:223.02pt;mso-position-horizontal-relative:page;mso-position-vertical-relative:page;position:absolute;rotation:315;z-index:-251626496" o:allowincell="f" filled="t" fillcolor="#bf504d" stroked="f">
          <v:fill opacity="3855f"/>
          <v:textpath style="font-family:SimHei;font-size:30pt;mso-text-shadow:auto;v-text-kern:t" string="北大汇丰智库   北大汇丰智库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hyperlink" Target="https://d.book118.com/515333104001011040" TargetMode="External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footer" Target="footer7.xml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image" Target="media/image2.png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phbs</dc:creator>
  <cp:revision>0</cp:revision>
  <dcterms:created xsi:type="dcterms:W3CDTF">2024-01-06T20:52:17Z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2024-01-06T21:07:04Z</vt:filetime>
  </property>
  <property fmtid="{D5CDD505-2E9C-101B-9397-08002B2CF9AE}" pid="3" name="CRO">
    <vt:lpwstr>wqlLaW5nc29mdCBQREYgdG8gV1BTIDkw</vt:lpwstr>
  </property>
</Properties>
</file>