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微生物肥料项目规划设计方案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724" w:history="1">
        <w:r>
          <w:rPr>
            <w:rFonts w:ascii="仿宋" w:eastAsia="仿宋" w:hAnsi="仿宋" w:cs="仿宋" w:hint="eastAsia"/>
            <w:lang w:eastAsia="zh-CN"/>
          </w:rPr>
          <w:t>前言</w:t>
        </w:r>
        <w:r>
          <w:tab/>
        </w:r>
        <w:r>
          <w:fldChar w:fldCharType="begin"/>
        </w:r>
        <w:r>
          <w:instrText xml:space="preserve"> PAGEREF _Toc26724 \h </w:instrText>
        </w:r>
        <w:r>
          <w:fldChar w:fldCharType="separate"/>
        </w:r>
        <w:r>
          <w:t>3</w:t>
        </w:r>
        <w:r>
          <w:fldChar w:fldCharType="end"/>
        </w:r>
      </w:hyperlink>
    </w:p>
    <w:p>
      <w:pPr>
        <w:pStyle w:val="TOC1"/>
        <w:tabs>
          <w:tab w:val="right" w:leader="dot" w:pos="8306"/>
        </w:tabs>
      </w:pPr>
      <w:hyperlink w:anchor="_Toc9232" w:history="1">
        <w:r>
          <w:rPr>
            <w:rFonts w:ascii="仿宋" w:eastAsia="仿宋" w:hAnsi="仿宋" w:cs="仿宋" w:hint="eastAsia"/>
            <w:lang w:eastAsia="zh-CN"/>
          </w:rPr>
          <w:t>一、微生物肥料项目绩效评估</w:t>
        </w:r>
        <w:r>
          <w:tab/>
        </w:r>
        <w:r>
          <w:fldChar w:fldCharType="begin"/>
        </w:r>
        <w:r>
          <w:instrText xml:space="preserve"> PAGEREF _Toc9232 \h </w:instrText>
        </w:r>
        <w:r>
          <w:fldChar w:fldCharType="separate"/>
        </w:r>
        <w:r>
          <w:t>3</w:t>
        </w:r>
        <w:r>
          <w:fldChar w:fldCharType="end"/>
        </w:r>
      </w:hyperlink>
    </w:p>
    <w:p>
      <w:pPr>
        <w:pStyle w:val="TOC2"/>
        <w:tabs>
          <w:tab w:val="right" w:leader="dot" w:pos="8306"/>
        </w:tabs>
      </w:pPr>
      <w:hyperlink w:anchor="_Toc8772" w:history="1">
        <w:r>
          <w:rPr>
            <w:rFonts w:ascii="仿宋" w:eastAsia="仿宋" w:hAnsi="仿宋" w:cs="仿宋" w:hint="eastAsia"/>
            <w:lang w:eastAsia="zh-CN"/>
          </w:rPr>
          <w:t>(一)、绩效评估指标</w:t>
        </w:r>
        <w:r>
          <w:tab/>
        </w:r>
        <w:r>
          <w:fldChar w:fldCharType="begin"/>
        </w:r>
        <w:r>
          <w:instrText xml:space="preserve"> PAGEREF _Toc8772 \h </w:instrText>
        </w:r>
        <w:r>
          <w:fldChar w:fldCharType="separate"/>
        </w:r>
        <w:r>
          <w:t>3</w:t>
        </w:r>
        <w:r>
          <w:fldChar w:fldCharType="end"/>
        </w:r>
      </w:hyperlink>
    </w:p>
    <w:p>
      <w:pPr>
        <w:pStyle w:val="TOC2"/>
        <w:tabs>
          <w:tab w:val="right" w:leader="dot" w:pos="8306"/>
        </w:tabs>
      </w:pPr>
      <w:hyperlink w:anchor="_Toc25008" w:history="1">
        <w:r>
          <w:rPr>
            <w:rFonts w:ascii="仿宋" w:eastAsia="仿宋" w:hAnsi="仿宋" w:cs="仿宋" w:hint="eastAsia"/>
            <w:lang w:eastAsia="zh-CN"/>
          </w:rPr>
          <w:t>(二)、绩效评估方法</w:t>
        </w:r>
        <w:r>
          <w:tab/>
        </w:r>
        <w:r>
          <w:fldChar w:fldCharType="begin"/>
        </w:r>
        <w:r>
          <w:instrText xml:space="preserve"> PAGEREF _Toc25008 \h </w:instrText>
        </w:r>
        <w:r>
          <w:fldChar w:fldCharType="separate"/>
        </w:r>
        <w:r>
          <w:t>4</w:t>
        </w:r>
        <w:r>
          <w:fldChar w:fldCharType="end"/>
        </w:r>
      </w:hyperlink>
    </w:p>
    <w:p>
      <w:pPr>
        <w:pStyle w:val="TOC2"/>
        <w:tabs>
          <w:tab w:val="right" w:leader="dot" w:pos="8306"/>
        </w:tabs>
      </w:pPr>
      <w:hyperlink w:anchor="_Toc19523" w:history="1">
        <w:r>
          <w:rPr>
            <w:rFonts w:ascii="仿宋" w:eastAsia="仿宋" w:hAnsi="仿宋" w:cs="仿宋" w:hint="eastAsia"/>
            <w:lang w:eastAsia="zh-CN"/>
          </w:rPr>
          <w:t>(三)、绩效评估周期</w:t>
        </w:r>
        <w:r>
          <w:tab/>
        </w:r>
        <w:r>
          <w:fldChar w:fldCharType="begin"/>
        </w:r>
        <w:r>
          <w:instrText xml:space="preserve"> PAGEREF _Toc19523 \h </w:instrText>
        </w:r>
        <w:r>
          <w:fldChar w:fldCharType="separate"/>
        </w:r>
        <w:r>
          <w:t>5</w:t>
        </w:r>
        <w:r>
          <w:fldChar w:fldCharType="end"/>
        </w:r>
      </w:hyperlink>
    </w:p>
    <w:p>
      <w:pPr>
        <w:pStyle w:val="TOC1"/>
        <w:tabs>
          <w:tab w:val="right" w:leader="dot" w:pos="8306"/>
        </w:tabs>
      </w:pPr>
      <w:hyperlink w:anchor="_Toc19770" w:history="1">
        <w:r>
          <w:rPr>
            <w:rFonts w:ascii="仿宋" w:eastAsia="仿宋" w:hAnsi="仿宋" w:cs="仿宋" w:hint="eastAsia"/>
            <w:lang w:eastAsia="zh-CN"/>
          </w:rPr>
          <w:t>二、市场分析、调研</w:t>
        </w:r>
        <w:r>
          <w:tab/>
        </w:r>
        <w:r>
          <w:fldChar w:fldCharType="begin"/>
        </w:r>
        <w:r>
          <w:instrText xml:space="preserve"> PAGEREF _Toc19770 \h </w:instrText>
        </w:r>
        <w:r>
          <w:fldChar w:fldCharType="separate"/>
        </w:r>
        <w:r>
          <w:t>6</w:t>
        </w:r>
        <w:r>
          <w:fldChar w:fldCharType="end"/>
        </w:r>
      </w:hyperlink>
    </w:p>
    <w:p>
      <w:pPr>
        <w:pStyle w:val="TOC2"/>
        <w:tabs>
          <w:tab w:val="right" w:leader="dot" w:pos="8306"/>
        </w:tabs>
      </w:pPr>
      <w:hyperlink w:anchor="_Toc5811" w:history="1">
        <w:r>
          <w:rPr>
            <w:rFonts w:ascii="仿宋" w:eastAsia="仿宋" w:hAnsi="仿宋" w:cs="仿宋" w:hint="eastAsia"/>
            <w:lang w:eastAsia="zh-CN"/>
          </w:rPr>
          <w:t>(一)、微生物肥料行业分析</w:t>
        </w:r>
        <w:r>
          <w:tab/>
        </w:r>
        <w:r>
          <w:fldChar w:fldCharType="begin"/>
        </w:r>
        <w:r>
          <w:instrText xml:space="preserve"> PAGEREF _Toc5811 \h </w:instrText>
        </w:r>
        <w:r>
          <w:fldChar w:fldCharType="separate"/>
        </w:r>
        <w:r>
          <w:t>6</w:t>
        </w:r>
        <w:r>
          <w:fldChar w:fldCharType="end"/>
        </w:r>
      </w:hyperlink>
    </w:p>
    <w:p>
      <w:pPr>
        <w:pStyle w:val="TOC2"/>
        <w:tabs>
          <w:tab w:val="right" w:leader="dot" w:pos="8306"/>
        </w:tabs>
      </w:pPr>
      <w:hyperlink w:anchor="_Toc27103" w:history="1">
        <w:r>
          <w:rPr>
            <w:rFonts w:ascii="仿宋" w:eastAsia="仿宋" w:hAnsi="仿宋" w:cs="仿宋" w:hint="eastAsia"/>
            <w:lang w:eastAsia="zh-CN"/>
          </w:rPr>
          <w:t>(二)、微生物肥料市场分析预测</w:t>
        </w:r>
        <w:r>
          <w:tab/>
        </w:r>
        <w:r>
          <w:fldChar w:fldCharType="begin"/>
        </w:r>
        <w:r>
          <w:instrText xml:space="preserve"> PAGEREF _Toc27103 \h </w:instrText>
        </w:r>
        <w:r>
          <w:fldChar w:fldCharType="separate"/>
        </w:r>
        <w:r>
          <w:t>7</w:t>
        </w:r>
        <w:r>
          <w:fldChar w:fldCharType="end"/>
        </w:r>
      </w:hyperlink>
    </w:p>
    <w:p>
      <w:pPr>
        <w:pStyle w:val="TOC1"/>
        <w:tabs>
          <w:tab w:val="right" w:leader="dot" w:pos="8306"/>
        </w:tabs>
      </w:pPr>
      <w:hyperlink w:anchor="_Toc25475" w:history="1">
        <w:r>
          <w:rPr>
            <w:rFonts w:ascii="仿宋" w:eastAsia="仿宋" w:hAnsi="仿宋" w:cs="仿宋" w:hint="eastAsia"/>
            <w:lang w:eastAsia="zh-CN"/>
          </w:rPr>
          <w:t>三、微生物肥料项目概论</w:t>
        </w:r>
        <w:r>
          <w:tab/>
        </w:r>
        <w:r>
          <w:fldChar w:fldCharType="begin"/>
        </w:r>
        <w:r>
          <w:instrText xml:space="preserve"> PAGEREF _Toc25475 \h </w:instrText>
        </w:r>
        <w:r>
          <w:fldChar w:fldCharType="separate"/>
        </w:r>
        <w:r>
          <w:t>8</w:t>
        </w:r>
        <w:r>
          <w:fldChar w:fldCharType="end"/>
        </w:r>
      </w:hyperlink>
    </w:p>
    <w:p>
      <w:pPr>
        <w:pStyle w:val="TOC2"/>
        <w:tabs>
          <w:tab w:val="right" w:leader="dot" w:pos="8306"/>
        </w:tabs>
      </w:pPr>
      <w:hyperlink w:anchor="_Toc22348" w:history="1">
        <w:r>
          <w:rPr>
            <w:rFonts w:ascii="仿宋" w:eastAsia="仿宋" w:hAnsi="仿宋" w:cs="仿宋" w:hint="eastAsia"/>
            <w:lang w:eastAsia="zh-CN"/>
          </w:rPr>
          <w:t>(一)、微生物肥料项目概况</w:t>
        </w:r>
        <w:r>
          <w:tab/>
        </w:r>
        <w:r>
          <w:fldChar w:fldCharType="begin"/>
        </w:r>
        <w:r>
          <w:instrText xml:space="preserve"> PAGEREF _Toc22348 \h </w:instrText>
        </w:r>
        <w:r>
          <w:fldChar w:fldCharType="separate"/>
        </w:r>
        <w:r>
          <w:t>8</w:t>
        </w:r>
        <w:r>
          <w:fldChar w:fldCharType="end"/>
        </w:r>
      </w:hyperlink>
    </w:p>
    <w:p>
      <w:pPr>
        <w:pStyle w:val="TOC2"/>
        <w:tabs>
          <w:tab w:val="right" w:leader="dot" w:pos="8306"/>
        </w:tabs>
      </w:pPr>
      <w:hyperlink w:anchor="_Toc27456" w:history="1">
        <w:r>
          <w:rPr>
            <w:rFonts w:ascii="仿宋" w:eastAsia="仿宋" w:hAnsi="仿宋" w:cs="仿宋" w:hint="eastAsia"/>
            <w:lang w:eastAsia="zh-CN"/>
          </w:rPr>
          <w:t>(二)、微生物肥料项目目标</w:t>
        </w:r>
        <w:r>
          <w:tab/>
        </w:r>
        <w:r>
          <w:fldChar w:fldCharType="begin"/>
        </w:r>
        <w:r>
          <w:instrText xml:space="preserve"> PAGEREF _Toc27456 \h </w:instrText>
        </w:r>
        <w:r>
          <w:fldChar w:fldCharType="separate"/>
        </w:r>
        <w:r>
          <w:t>10</w:t>
        </w:r>
        <w:r>
          <w:fldChar w:fldCharType="end"/>
        </w:r>
      </w:hyperlink>
    </w:p>
    <w:p>
      <w:pPr>
        <w:pStyle w:val="TOC2"/>
        <w:tabs>
          <w:tab w:val="right" w:leader="dot" w:pos="8306"/>
        </w:tabs>
      </w:pPr>
      <w:hyperlink w:anchor="_Toc27945" w:history="1">
        <w:r>
          <w:rPr>
            <w:rFonts w:ascii="仿宋" w:eastAsia="仿宋" w:hAnsi="仿宋" w:cs="仿宋" w:hint="eastAsia"/>
            <w:lang w:eastAsia="zh-CN"/>
          </w:rPr>
          <w:t>(三)、微生物肥料项目提出的理由</w:t>
        </w:r>
        <w:r>
          <w:tab/>
        </w:r>
        <w:r>
          <w:fldChar w:fldCharType="begin"/>
        </w:r>
        <w:r>
          <w:instrText xml:space="preserve"> PAGEREF _Toc27945 \h </w:instrText>
        </w:r>
        <w:r>
          <w:fldChar w:fldCharType="separate"/>
        </w:r>
        <w:r>
          <w:t>11</w:t>
        </w:r>
        <w:r>
          <w:fldChar w:fldCharType="end"/>
        </w:r>
      </w:hyperlink>
    </w:p>
    <w:p>
      <w:pPr>
        <w:pStyle w:val="TOC2"/>
        <w:tabs>
          <w:tab w:val="right" w:leader="dot" w:pos="8306"/>
        </w:tabs>
      </w:pPr>
      <w:hyperlink w:anchor="_Toc19223" w:history="1">
        <w:r>
          <w:rPr>
            <w:rFonts w:ascii="仿宋" w:eastAsia="仿宋" w:hAnsi="仿宋" w:cs="仿宋" w:hint="eastAsia"/>
            <w:lang w:eastAsia="zh-CN"/>
          </w:rPr>
          <w:t>(四)、微生物肥料项目意义</w:t>
        </w:r>
        <w:r>
          <w:tab/>
        </w:r>
        <w:r>
          <w:fldChar w:fldCharType="begin"/>
        </w:r>
        <w:r>
          <w:instrText xml:space="preserve"> PAGEREF _Toc19223 \h </w:instrText>
        </w:r>
        <w:r>
          <w:fldChar w:fldCharType="separate"/>
        </w:r>
        <w:r>
          <w:t>13</w:t>
        </w:r>
        <w:r>
          <w:fldChar w:fldCharType="end"/>
        </w:r>
      </w:hyperlink>
    </w:p>
    <w:p>
      <w:pPr>
        <w:pStyle w:val="TOC2"/>
        <w:tabs>
          <w:tab w:val="right" w:leader="dot" w:pos="8306"/>
        </w:tabs>
      </w:pPr>
      <w:hyperlink w:anchor="_Toc28547" w:history="1">
        <w:r>
          <w:rPr>
            <w:rFonts w:ascii="仿宋" w:eastAsia="仿宋" w:hAnsi="仿宋" w:cs="仿宋" w:hint="eastAsia"/>
            <w:lang w:eastAsia="zh-CN"/>
          </w:rPr>
          <w:t>(五)、微生物肥料项目背景</w:t>
        </w:r>
        <w:r>
          <w:tab/>
        </w:r>
        <w:r>
          <w:fldChar w:fldCharType="begin"/>
        </w:r>
        <w:r>
          <w:instrText xml:space="preserve"> PAGEREF _Toc28547 \h </w:instrText>
        </w:r>
        <w:r>
          <w:fldChar w:fldCharType="separate"/>
        </w:r>
        <w:r>
          <w:t>13</w:t>
        </w:r>
        <w:r>
          <w:fldChar w:fldCharType="end"/>
        </w:r>
      </w:hyperlink>
    </w:p>
    <w:p>
      <w:pPr>
        <w:pStyle w:val="TOC1"/>
        <w:tabs>
          <w:tab w:val="right" w:leader="dot" w:pos="8306"/>
        </w:tabs>
      </w:pPr>
      <w:hyperlink w:anchor="_Toc19467" w:history="1">
        <w:r>
          <w:rPr>
            <w:rFonts w:ascii="仿宋" w:eastAsia="仿宋" w:hAnsi="仿宋" w:cs="仿宋" w:hint="eastAsia"/>
            <w:lang w:eastAsia="zh-CN"/>
          </w:rPr>
          <w:t>四、微生物肥料项目选址可行性分析</w:t>
        </w:r>
        <w:r>
          <w:tab/>
        </w:r>
        <w:r>
          <w:fldChar w:fldCharType="begin"/>
        </w:r>
        <w:r>
          <w:instrText xml:space="preserve"> PAGEREF _Toc19467 \h </w:instrText>
        </w:r>
        <w:r>
          <w:fldChar w:fldCharType="separate"/>
        </w:r>
        <w:r>
          <w:t>14</w:t>
        </w:r>
        <w:r>
          <w:fldChar w:fldCharType="end"/>
        </w:r>
      </w:hyperlink>
    </w:p>
    <w:p>
      <w:pPr>
        <w:pStyle w:val="TOC2"/>
        <w:tabs>
          <w:tab w:val="right" w:leader="dot" w:pos="8306"/>
        </w:tabs>
      </w:pPr>
      <w:hyperlink w:anchor="_Toc3004" w:history="1">
        <w:r>
          <w:rPr>
            <w:rFonts w:ascii="仿宋" w:eastAsia="仿宋" w:hAnsi="仿宋" w:cs="仿宋" w:hint="eastAsia"/>
            <w:lang w:eastAsia="zh-CN"/>
          </w:rPr>
          <w:t>(一)、微生物肥料项目选址</w:t>
        </w:r>
        <w:r>
          <w:tab/>
        </w:r>
        <w:r>
          <w:fldChar w:fldCharType="begin"/>
        </w:r>
        <w:r>
          <w:instrText xml:space="preserve"> PAGEREF _Toc3004 \h </w:instrText>
        </w:r>
        <w:r>
          <w:fldChar w:fldCharType="separate"/>
        </w:r>
        <w:r>
          <w:t>14</w:t>
        </w:r>
        <w:r>
          <w:fldChar w:fldCharType="end"/>
        </w:r>
      </w:hyperlink>
    </w:p>
    <w:p>
      <w:pPr>
        <w:pStyle w:val="TOC2"/>
        <w:tabs>
          <w:tab w:val="right" w:leader="dot" w:pos="8306"/>
        </w:tabs>
      </w:pPr>
      <w:hyperlink w:anchor="_Toc29884" w:history="1">
        <w:r>
          <w:rPr>
            <w:rFonts w:ascii="仿宋" w:eastAsia="仿宋" w:hAnsi="仿宋" w:cs="仿宋" w:hint="eastAsia"/>
            <w:lang w:eastAsia="zh-CN"/>
          </w:rPr>
          <w:t>(二)、用地控制指标</w:t>
        </w:r>
        <w:r>
          <w:tab/>
        </w:r>
        <w:r>
          <w:fldChar w:fldCharType="begin"/>
        </w:r>
        <w:r>
          <w:instrText xml:space="preserve"> PAGEREF _Toc29884 \h </w:instrText>
        </w:r>
        <w:r>
          <w:fldChar w:fldCharType="separate"/>
        </w:r>
        <w:r>
          <w:t>14</w:t>
        </w:r>
        <w:r>
          <w:fldChar w:fldCharType="end"/>
        </w:r>
      </w:hyperlink>
    </w:p>
    <w:p>
      <w:pPr>
        <w:pStyle w:val="TOC2"/>
        <w:tabs>
          <w:tab w:val="right" w:leader="dot" w:pos="8306"/>
        </w:tabs>
      </w:pPr>
      <w:hyperlink w:anchor="_Toc2480" w:history="1">
        <w:r>
          <w:rPr>
            <w:rFonts w:ascii="仿宋" w:eastAsia="仿宋" w:hAnsi="仿宋" w:cs="仿宋" w:hint="eastAsia"/>
            <w:lang w:eastAsia="zh-CN"/>
          </w:rPr>
          <w:t>(三)、节约用地措施</w:t>
        </w:r>
        <w:r>
          <w:tab/>
        </w:r>
        <w:r>
          <w:fldChar w:fldCharType="begin"/>
        </w:r>
        <w:r>
          <w:instrText xml:space="preserve"> PAGEREF _Toc2480 \h </w:instrText>
        </w:r>
        <w:r>
          <w:fldChar w:fldCharType="separate"/>
        </w:r>
        <w:r>
          <w:t>16</w:t>
        </w:r>
        <w:r>
          <w:fldChar w:fldCharType="end"/>
        </w:r>
      </w:hyperlink>
    </w:p>
    <w:p>
      <w:pPr>
        <w:pStyle w:val="TOC2"/>
        <w:tabs>
          <w:tab w:val="right" w:leader="dot" w:pos="8306"/>
        </w:tabs>
      </w:pPr>
      <w:hyperlink w:anchor="_Toc17003" w:history="1">
        <w:r>
          <w:rPr>
            <w:rFonts w:ascii="仿宋" w:eastAsia="仿宋" w:hAnsi="仿宋" w:cs="仿宋" w:hint="eastAsia"/>
            <w:lang w:eastAsia="zh-CN"/>
          </w:rPr>
          <w:t>(四)、总图布置方案</w:t>
        </w:r>
        <w:r>
          <w:tab/>
        </w:r>
        <w:r>
          <w:fldChar w:fldCharType="begin"/>
        </w:r>
        <w:r>
          <w:instrText xml:space="preserve"> PAGEREF _Toc17003 \h </w:instrText>
        </w:r>
        <w:r>
          <w:fldChar w:fldCharType="separate"/>
        </w:r>
        <w:r>
          <w:t>17</w:t>
        </w:r>
        <w:r>
          <w:fldChar w:fldCharType="end"/>
        </w:r>
      </w:hyperlink>
    </w:p>
    <w:p>
      <w:pPr>
        <w:pStyle w:val="TOC2"/>
        <w:tabs>
          <w:tab w:val="right" w:leader="dot" w:pos="8306"/>
        </w:tabs>
      </w:pPr>
      <w:hyperlink w:anchor="_Toc15141" w:history="1">
        <w:r>
          <w:rPr>
            <w:rFonts w:ascii="仿宋" w:eastAsia="仿宋" w:hAnsi="仿宋" w:cs="仿宋" w:hint="eastAsia"/>
            <w:lang w:eastAsia="zh-CN"/>
          </w:rPr>
          <w:t>(五)、选址综合评价</w:t>
        </w:r>
        <w:r>
          <w:tab/>
        </w:r>
        <w:r>
          <w:fldChar w:fldCharType="begin"/>
        </w:r>
        <w:r>
          <w:instrText xml:space="preserve"> PAGEREF _Toc15141 \h </w:instrText>
        </w:r>
        <w:r>
          <w:fldChar w:fldCharType="separate"/>
        </w:r>
        <w:r>
          <w:t>18</w:t>
        </w:r>
        <w:r>
          <w:fldChar w:fldCharType="end"/>
        </w:r>
      </w:hyperlink>
    </w:p>
    <w:p>
      <w:pPr>
        <w:pStyle w:val="TOC1"/>
        <w:tabs>
          <w:tab w:val="right" w:leader="dot" w:pos="8306"/>
        </w:tabs>
      </w:pPr>
      <w:hyperlink w:anchor="_Toc2852" w:history="1">
        <w:r>
          <w:rPr>
            <w:rFonts w:ascii="仿宋" w:eastAsia="仿宋" w:hAnsi="仿宋" w:cs="仿宋" w:hint="eastAsia"/>
            <w:lang w:eastAsia="zh-CN"/>
          </w:rPr>
          <w:t>五、微生物肥料项目危机管理</w:t>
        </w:r>
        <w:r>
          <w:tab/>
        </w:r>
        <w:r>
          <w:fldChar w:fldCharType="begin"/>
        </w:r>
        <w:r>
          <w:instrText xml:space="preserve"> PAGEREF _Toc2852 \h </w:instrText>
        </w:r>
        <w:r>
          <w:fldChar w:fldCharType="separate"/>
        </w:r>
        <w:r>
          <w:t>20</w:t>
        </w:r>
        <w:r>
          <w:fldChar w:fldCharType="end"/>
        </w:r>
      </w:hyperlink>
    </w:p>
    <w:p>
      <w:pPr>
        <w:pStyle w:val="TOC2"/>
        <w:tabs>
          <w:tab w:val="right" w:leader="dot" w:pos="8306"/>
        </w:tabs>
      </w:pPr>
      <w:hyperlink w:anchor="_Toc17363" w:history="1">
        <w:r>
          <w:rPr>
            <w:rFonts w:ascii="仿宋" w:eastAsia="仿宋" w:hAnsi="仿宋" w:cs="仿宋" w:hint="eastAsia"/>
            <w:lang w:eastAsia="zh-CN"/>
          </w:rPr>
          <w:t>(一)、危机预警与识别</w:t>
        </w:r>
        <w:r>
          <w:tab/>
        </w:r>
        <w:r>
          <w:fldChar w:fldCharType="begin"/>
        </w:r>
        <w:r>
          <w:instrText xml:space="preserve"> PAGEREF _Toc17363 \h </w:instrText>
        </w:r>
        <w:r>
          <w:fldChar w:fldCharType="separate"/>
        </w:r>
        <w:r>
          <w:t>20</w:t>
        </w:r>
        <w:r>
          <w:fldChar w:fldCharType="end"/>
        </w:r>
      </w:hyperlink>
    </w:p>
    <w:p>
      <w:pPr>
        <w:pStyle w:val="TOC2"/>
        <w:tabs>
          <w:tab w:val="right" w:leader="dot" w:pos="8306"/>
        </w:tabs>
      </w:pPr>
      <w:hyperlink w:anchor="_Toc23092" w:history="1">
        <w:r>
          <w:rPr>
            <w:rFonts w:ascii="仿宋" w:eastAsia="仿宋" w:hAnsi="仿宋" w:cs="仿宋" w:hint="eastAsia"/>
            <w:lang w:eastAsia="zh-CN"/>
          </w:rPr>
          <w:t>(二)、危机应对与恢复</w:t>
        </w:r>
        <w:r>
          <w:tab/>
        </w:r>
        <w:r>
          <w:fldChar w:fldCharType="begin"/>
        </w:r>
        <w:r>
          <w:instrText xml:space="preserve"> PAGEREF _Toc23092 \h </w:instrText>
        </w:r>
        <w:r>
          <w:fldChar w:fldCharType="separate"/>
        </w:r>
        <w:r>
          <w:t>21</w:t>
        </w:r>
        <w:r>
          <w:fldChar w:fldCharType="end"/>
        </w:r>
      </w:hyperlink>
    </w:p>
    <w:p>
      <w:pPr>
        <w:pStyle w:val="TOC1"/>
        <w:tabs>
          <w:tab w:val="right" w:leader="dot" w:pos="8306"/>
        </w:tabs>
      </w:pPr>
      <w:hyperlink w:anchor="_Toc26235" w:history="1">
        <w:r>
          <w:rPr>
            <w:rFonts w:ascii="仿宋" w:eastAsia="仿宋" w:hAnsi="仿宋" w:cs="仿宋" w:hint="eastAsia"/>
            <w:lang w:eastAsia="zh-CN"/>
          </w:rPr>
          <w:t>六、微生物肥料项目建设背景及必要性分析</w:t>
        </w:r>
        <w:r>
          <w:tab/>
        </w:r>
        <w:r>
          <w:fldChar w:fldCharType="begin"/>
        </w:r>
        <w:r>
          <w:instrText xml:space="preserve"> PAGEREF _Toc26235 \h </w:instrText>
        </w:r>
        <w:r>
          <w:fldChar w:fldCharType="separate"/>
        </w:r>
        <w:r>
          <w:t>22</w:t>
        </w:r>
        <w:r>
          <w:fldChar w:fldCharType="end"/>
        </w:r>
      </w:hyperlink>
    </w:p>
    <w:p>
      <w:pPr>
        <w:pStyle w:val="TOC2"/>
        <w:tabs>
          <w:tab w:val="right" w:leader="dot" w:pos="8306"/>
        </w:tabs>
      </w:pPr>
      <w:hyperlink w:anchor="_Toc24916" w:history="1">
        <w:r>
          <w:rPr>
            <w:rFonts w:ascii="仿宋" w:eastAsia="仿宋" w:hAnsi="仿宋" w:cs="仿宋" w:hint="eastAsia"/>
            <w:lang w:eastAsia="zh-CN"/>
          </w:rPr>
          <w:t>(一)、微生物肥料项目背景分析</w:t>
        </w:r>
        <w:r>
          <w:tab/>
        </w:r>
        <w:r>
          <w:fldChar w:fldCharType="begin"/>
        </w:r>
        <w:r>
          <w:instrText xml:space="preserve"> PAGEREF _Toc24916 \h </w:instrText>
        </w:r>
        <w:r>
          <w:fldChar w:fldCharType="separate"/>
        </w:r>
        <w:r>
          <w:t>22</w:t>
        </w:r>
        <w:r>
          <w:fldChar w:fldCharType="end"/>
        </w:r>
      </w:hyperlink>
    </w:p>
    <w:p>
      <w:pPr>
        <w:pStyle w:val="TOC2"/>
        <w:tabs>
          <w:tab w:val="right" w:leader="dot" w:pos="8306"/>
        </w:tabs>
      </w:pPr>
      <w:hyperlink w:anchor="_Toc10218" w:history="1">
        <w:r>
          <w:rPr>
            <w:rFonts w:ascii="仿宋" w:eastAsia="仿宋" w:hAnsi="仿宋" w:cs="仿宋" w:hint="eastAsia"/>
            <w:lang w:eastAsia="zh-CN"/>
          </w:rPr>
          <w:t>(二)、微生物肥料项目建设必要性分析</w:t>
        </w:r>
        <w:r>
          <w:tab/>
        </w:r>
        <w:r>
          <w:fldChar w:fldCharType="begin"/>
        </w:r>
        <w:r>
          <w:instrText xml:space="preserve"> PAGEREF _Toc10218 \h </w:instrText>
        </w:r>
        <w:r>
          <w:fldChar w:fldCharType="separate"/>
        </w:r>
        <w:r>
          <w:t>24</w:t>
        </w:r>
        <w:r>
          <w:fldChar w:fldCharType="end"/>
        </w:r>
      </w:hyperlink>
    </w:p>
    <w:p>
      <w:pPr>
        <w:pStyle w:val="TOC1"/>
        <w:tabs>
          <w:tab w:val="right" w:leader="dot" w:pos="8306"/>
        </w:tabs>
      </w:pPr>
      <w:hyperlink w:anchor="_Toc11317" w:history="1">
        <w:r>
          <w:rPr>
            <w:rFonts w:ascii="仿宋" w:eastAsia="仿宋" w:hAnsi="仿宋" w:cs="仿宋" w:hint="eastAsia"/>
            <w:lang w:eastAsia="zh-CN"/>
          </w:rPr>
          <w:t>七、微生物肥料项目人力资源管理</w:t>
        </w:r>
        <w:r>
          <w:tab/>
        </w:r>
        <w:r>
          <w:fldChar w:fldCharType="begin"/>
        </w:r>
        <w:r>
          <w:instrText xml:space="preserve"> PAGEREF _Toc11317 \h </w:instrText>
        </w:r>
        <w:r>
          <w:fldChar w:fldCharType="separate"/>
        </w:r>
        <w:r>
          <w:t>25</w:t>
        </w:r>
        <w:r>
          <w:fldChar w:fldCharType="end"/>
        </w:r>
      </w:hyperlink>
    </w:p>
    <w:p>
      <w:pPr>
        <w:pStyle w:val="TOC2"/>
        <w:tabs>
          <w:tab w:val="right" w:leader="dot" w:pos="8306"/>
        </w:tabs>
      </w:pPr>
      <w:hyperlink w:anchor="_Toc24282" w:history="1">
        <w:r>
          <w:rPr>
            <w:rFonts w:ascii="仿宋" w:eastAsia="仿宋" w:hAnsi="仿宋" w:cs="仿宋" w:hint="eastAsia"/>
            <w:lang w:eastAsia="zh-CN"/>
          </w:rPr>
          <w:t>(一)、建立健全的预算管理制度</w:t>
        </w:r>
        <w:r>
          <w:tab/>
        </w:r>
        <w:r>
          <w:fldChar w:fldCharType="begin"/>
        </w:r>
        <w:r>
          <w:instrText xml:space="preserve"> PAGEREF _Toc24282 \h </w:instrText>
        </w:r>
        <w:r>
          <w:fldChar w:fldCharType="separate"/>
        </w:r>
        <w:r>
          <w:t>25</w:t>
        </w:r>
        <w:r>
          <w:fldChar w:fldCharType="end"/>
        </w:r>
      </w:hyperlink>
    </w:p>
    <w:p>
      <w:pPr>
        <w:pStyle w:val="TOC2"/>
        <w:tabs>
          <w:tab w:val="right" w:leader="dot" w:pos="8306"/>
        </w:tabs>
      </w:pPr>
      <w:hyperlink w:anchor="_Toc29003" w:history="1">
        <w:r>
          <w:rPr>
            <w:rFonts w:ascii="仿宋" w:eastAsia="仿宋" w:hAnsi="仿宋" w:cs="仿宋" w:hint="eastAsia"/>
            <w:lang w:eastAsia="zh-CN"/>
          </w:rPr>
          <w:t>(二)、加强资金流动监控</w:t>
        </w:r>
        <w:r>
          <w:tab/>
        </w:r>
        <w:r>
          <w:fldChar w:fldCharType="begin"/>
        </w:r>
        <w:r>
          <w:instrText xml:space="preserve"> PAGEREF _Toc29003 \h </w:instrText>
        </w:r>
        <w:r>
          <w:fldChar w:fldCharType="separate"/>
        </w:r>
        <w:r>
          <w:t>27</w:t>
        </w:r>
        <w:r>
          <w:fldChar w:fldCharType="end"/>
        </w:r>
      </w:hyperlink>
    </w:p>
    <w:p>
      <w:pPr>
        <w:pStyle w:val="TOC2"/>
        <w:tabs>
          <w:tab w:val="right" w:leader="dot" w:pos="8306"/>
        </w:tabs>
      </w:pPr>
      <w:hyperlink w:anchor="_Toc16395" w:history="1">
        <w:r>
          <w:rPr>
            <w:rFonts w:ascii="仿宋" w:eastAsia="仿宋" w:hAnsi="仿宋" w:cs="仿宋" w:hint="eastAsia"/>
            <w:lang w:eastAsia="zh-CN"/>
          </w:rPr>
          <w:t>(三)、制定完善的风险控制机制</w:t>
        </w:r>
        <w:r>
          <w:tab/>
        </w:r>
        <w:r>
          <w:fldChar w:fldCharType="begin"/>
        </w:r>
        <w:r>
          <w:instrText xml:space="preserve"> PAGEREF _Toc16395 \h </w:instrText>
        </w:r>
        <w:r>
          <w:fldChar w:fldCharType="separate"/>
        </w:r>
        <w:r>
          <w:t>28</w:t>
        </w:r>
        <w:r>
          <w:fldChar w:fldCharType="end"/>
        </w:r>
      </w:hyperlink>
    </w:p>
    <w:p>
      <w:pPr>
        <w:pStyle w:val="TOC2"/>
        <w:tabs>
          <w:tab w:val="right" w:leader="dot" w:pos="8306"/>
        </w:tabs>
      </w:pPr>
      <w:hyperlink w:anchor="_Toc29189" w:history="1">
        <w:r>
          <w:rPr>
            <w:rFonts w:ascii="仿宋" w:eastAsia="仿宋" w:hAnsi="仿宋" w:cs="仿宋" w:hint="eastAsia"/>
            <w:lang w:eastAsia="zh-CN"/>
          </w:rPr>
          <w:t>(四)、优化成本管理</w:t>
        </w:r>
        <w:r>
          <w:tab/>
        </w:r>
        <w:r>
          <w:fldChar w:fldCharType="begin"/>
        </w:r>
        <w:r>
          <w:instrText xml:space="preserve"> PAGEREF _Toc29189 \h </w:instrText>
        </w:r>
        <w:r>
          <w:fldChar w:fldCharType="separate"/>
        </w:r>
        <w:r>
          <w:t>29</w:t>
        </w:r>
        <w:r>
          <w:fldChar w:fldCharType="end"/>
        </w:r>
      </w:hyperlink>
    </w:p>
    <w:p>
      <w:pPr>
        <w:pStyle w:val="TOC1"/>
        <w:tabs>
          <w:tab w:val="right" w:leader="dot" w:pos="8306"/>
        </w:tabs>
      </w:pPr>
      <w:hyperlink w:anchor="_Toc12307" w:history="1">
        <w:r>
          <w:rPr>
            <w:rFonts w:ascii="仿宋" w:eastAsia="仿宋" w:hAnsi="仿宋" w:cs="仿宋" w:hint="eastAsia"/>
            <w:lang w:eastAsia="zh-CN"/>
          </w:rPr>
          <w:t>八、微生物肥料项目经营效益</w:t>
        </w:r>
        <w:r>
          <w:tab/>
        </w:r>
        <w:r>
          <w:fldChar w:fldCharType="begin"/>
        </w:r>
        <w:r>
          <w:instrText xml:space="preserve"> PAGEREF _Toc12307 \h </w:instrText>
        </w:r>
        <w:r>
          <w:fldChar w:fldCharType="separate"/>
        </w:r>
        <w:r>
          <w:t>31</w:t>
        </w:r>
        <w:r>
          <w:fldChar w:fldCharType="end"/>
        </w:r>
      </w:hyperlink>
    </w:p>
    <w:p>
      <w:pPr>
        <w:pStyle w:val="TOC2"/>
        <w:tabs>
          <w:tab w:val="right" w:leader="dot" w:pos="8306"/>
        </w:tabs>
      </w:pPr>
      <w:hyperlink w:anchor="_Toc11748" w:history="1">
        <w:r>
          <w:rPr>
            <w:rFonts w:ascii="仿宋" w:eastAsia="仿宋" w:hAnsi="仿宋" w:cs="仿宋" w:hint="eastAsia"/>
            <w:lang w:eastAsia="zh-CN"/>
          </w:rPr>
          <w:t>(一)、经济评价财务测算</w:t>
        </w:r>
        <w:r>
          <w:tab/>
        </w:r>
        <w:r>
          <w:fldChar w:fldCharType="begin"/>
        </w:r>
        <w:r>
          <w:instrText xml:space="preserve"> PAGEREF _Toc11748 \h </w:instrText>
        </w:r>
        <w:r>
          <w:fldChar w:fldCharType="separate"/>
        </w:r>
        <w:r>
          <w:t>31</w:t>
        </w:r>
        <w:r>
          <w:fldChar w:fldCharType="end"/>
        </w:r>
      </w:hyperlink>
    </w:p>
    <w:p>
      <w:pPr>
        <w:pStyle w:val="TOC2"/>
        <w:tabs>
          <w:tab w:val="right" w:leader="dot" w:pos="8306"/>
        </w:tabs>
      </w:pPr>
      <w:hyperlink w:anchor="_Toc12465" w:history="1">
        <w:r>
          <w:rPr>
            <w:rFonts w:ascii="仿宋" w:eastAsia="仿宋" w:hAnsi="仿宋" w:cs="仿宋" w:hint="eastAsia"/>
            <w:lang w:eastAsia="zh-CN"/>
          </w:rPr>
          <w:t>(二)、微生物肥料项目盈利能力分析</w:t>
        </w:r>
        <w:r>
          <w:tab/>
        </w:r>
        <w:r>
          <w:fldChar w:fldCharType="begin"/>
        </w:r>
        <w:r>
          <w:instrText xml:space="preserve"> PAGEREF _Toc12465 \h </w:instrText>
        </w:r>
        <w:r>
          <w:fldChar w:fldCharType="separate"/>
        </w:r>
        <w:r>
          <w:t>32</w:t>
        </w:r>
        <w:r>
          <w:fldChar w:fldCharType="end"/>
        </w:r>
      </w:hyperlink>
    </w:p>
    <w:p>
      <w:pPr>
        <w:pStyle w:val="TOC1"/>
        <w:tabs>
          <w:tab w:val="right" w:leader="dot" w:pos="8306"/>
        </w:tabs>
      </w:pPr>
      <w:hyperlink w:anchor="_Toc1792" w:history="1">
        <w:r>
          <w:rPr>
            <w:rFonts w:ascii="仿宋" w:eastAsia="仿宋" w:hAnsi="仿宋" w:cs="仿宋" w:hint="eastAsia"/>
            <w:lang w:eastAsia="zh-CN"/>
          </w:rPr>
          <w:t>九、微生物肥料项目风险管理</w:t>
        </w:r>
        <w:r>
          <w:tab/>
        </w:r>
        <w:r>
          <w:fldChar w:fldCharType="begin"/>
        </w:r>
        <w:r>
          <w:instrText xml:space="preserve"> PAGEREF _Toc1792 \h </w:instrText>
        </w:r>
        <w:r>
          <w:fldChar w:fldCharType="separate"/>
        </w:r>
        <w:r>
          <w:t>33</w:t>
        </w:r>
        <w:r>
          <w:fldChar w:fldCharType="end"/>
        </w:r>
      </w:hyperlink>
    </w:p>
    <w:p>
      <w:pPr>
        <w:pStyle w:val="TOC2"/>
        <w:tabs>
          <w:tab w:val="right" w:leader="dot" w:pos="8306"/>
        </w:tabs>
      </w:pPr>
      <w:hyperlink w:anchor="_Toc11682" w:history="1">
        <w:r>
          <w:rPr>
            <w:rFonts w:ascii="仿宋" w:eastAsia="仿宋" w:hAnsi="仿宋" w:cs="仿宋" w:hint="eastAsia"/>
            <w:lang w:eastAsia="zh-CN"/>
          </w:rPr>
          <w:t>(一)、风险识别与评估</w:t>
        </w:r>
        <w:r>
          <w:tab/>
        </w:r>
        <w:r>
          <w:fldChar w:fldCharType="begin"/>
        </w:r>
        <w:r>
          <w:instrText xml:space="preserve"> PAGEREF _Toc11682 \h </w:instrText>
        </w:r>
        <w:r>
          <w:fldChar w:fldCharType="separate"/>
        </w:r>
        <w:r>
          <w:t>33</w:t>
        </w:r>
        <w:r>
          <w:fldChar w:fldCharType="end"/>
        </w:r>
      </w:hyperlink>
    </w:p>
    <w:p>
      <w:pPr>
        <w:pStyle w:val="TOC2"/>
        <w:tabs>
          <w:tab w:val="right" w:leader="dot" w:pos="8306"/>
        </w:tabs>
      </w:pPr>
      <w:hyperlink w:anchor="_Toc11261" w:history="1">
        <w:r>
          <w:rPr>
            <w:rFonts w:ascii="仿宋" w:eastAsia="仿宋" w:hAnsi="仿宋" w:cs="仿宋" w:hint="eastAsia"/>
            <w:lang w:eastAsia="zh-CN"/>
          </w:rPr>
          <w:t>(二)、风险应对策略</w:t>
        </w:r>
        <w:r>
          <w:tab/>
        </w:r>
        <w:r>
          <w:fldChar w:fldCharType="begin"/>
        </w:r>
        <w:r>
          <w:instrText xml:space="preserve"> PAGEREF _Toc11261 \h </w:instrText>
        </w:r>
        <w:r>
          <w:fldChar w:fldCharType="separate"/>
        </w:r>
        <w:r>
          <w:t>34</w:t>
        </w:r>
        <w:r>
          <w:fldChar w:fldCharType="end"/>
        </w:r>
      </w:hyperlink>
    </w:p>
    <w:p>
      <w:pPr>
        <w:pStyle w:val="TOC2"/>
        <w:tabs>
          <w:tab w:val="right" w:leader="dot" w:pos="8306"/>
        </w:tabs>
      </w:pPr>
      <w:hyperlink w:anchor="_Toc19796" w:history="1">
        <w:r>
          <w:rPr>
            <w:rFonts w:ascii="仿宋" w:eastAsia="仿宋" w:hAnsi="仿宋" w:cs="仿宋" w:hint="eastAsia"/>
            <w:lang w:eastAsia="zh-CN"/>
          </w:rPr>
          <w:t>(三)、风险监控与控制</w:t>
        </w:r>
        <w:r>
          <w:tab/>
        </w:r>
        <w:r>
          <w:fldChar w:fldCharType="begin"/>
        </w:r>
        <w:r>
          <w:instrText xml:space="preserve"> PAGEREF _Toc19796 \h </w:instrText>
        </w:r>
        <w:r>
          <w:fldChar w:fldCharType="separate"/>
        </w:r>
        <w:r>
          <w:t>36</w:t>
        </w:r>
        <w:r>
          <w:fldChar w:fldCharType="end"/>
        </w:r>
      </w:hyperlink>
    </w:p>
    <w:p>
      <w:pPr>
        <w:pStyle w:val="TOC1"/>
        <w:tabs>
          <w:tab w:val="right" w:leader="dot" w:pos="8306"/>
        </w:tabs>
      </w:pPr>
      <w:hyperlink w:anchor="_Toc31372" w:history="1">
        <w:r>
          <w:rPr>
            <w:rFonts w:ascii="仿宋" w:eastAsia="仿宋" w:hAnsi="仿宋" w:cs="仿宋" w:hint="eastAsia"/>
            <w:lang w:eastAsia="zh-CN"/>
          </w:rPr>
          <w:t>十、微生物肥料项目人力资源培养与发展</w:t>
        </w:r>
        <w:r>
          <w:tab/>
        </w:r>
        <w:r>
          <w:fldChar w:fldCharType="begin"/>
        </w:r>
        <w:r>
          <w:instrText xml:space="preserve"> PAGEREF _Toc31372 \h </w:instrText>
        </w:r>
        <w:r>
          <w:fldChar w:fldCharType="separate"/>
        </w:r>
        <w:r>
          <w:t>37</w:t>
        </w:r>
        <w:r>
          <w:fldChar w:fldCharType="end"/>
        </w:r>
      </w:hyperlink>
    </w:p>
    <w:p>
      <w:pPr>
        <w:pStyle w:val="TOC2"/>
        <w:tabs>
          <w:tab w:val="right" w:leader="dot" w:pos="8306"/>
        </w:tabs>
      </w:pPr>
      <w:hyperlink w:anchor="_Toc19425" w:history="1">
        <w:r>
          <w:rPr>
            <w:rFonts w:ascii="仿宋" w:eastAsia="仿宋" w:hAnsi="仿宋" w:cs="仿宋" w:hint="eastAsia"/>
            <w:lang w:eastAsia="zh-CN"/>
          </w:rPr>
          <w:t>(一)、人才需求与规划</w:t>
        </w:r>
        <w:r>
          <w:tab/>
        </w:r>
        <w:r>
          <w:fldChar w:fldCharType="begin"/>
        </w:r>
        <w:r>
          <w:instrText xml:space="preserve"> PAGEREF _Toc19425 \h </w:instrText>
        </w:r>
        <w:r>
          <w:fldChar w:fldCharType="separate"/>
        </w:r>
        <w:r>
          <w:t>37</w:t>
        </w:r>
        <w:r>
          <w:fldChar w:fldCharType="end"/>
        </w:r>
      </w:hyperlink>
    </w:p>
    <w:p>
      <w:pPr>
        <w:pStyle w:val="TOC2"/>
        <w:tabs>
          <w:tab w:val="right" w:leader="dot" w:pos="8306"/>
        </w:tabs>
      </w:pPr>
      <w:hyperlink w:anchor="_Toc26329" w:history="1">
        <w:r>
          <w:rPr>
            <w:rFonts w:ascii="仿宋" w:eastAsia="仿宋" w:hAnsi="仿宋" w:cs="仿宋" w:hint="eastAsia"/>
            <w:lang w:eastAsia="zh-CN"/>
          </w:rPr>
          <w:t>(二)、培训与发展计划</w:t>
        </w:r>
        <w:r>
          <w:tab/>
        </w:r>
        <w:r>
          <w:fldChar w:fldCharType="begin"/>
        </w:r>
        <w:r>
          <w:instrText xml:space="preserve"> PAGEREF _Toc26329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356" w:history="1">
        <w:r>
          <w:rPr>
            <w:rFonts w:ascii="仿宋" w:eastAsia="仿宋" w:hAnsi="仿宋" w:cs="仿宋" w:hint="eastAsia"/>
            <w:lang w:eastAsia="zh-CN"/>
          </w:rPr>
          <w:t>十一、微生物肥料项目创新与研发</w:t>
        </w:r>
        <w:r>
          <w:tab/>
        </w:r>
        <w:r>
          <w:fldChar w:fldCharType="begin"/>
        </w:r>
        <w:r>
          <w:instrText xml:space="preserve"> PAGEREF _Toc23356 \h </w:instrText>
        </w:r>
        <w:r>
          <w:fldChar w:fldCharType="separate"/>
        </w:r>
        <w:r>
          <w:t>38</w:t>
        </w:r>
        <w:r>
          <w:fldChar w:fldCharType="end"/>
        </w:r>
      </w:hyperlink>
    </w:p>
    <w:p>
      <w:pPr>
        <w:pStyle w:val="TOC2"/>
        <w:tabs>
          <w:tab w:val="right" w:leader="dot" w:pos="8306"/>
        </w:tabs>
      </w:pPr>
      <w:hyperlink w:anchor="_Toc6049" w:history="1">
        <w:r>
          <w:rPr>
            <w:rFonts w:ascii="仿宋" w:eastAsia="仿宋" w:hAnsi="仿宋" w:cs="仿宋" w:hint="eastAsia"/>
            <w:lang w:eastAsia="zh-CN"/>
          </w:rPr>
          <w:t>(一)、创新策略与方向</w:t>
        </w:r>
        <w:r>
          <w:tab/>
        </w:r>
        <w:r>
          <w:fldChar w:fldCharType="begin"/>
        </w:r>
        <w:r>
          <w:instrText xml:space="preserve"> PAGEREF _Toc6049 \h </w:instrText>
        </w:r>
        <w:r>
          <w:fldChar w:fldCharType="separate"/>
        </w:r>
        <w:r>
          <w:t>38</w:t>
        </w:r>
        <w:r>
          <w:fldChar w:fldCharType="end"/>
        </w:r>
      </w:hyperlink>
    </w:p>
    <w:p>
      <w:pPr>
        <w:pStyle w:val="TOC2"/>
        <w:tabs>
          <w:tab w:val="right" w:leader="dot" w:pos="8306"/>
        </w:tabs>
      </w:pPr>
      <w:hyperlink w:anchor="_Toc6523" w:history="1">
        <w:r>
          <w:rPr>
            <w:rFonts w:ascii="仿宋" w:eastAsia="仿宋" w:hAnsi="仿宋" w:cs="仿宋" w:hint="eastAsia"/>
            <w:lang w:eastAsia="zh-CN"/>
          </w:rPr>
          <w:t>(二)、研发规划与投入</w:t>
        </w:r>
        <w:r>
          <w:tab/>
        </w:r>
        <w:r>
          <w:fldChar w:fldCharType="begin"/>
        </w:r>
        <w:r>
          <w:instrText xml:space="preserve"> PAGEREF _Toc6523 \h </w:instrText>
        </w:r>
        <w:r>
          <w:fldChar w:fldCharType="separate"/>
        </w:r>
        <w:r>
          <w:t>39</w:t>
        </w:r>
        <w:r>
          <w:fldChar w:fldCharType="end"/>
        </w:r>
      </w:hyperlink>
    </w:p>
    <w:p>
      <w:pPr>
        <w:pStyle w:val="TOC1"/>
        <w:tabs>
          <w:tab w:val="right" w:leader="dot" w:pos="8306"/>
        </w:tabs>
      </w:pPr>
      <w:hyperlink w:anchor="_Toc9155" w:history="1">
        <w:r>
          <w:rPr>
            <w:rFonts w:ascii="仿宋" w:eastAsia="仿宋" w:hAnsi="仿宋" w:cs="仿宋" w:hint="eastAsia"/>
            <w:lang w:eastAsia="zh-CN"/>
          </w:rPr>
          <w:t>十二、微生物肥料项目技术管理</w:t>
        </w:r>
        <w:r>
          <w:tab/>
        </w:r>
        <w:r>
          <w:fldChar w:fldCharType="begin"/>
        </w:r>
        <w:r>
          <w:instrText xml:space="preserve"> PAGEREF _Toc9155 \h </w:instrText>
        </w:r>
        <w:r>
          <w:fldChar w:fldCharType="separate"/>
        </w:r>
        <w:r>
          <w:t>41</w:t>
        </w:r>
        <w:r>
          <w:fldChar w:fldCharType="end"/>
        </w:r>
      </w:hyperlink>
    </w:p>
    <w:p>
      <w:pPr>
        <w:pStyle w:val="TOC2"/>
        <w:tabs>
          <w:tab w:val="right" w:leader="dot" w:pos="8306"/>
        </w:tabs>
      </w:pPr>
      <w:hyperlink w:anchor="_Toc30358" w:history="1">
        <w:r>
          <w:rPr>
            <w:rFonts w:ascii="仿宋" w:eastAsia="仿宋" w:hAnsi="仿宋" w:cs="仿宋" w:hint="eastAsia"/>
            <w:lang w:eastAsia="zh-CN"/>
          </w:rPr>
          <w:t>(一)、技术方案选用方向</w:t>
        </w:r>
        <w:r>
          <w:tab/>
        </w:r>
        <w:r>
          <w:fldChar w:fldCharType="begin"/>
        </w:r>
        <w:r>
          <w:instrText xml:space="preserve"> PAGEREF _Toc30358 \h </w:instrText>
        </w:r>
        <w:r>
          <w:fldChar w:fldCharType="separate"/>
        </w:r>
        <w:r>
          <w:t>41</w:t>
        </w:r>
        <w:r>
          <w:fldChar w:fldCharType="end"/>
        </w:r>
      </w:hyperlink>
    </w:p>
    <w:p>
      <w:pPr>
        <w:pStyle w:val="TOC2"/>
        <w:tabs>
          <w:tab w:val="right" w:leader="dot" w:pos="8306"/>
        </w:tabs>
      </w:pPr>
      <w:hyperlink w:anchor="_Toc1416" w:history="1">
        <w:r>
          <w:rPr>
            <w:rFonts w:ascii="仿宋" w:eastAsia="仿宋" w:hAnsi="仿宋" w:cs="仿宋" w:hint="eastAsia"/>
            <w:lang w:eastAsia="zh-CN"/>
          </w:rPr>
          <w:t>(二)、工艺技术方案选用原则</w:t>
        </w:r>
        <w:r>
          <w:tab/>
        </w:r>
        <w:r>
          <w:fldChar w:fldCharType="begin"/>
        </w:r>
        <w:r>
          <w:instrText xml:space="preserve"> PAGEREF _Toc1416 \h </w:instrText>
        </w:r>
        <w:r>
          <w:fldChar w:fldCharType="separate"/>
        </w:r>
        <w:r>
          <w:t>43</w:t>
        </w:r>
        <w:r>
          <w:fldChar w:fldCharType="end"/>
        </w:r>
      </w:hyperlink>
    </w:p>
    <w:p>
      <w:pPr>
        <w:pStyle w:val="TOC2"/>
        <w:tabs>
          <w:tab w:val="right" w:leader="dot" w:pos="8306"/>
        </w:tabs>
      </w:pPr>
      <w:hyperlink w:anchor="_Toc27938" w:history="1">
        <w:r>
          <w:rPr>
            <w:rFonts w:ascii="仿宋" w:eastAsia="仿宋" w:hAnsi="仿宋" w:cs="仿宋" w:hint="eastAsia"/>
            <w:lang w:eastAsia="zh-CN"/>
          </w:rPr>
          <w:t>(三)、工艺技术方案要求</w:t>
        </w:r>
        <w:r>
          <w:tab/>
        </w:r>
        <w:r>
          <w:fldChar w:fldCharType="begin"/>
        </w:r>
        <w:r>
          <w:instrText xml:space="preserve"> PAGEREF _Toc27938 \h </w:instrText>
        </w:r>
        <w:r>
          <w:fldChar w:fldCharType="separate"/>
        </w:r>
        <w:r>
          <w:t>45</w:t>
        </w:r>
        <w:r>
          <w:fldChar w:fldCharType="end"/>
        </w:r>
      </w:hyperlink>
    </w:p>
    <w:p>
      <w:pPr>
        <w:pStyle w:val="TOC1"/>
        <w:tabs>
          <w:tab w:val="right" w:leader="dot" w:pos="8306"/>
        </w:tabs>
      </w:pPr>
      <w:hyperlink w:anchor="_Toc14580" w:history="1">
        <w:r>
          <w:rPr>
            <w:rFonts w:ascii="仿宋" w:eastAsia="仿宋" w:hAnsi="仿宋" w:cs="仿宋" w:hint="eastAsia"/>
            <w:lang w:eastAsia="zh-CN"/>
          </w:rPr>
          <w:t>十三、微生物肥料项目治理与监督</w:t>
        </w:r>
        <w:r>
          <w:tab/>
        </w:r>
        <w:r>
          <w:fldChar w:fldCharType="begin"/>
        </w:r>
        <w:r>
          <w:instrText xml:space="preserve"> PAGEREF _Toc14580 \h </w:instrText>
        </w:r>
        <w:r>
          <w:fldChar w:fldCharType="separate"/>
        </w:r>
        <w:r>
          <w:t>47</w:t>
        </w:r>
        <w:r>
          <w:fldChar w:fldCharType="end"/>
        </w:r>
      </w:hyperlink>
    </w:p>
    <w:p>
      <w:pPr>
        <w:pStyle w:val="TOC2"/>
        <w:tabs>
          <w:tab w:val="right" w:leader="dot" w:pos="8306"/>
        </w:tabs>
      </w:pPr>
      <w:hyperlink w:anchor="_Toc19912" w:history="1">
        <w:r>
          <w:rPr>
            <w:rFonts w:ascii="仿宋" w:eastAsia="仿宋" w:hAnsi="仿宋" w:cs="仿宋" w:hint="eastAsia"/>
            <w:lang w:eastAsia="zh-CN"/>
          </w:rPr>
          <w:t>(一)、微生物肥料项目治理结构</w:t>
        </w:r>
        <w:r>
          <w:tab/>
        </w:r>
        <w:r>
          <w:fldChar w:fldCharType="begin"/>
        </w:r>
        <w:r>
          <w:instrText xml:space="preserve"> PAGEREF _Toc19912 \h </w:instrText>
        </w:r>
        <w:r>
          <w:fldChar w:fldCharType="separate"/>
        </w:r>
        <w:r>
          <w:t>47</w:t>
        </w:r>
        <w:r>
          <w:fldChar w:fldCharType="end"/>
        </w:r>
      </w:hyperlink>
    </w:p>
    <w:p>
      <w:pPr>
        <w:pStyle w:val="TOC2"/>
        <w:tabs>
          <w:tab w:val="right" w:leader="dot" w:pos="8306"/>
        </w:tabs>
      </w:pPr>
      <w:hyperlink w:anchor="_Toc26082" w:history="1">
        <w:r>
          <w:rPr>
            <w:rFonts w:ascii="仿宋" w:eastAsia="仿宋" w:hAnsi="仿宋" w:cs="仿宋" w:hint="eastAsia"/>
            <w:lang w:eastAsia="zh-CN"/>
          </w:rPr>
          <w:t>(二)、监督与审计</w:t>
        </w:r>
        <w:r>
          <w:tab/>
        </w:r>
        <w:r>
          <w:fldChar w:fldCharType="begin"/>
        </w:r>
        <w:r>
          <w:instrText xml:space="preserve"> PAGEREF _Toc26082 \h </w:instrText>
        </w:r>
        <w:r>
          <w:fldChar w:fldCharType="separate"/>
        </w:r>
        <w:r>
          <w:t>48</w:t>
        </w:r>
        <w:r>
          <w:fldChar w:fldCharType="end"/>
        </w:r>
      </w:hyperlink>
    </w:p>
    <w:p>
      <w:pPr>
        <w:pStyle w:val="TOC1"/>
        <w:tabs>
          <w:tab w:val="right" w:leader="dot" w:pos="8306"/>
        </w:tabs>
      </w:pPr>
      <w:hyperlink w:anchor="_Toc7045" w:history="1">
        <w:r>
          <w:rPr>
            <w:rFonts w:ascii="仿宋" w:eastAsia="仿宋" w:hAnsi="仿宋" w:cs="仿宋" w:hint="eastAsia"/>
            <w:lang w:eastAsia="zh-CN"/>
          </w:rPr>
          <w:t>十四、质量管理体系</w:t>
        </w:r>
        <w:r>
          <w:tab/>
        </w:r>
        <w:r>
          <w:fldChar w:fldCharType="begin"/>
        </w:r>
        <w:r>
          <w:instrText xml:space="preserve"> PAGEREF _Toc7045 \h </w:instrText>
        </w:r>
        <w:r>
          <w:fldChar w:fldCharType="separate"/>
        </w:r>
        <w:r>
          <w:t>50</w:t>
        </w:r>
        <w:r>
          <w:fldChar w:fldCharType="end"/>
        </w:r>
      </w:hyperlink>
    </w:p>
    <w:p>
      <w:pPr>
        <w:pStyle w:val="TOC2"/>
        <w:tabs>
          <w:tab w:val="right" w:leader="dot" w:pos="8306"/>
        </w:tabs>
      </w:pPr>
      <w:hyperlink w:anchor="_Toc15287" w:history="1">
        <w:r>
          <w:rPr>
            <w:rFonts w:ascii="仿宋" w:eastAsia="仿宋" w:hAnsi="仿宋" w:cs="仿宋" w:hint="eastAsia"/>
            <w:lang w:eastAsia="zh-CN"/>
          </w:rPr>
          <w:t>(一)、质量目标与方针</w:t>
        </w:r>
        <w:r>
          <w:tab/>
        </w:r>
        <w:r>
          <w:fldChar w:fldCharType="begin"/>
        </w:r>
        <w:r>
          <w:instrText xml:space="preserve"> PAGEREF _Toc15287 \h </w:instrText>
        </w:r>
        <w:r>
          <w:fldChar w:fldCharType="separate"/>
        </w:r>
        <w:r>
          <w:t>50</w:t>
        </w:r>
        <w:r>
          <w:fldChar w:fldCharType="end"/>
        </w:r>
      </w:hyperlink>
    </w:p>
    <w:p>
      <w:pPr>
        <w:pStyle w:val="TOC2"/>
        <w:tabs>
          <w:tab w:val="right" w:leader="dot" w:pos="8306"/>
        </w:tabs>
      </w:pPr>
      <w:hyperlink w:anchor="_Toc9986" w:history="1">
        <w:r>
          <w:rPr>
            <w:rFonts w:ascii="仿宋" w:eastAsia="仿宋" w:hAnsi="仿宋" w:cs="仿宋" w:hint="eastAsia"/>
            <w:lang w:eastAsia="zh-CN"/>
          </w:rPr>
          <w:t>(二)、质量管理责任</w:t>
        </w:r>
        <w:r>
          <w:tab/>
        </w:r>
        <w:r>
          <w:fldChar w:fldCharType="begin"/>
        </w:r>
        <w:r>
          <w:instrText xml:space="preserve"> PAGEREF _Toc9986 \h </w:instrText>
        </w:r>
        <w:r>
          <w:fldChar w:fldCharType="separate"/>
        </w:r>
        <w:r>
          <w:t>51</w:t>
        </w:r>
        <w:r>
          <w:fldChar w:fldCharType="end"/>
        </w:r>
      </w:hyperlink>
    </w:p>
    <w:p>
      <w:pPr>
        <w:pStyle w:val="TOC2"/>
        <w:tabs>
          <w:tab w:val="right" w:leader="dot" w:pos="8306"/>
        </w:tabs>
      </w:pPr>
      <w:hyperlink w:anchor="_Toc5101" w:history="1">
        <w:r>
          <w:rPr>
            <w:rFonts w:ascii="仿宋" w:eastAsia="仿宋" w:hAnsi="仿宋" w:cs="仿宋" w:hint="eastAsia"/>
            <w:lang w:eastAsia="zh-CN"/>
          </w:rPr>
          <w:t>(三)、质量管理体系文件</w:t>
        </w:r>
        <w:r>
          <w:tab/>
        </w:r>
        <w:r>
          <w:fldChar w:fldCharType="begin"/>
        </w:r>
        <w:r>
          <w:instrText xml:space="preserve"> PAGEREF _Toc5101 \h </w:instrText>
        </w:r>
        <w:r>
          <w:fldChar w:fldCharType="separate"/>
        </w:r>
        <w:r>
          <w:t>52</w:t>
        </w:r>
        <w:r>
          <w:fldChar w:fldCharType="end"/>
        </w:r>
      </w:hyperlink>
    </w:p>
    <w:p>
      <w:pPr>
        <w:pStyle w:val="TOC2"/>
        <w:tabs>
          <w:tab w:val="right" w:leader="dot" w:pos="8306"/>
        </w:tabs>
      </w:pPr>
      <w:hyperlink w:anchor="_Toc18812" w:history="1">
        <w:r>
          <w:rPr>
            <w:rFonts w:ascii="仿宋" w:eastAsia="仿宋" w:hAnsi="仿宋" w:cs="仿宋" w:hint="eastAsia"/>
            <w:lang w:eastAsia="zh-CN"/>
          </w:rPr>
          <w:t>(四)、质量培训与教育</w:t>
        </w:r>
        <w:r>
          <w:tab/>
        </w:r>
        <w:r>
          <w:fldChar w:fldCharType="begin"/>
        </w:r>
        <w:r>
          <w:instrText xml:space="preserve"> PAGEREF _Toc18812 \h </w:instrText>
        </w:r>
        <w:r>
          <w:fldChar w:fldCharType="separate"/>
        </w:r>
        <w:r>
          <w:t>54</w:t>
        </w:r>
        <w:r>
          <w:fldChar w:fldCharType="end"/>
        </w:r>
      </w:hyperlink>
    </w:p>
    <w:p>
      <w:pPr>
        <w:pStyle w:val="TOC2"/>
        <w:tabs>
          <w:tab w:val="right" w:leader="dot" w:pos="8306"/>
        </w:tabs>
      </w:pPr>
      <w:hyperlink w:anchor="_Toc22987" w:history="1">
        <w:r>
          <w:rPr>
            <w:rFonts w:ascii="仿宋" w:eastAsia="仿宋" w:hAnsi="仿宋" w:cs="仿宋" w:hint="eastAsia"/>
            <w:lang w:eastAsia="zh-CN"/>
          </w:rPr>
          <w:t>(五)、质量审核与评价</w:t>
        </w:r>
        <w:r>
          <w:tab/>
        </w:r>
        <w:r>
          <w:fldChar w:fldCharType="begin"/>
        </w:r>
        <w:r>
          <w:instrText xml:space="preserve"> PAGEREF _Toc22987 \h </w:instrText>
        </w:r>
        <w:r>
          <w:fldChar w:fldCharType="separate"/>
        </w:r>
        <w:r>
          <w:t>55</w:t>
        </w:r>
        <w:r>
          <w:fldChar w:fldCharType="end"/>
        </w:r>
      </w:hyperlink>
    </w:p>
    <w:p>
      <w:pPr>
        <w:pStyle w:val="TOC2"/>
        <w:tabs>
          <w:tab w:val="right" w:leader="dot" w:pos="8306"/>
        </w:tabs>
      </w:pPr>
      <w:hyperlink w:anchor="_Toc25621" w:history="1">
        <w:r>
          <w:rPr>
            <w:rFonts w:ascii="仿宋" w:eastAsia="仿宋" w:hAnsi="仿宋" w:cs="仿宋" w:hint="eastAsia"/>
            <w:lang w:eastAsia="zh-CN"/>
          </w:rPr>
          <w:t>(六)、不符合与纠正措施</w:t>
        </w:r>
        <w:r>
          <w:tab/>
        </w:r>
        <w:r>
          <w:fldChar w:fldCharType="begin"/>
        </w:r>
        <w:r>
          <w:instrText xml:space="preserve"> PAGEREF _Toc25621 \h </w:instrText>
        </w:r>
        <w:r>
          <w:fldChar w:fldCharType="separate"/>
        </w:r>
        <w:r>
          <w:t>57</w:t>
        </w:r>
        <w:r>
          <w:fldChar w:fldCharType="end"/>
        </w:r>
      </w:hyperlink>
    </w:p>
    <w:p>
      <w:pPr>
        <w:pStyle w:val="TOC1"/>
        <w:tabs>
          <w:tab w:val="right" w:leader="dot" w:pos="8306"/>
        </w:tabs>
      </w:pPr>
      <w:hyperlink w:anchor="_Toc26883" w:history="1">
        <w:r>
          <w:rPr>
            <w:rFonts w:ascii="仿宋" w:eastAsia="仿宋" w:hAnsi="仿宋" w:cs="仿宋" w:hint="eastAsia"/>
            <w:lang w:eastAsia="zh-CN"/>
          </w:rPr>
          <w:t>十五、营销与推广策略</w:t>
        </w:r>
        <w:r>
          <w:tab/>
        </w:r>
        <w:r>
          <w:fldChar w:fldCharType="begin"/>
        </w:r>
        <w:r>
          <w:instrText xml:space="preserve"> PAGEREF _Toc26883 \h </w:instrText>
        </w:r>
        <w:r>
          <w:fldChar w:fldCharType="separate"/>
        </w:r>
        <w:r>
          <w:t>58</w:t>
        </w:r>
        <w:r>
          <w:fldChar w:fldCharType="end"/>
        </w:r>
      </w:hyperlink>
    </w:p>
    <w:p>
      <w:pPr>
        <w:pStyle w:val="TOC2"/>
        <w:tabs>
          <w:tab w:val="right" w:leader="dot" w:pos="8306"/>
        </w:tabs>
      </w:pPr>
      <w:hyperlink w:anchor="_Toc11910" w:history="1">
        <w:r>
          <w:rPr>
            <w:rFonts w:ascii="仿宋" w:eastAsia="仿宋" w:hAnsi="仿宋" w:cs="仿宋" w:hint="eastAsia"/>
            <w:lang w:eastAsia="zh-CN"/>
          </w:rPr>
          <w:t>(一)、产品/服务定位与特点</w:t>
        </w:r>
        <w:r>
          <w:tab/>
        </w:r>
        <w:r>
          <w:fldChar w:fldCharType="begin"/>
        </w:r>
        <w:r>
          <w:instrText xml:space="preserve"> PAGEREF _Toc11910 \h </w:instrText>
        </w:r>
        <w:r>
          <w:fldChar w:fldCharType="separate"/>
        </w:r>
        <w:r>
          <w:t>58</w:t>
        </w:r>
        <w:r>
          <w:fldChar w:fldCharType="end"/>
        </w:r>
      </w:hyperlink>
    </w:p>
    <w:p>
      <w:pPr>
        <w:pStyle w:val="TOC2"/>
        <w:tabs>
          <w:tab w:val="right" w:leader="dot" w:pos="8306"/>
        </w:tabs>
      </w:pPr>
      <w:hyperlink w:anchor="_Toc25097" w:history="1">
        <w:r>
          <w:rPr>
            <w:rFonts w:ascii="仿宋" w:eastAsia="仿宋" w:hAnsi="仿宋" w:cs="仿宋" w:hint="eastAsia"/>
            <w:lang w:eastAsia="zh-CN"/>
          </w:rPr>
          <w:t>(二)、市场定位与竞争分析</w:t>
        </w:r>
        <w:r>
          <w:tab/>
        </w:r>
        <w:r>
          <w:fldChar w:fldCharType="begin"/>
        </w:r>
        <w:r>
          <w:instrText xml:space="preserve"> PAGEREF _Toc25097 \h </w:instrText>
        </w:r>
        <w:r>
          <w:fldChar w:fldCharType="separate"/>
        </w:r>
        <w:r>
          <w:t>59</w:t>
        </w:r>
        <w:r>
          <w:fldChar w:fldCharType="end"/>
        </w:r>
      </w:hyperlink>
    </w:p>
    <w:p>
      <w:pPr>
        <w:pStyle w:val="TOC2"/>
        <w:tabs>
          <w:tab w:val="right" w:leader="dot" w:pos="8306"/>
        </w:tabs>
      </w:pPr>
      <w:hyperlink w:anchor="_Toc30857" w:history="1">
        <w:r>
          <w:rPr>
            <w:rFonts w:ascii="仿宋" w:eastAsia="仿宋" w:hAnsi="仿宋" w:cs="仿宋" w:hint="eastAsia"/>
            <w:lang w:eastAsia="zh-CN"/>
          </w:rPr>
          <w:t>(三)、营销渠道与策略</w:t>
        </w:r>
        <w:r>
          <w:tab/>
        </w:r>
        <w:r>
          <w:fldChar w:fldCharType="begin"/>
        </w:r>
        <w:r>
          <w:instrText xml:space="preserve"> PAGEREF _Toc30857 \h </w:instrText>
        </w:r>
        <w:r>
          <w:fldChar w:fldCharType="separate"/>
        </w:r>
        <w:r>
          <w:t>60</w:t>
        </w:r>
        <w:r>
          <w:fldChar w:fldCharType="end"/>
        </w:r>
      </w:hyperlink>
    </w:p>
    <w:p>
      <w:pPr>
        <w:pStyle w:val="TOC2"/>
        <w:tabs>
          <w:tab w:val="right" w:leader="dot" w:pos="8306"/>
        </w:tabs>
      </w:pPr>
      <w:hyperlink w:anchor="_Toc10851" w:history="1">
        <w:r>
          <w:rPr>
            <w:rFonts w:ascii="仿宋" w:eastAsia="仿宋" w:hAnsi="仿宋" w:cs="仿宋" w:hint="eastAsia"/>
            <w:lang w:eastAsia="zh-CN"/>
          </w:rPr>
          <w:t>(四)、推广与宣传活动</w:t>
        </w:r>
        <w:r>
          <w:tab/>
        </w:r>
        <w:r>
          <w:fldChar w:fldCharType="begin"/>
        </w:r>
        <w:r>
          <w:instrText xml:space="preserve"> PAGEREF _Toc10851 \h </w:instrText>
        </w:r>
        <w:r>
          <w:fldChar w:fldCharType="separate"/>
        </w:r>
        <w:r>
          <w:t>61</w:t>
        </w:r>
        <w:r>
          <w:fldChar w:fldCharType="end"/>
        </w:r>
      </w:hyperlink>
    </w:p>
    <w:p>
      <w:pPr>
        <w:pStyle w:val="TOC1"/>
        <w:tabs>
          <w:tab w:val="right" w:leader="dot" w:pos="8306"/>
        </w:tabs>
      </w:pPr>
      <w:hyperlink w:anchor="_Toc23414" w:history="1">
        <w:r>
          <w:rPr>
            <w:rFonts w:ascii="仿宋" w:eastAsia="仿宋" w:hAnsi="仿宋" w:cs="仿宋" w:hint="eastAsia"/>
            <w:lang w:eastAsia="zh-CN"/>
          </w:rPr>
          <w:t>十六、微生物肥料项目变更管理</w:t>
        </w:r>
        <w:r>
          <w:tab/>
        </w:r>
        <w:r>
          <w:fldChar w:fldCharType="begin"/>
        </w:r>
        <w:r>
          <w:instrText xml:space="preserve"> PAGEREF _Toc23414 \h </w:instrText>
        </w:r>
        <w:r>
          <w:fldChar w:fldCharType="separate"/>
        </w:r>
        <w:r>
          <w:t>67</w:t>
        </w:r>
        <w:r>
          <w:fldChar w:fldCharType="end"/>
        </w:r>
      </w:hyperlink>
    </w:p>
    <w:p>
      <w:pPr>
        <w:pStyle w:val="TOC2"/>
        <w:tabs>
          <w:tab w:val="right" w:leader="dot" w:pos="8306"/>
        </w:tabs>
      </w:pPr>
      <w:hyperlink w:anchor="_Toc16454" w:history="1">
        <w:r>
          <w:rPr>
            <w:rFonts w:ascii="仿宋" w:eastAsia="仿宋" w:hAnsi="仿宋" w:cs="仿宋" w:hint="eastAsia"/>
            <w:lang w:eastAsia="zh-CN"/>
          </w:rPr>
          <w:t>(一)、变更申请与评估</w:t>
        </w:r>
        <w:r>
          <w:tab/>
        </w:r>
        <w:r>
          <w:fldChar w:fldCharType="begin"/>
        </w:r>
        <w:r>
          <w:instrText xml:space="preserve"> PAGEREF _Toc16454 \h </w:instrText>
        </w:r>
        <w:r>
          <w:fldChar w:fldCharType="separate"/>
        </w:r>
        <w:r>
          <w:t>67</w:t>
        </w:r>
        <w:r>
          <w:fldChar w:fldCharType="end"/>
        </w:r>
      </w:hyperlink>
    </w:p>
    <w:p>
      <w:pPr>
        <w:pStyle w:val="TOC2"/>
        <w:tabs>
          <w:tab w:val="right" w:leader="dot" w:pos="8306"/>
        </w:tabs>
      </w:pPr>
      <w:hyperlink w:anchor="_Toc1513" w:history="1">
        <w:r>
          <w:rPr>
            <w:rFonts w:ascii="仿宋" w:eastAsia="仿宋" w:hAnsi="仿宋" w:cs="仿宋" w:hint="eastAsia"/>
            <w:lang w:eastAsia="zh-CN"/>
          </w:rPr>
          <w:t>(二)、变更实施与控制</w:t>
        </w:r>
        <w:r>
          <w:tab/>
        </w:r>
        <w:r>
          <w:fldChar w:fldCharType="begin"/>
        </w:r>
        <w:r>
          <w:instrText xml:space="preserve"> PAGEREF _Toc1513 \h </w:instrText>
        </w:r>
        <w:r>
          <w:fldChar w:fldCharType="separate"/>
        </w:r>
        <w:r>
          <w:t>67</w:t>
        </w:r>
        <w:r>
          <w:fldChar w:fldCharType="end"/>
        </w:r>
      </w:hyperlink>
    </w:p>
    <w:p>
      <w:pPr>
        <w:pStyle w:val="TOC1"/>
        <w:tabs>
          <w:tab w:val="right" w:leader="dot" w:pos="8306"/>
        </w:tabs>
      </w:pPr>
      <w:hyperlink w:anchor="_Toc1076" w:history="1">
        <w:r>
          <w:rPr>
            <w:rFonts w:ascii="仿宋" w:eastAsia="仿宋" w:hAnsi="仿宋" w:cs="仿宋" w:hint="eastAsia"/>
            <w:lang w:eastAsia="zh-CN"/>
          </w:rPr>
          <w:t>十七、供应链管理</w:t>
        </w:r>
        <w:r>
          <w:tab/>
        </w:r>
        <w:r>
          <w:fldChar w:fldCharType="begin"/>
        </w:r>
        <w:r>
          <w:instrText xml:space="preserve"> PAGEREF _Toc1076 \h </w:instrText>
        </w:r>
        <w:r>
          <w:fldChar w:fldCharType="separate"/>
        </w:r>
        <w:r>
          <w:t>68</w:t>
        </w:r>
        <w:r>
          <w:fldChar w:fldCharType="end"/>
        </w:r>
      </w:hyperlink>
    </w:p>
    <w:p>
      <w:pPr>
        <w:pStyle w:val="TOC2"/>
        <w:tabs>
          <w:tab w:val="right" w:leader="dot" w:pos="8306"/>
        </w:tabs>
      </w:pPr>
      <w:hyperlink w:anchor="_Toc22889" w:history="1">
        <w:r>
          <w:rPr>
            <w:rFonts w:ascii="仿宋" w:eastAsia="仿宋" w:hAnsi="仿宋" w:cs="仿宋" w:hint="eastAsia"/>
            <w:lang w:eastAsia="zh-CN"/>
          </w:rPr>
          <w:t>(一)、供应链战略规划</w:t>
        </w:r>
        <w:r>
          <w:tab/>
        </w:r>
        <w:r>
          <w:fldChar w:fldCharType="begin"/>
        </w:r>
        <w:r>
          <w:instrText xml:space="preserve"> PAGEREF _Toc22889 \h </w:instrText>
        </w:r>
        <w:r>
          <w:fldChar w:fldCharType="separate"/>
        </w:r>
        <w:r>
          <w:t>68</w:t>
        </w:r>
        <w:r>
          <w:fldChar w:fldCharType="end"/>
        </w:r>
      </w:hyperlink>
    </w:p>
    <w:p>
      <w:pPr>
        <w:pStyle w:val="TOC2"/>
        <w:tabs>
          <w:tab w:val="right" w:leader="dot" w:pos="8306"/>
        </w:tabs>
      </w:pPr>
      <w:hyperlink w:anchor="_Toc28795" w:history="1">
        <w:r>
          <w:rPr>
            <w:rFonts w:ascii="仿宋" w:eastAsia="仿宋" w:hAnsi="仿宋" w:cs="仿宋" w:hint="eastAsia"/>
            <w:lang w:eastAsia="zh-CN"/>
          </w:rPr>
          <w:t>(二)、供应商选择与合作</w:t>
        </w:r>
        <w:r>
          <w:tab/>
        </w:r>
        <w:r>
          <w:fldChar w:fldCharType="begin"/>
        </w:r>
        <w:r>
          <w:instrText xml:space="preserve"> PAGEREF _Toc28795 \h </w:instrText>
        </w:r>
        <w:r>
          <w:fldChar w:fldCharType="separate"/>
        </w:r>
        <w:r>
          <w:t>69</w:t>
        </w:r>
        <w:r>
          <w:fldChar w:fldCharType="end"/>
        </w:r>
      </w:hyperlink>
    </w:p>
    <w:p>
      <w:pPr>
        <w:pStyle w:val="TOC2"/>
        <w:tabs>
          <w:tab w:val="right" w:leader="dot" w:pos="8306"/>
        </w:tabs>
      </w:pPr>
      <w:hyperlink w:anchor="_Toc4706" w:history="1">
        <w:r>
          <w:rPr>
            <w:rFonts w:ascii="仿宋" w:eastAsia="仿宋" w:hAnsi="仿宋" w:cs="仿宋" w:hint="eastAsia"/>
            <w:lang w:eastAsia="zh-CN"/>
          </w:rPr>
          <w:t>(三)、物流与库存管理</w:t>
        </w:r>
        <w:r>
          <w:tab/>
        </w:r>
        <w:r>
          <w:fldChar w:fldCharType="begin"/>
        </w:r>
        <w:r>
          <w:instrText xml:space="preserve"> PAGEREF _Toc4706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72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9232"/>
      <w:r>
        <w:rPr>
          <w:rFonts w:ascii="仿宋" w:eastAsia="仿宋" w:hAnsi="仿宋" w:cs="仿宋" w:hint="eastAsia"/>
          <w:sz w:val="28"/>
          <w:lang w:eastAsia="zh-CN"/>
        </w:rPr>
        <w:t>一、微生物肥料项目绩效评估</w:t>
      </w:r>
      <w:bookmarkEnd w:id="2"/>
    </w:p>
    <w:p>
      <w:pPr>
        <w:pStyle w:val="Heading2"/>
        <w:rPr>
          <w:rFonts w:ascii="仿宋" w:eastAsia="仿宋" w:hAnsi="仿宋" w:cs="仿宋" w:hint="eastAsia"/>
          <w:lang w:eastAsia="zh-CN"/>
        </w:rPr>
      </w:pPr>
      <w:bookmarkStart w:id="3" w:name="_Toc8772"/>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微生物肥料项目中，我们设计了一套全面的绩效评估指标，以确保微生物肥料项目的可控和成功交付。这些指标跨足微生物肥料项目目标、成本、进度和质量等多个维度，为我们提供了全面洞察微生物肥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目标达成率是我们关注的首要指标。我们设定了明确的目标，并通过定期监测和评估，迅速发现并应对潜在的目标偏差。这为微生物肥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成本绩效是另一个核心关注点。通过实际成本与预算成本的对比分析，我们深入了解成本差异的原因，及时调整资源分配，保持微生物肥料项目在经济效益方面的合理水平。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进度作为关键的绩效指标之一，得到了精心的关注。我们制定了详细的微生物肥料项目进度计划，并设立了进度符合度指标，确保实际进度与计划进度保持一致。这使我们能够快速发现和解决潜在的进度问题，保持微生物肥料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微生物肥料项目绩效的不可或缺的一环。我们引入了一系列的质量标准和客户满意度指标，以确保微生物肥料项目交付的成果在质量上达到或超越预期水平。通过持续监测这些指标，我们努力提升微生物肥料项目整体质量水平，为微生物肥料项目的成功交付提供有力保障。通过这些科学且全面的绩效评估，我们能够更好地引导微生物肥料项目的持续改进，确保微生物肥料项目目标的顺利达成。</w:t>
      </w:r>
    </w:p>
    <w:p>
      <w:pPr>
        <w:pStyle w:val="Heading2"/>
        <w:ind w:firstLine="560" w:firstLineChars="200"/>
        <w:rPr>
          <w:rFonts w:ascii="仿宋" w:eastAsia="仿宋" w:hAnsi="仿宋" w:cs="仿宋" w:hint="eastAsia"/>
          <w:sz w:val="28"/>
          <w:lang w:eastAsia="zh-CN"/>
        </w:rPr>
      </w:pPr>
      <w:bookmarkStart w:id="4" w:name="_Toc25008"/>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绩效评估是微生物肥料项目中的关键环节，为确保微生物肥料项目达到预期目标，我们采用了多层次、多维度的绩效评估方法。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微生物肥料项目的战略目标对齐，确保每个决策和行动都与微生物肥料项目整体目标保持一致。团队会定期召开战略对齐会议，审视当前工作与微生物肥料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微生物肥料项目进度、质量、成本和风险等方面。这些指标通过数据收集和分析，为微生物肥料项目管理团队提供了客观的评估依据。例如，我们通过微生物肥料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绩效评估不仅仅停留在微生物肥料项目内部，还考虑了微生物肥料项目对外部环境的影响。我们定期进行干系人满意度调查，以了解各利益相关方对微生物肥料项目的期望和满意度，并及时做出调整。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这种多层次、多角度的绩效评估方法，使得我们能够全面了解微生物肥料项目的运行状态，及时做出调整，确保微生物肥料项目在不断变化的环境中保持稳健前行。</w:t>
      </w:r>
    </w:p>
    <w:p>
      <w:pPr>
        <w:pStyle w:val="Heading2"/>
        <w:ind w:firstLine="560" w:firstLineChars="200"/>
        <w:rPr>
          <w:rFonts w:ascii="仿宋" w:eastAsia="仿宋" w:hAnsi="仿宋" w:cs="仿宋" w:hint="eastAsia"/>
          <w:sz w:val="28"/>
          <w:lang w:eastAsia="zh-CN"/>
        </w:rPr>
      </w:pPr>
      <w:bookmarkStart w:id="5" w:name="_Toc19523"/>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为了确保微生物肥料项目的有效管理和不断优化，我们采用了精心设计的绩效评估周期。这个周期旨在实现灵活、实时和全面的评估，以适应微生物肥料项目执行中的各种挑战。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微生物肥料项目的不同需求，分为短期、中期和长期。短期评估关注每个迭代或工作周期，以及时发现和解决当前任务中的问题。中期评估涵盖几个迭代，深入了解整体微生物肥料项目的趋势和性能。长期评估则着眼于整个微生物肥料项目阶段，确保微生物肥料项目目标的一致性和可持续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微生物肥料项目管理工具和协作平台，团队成员能够随时更新和分享微生物肥料项目数据。这种实时性的反馈机制使我们能够及时察觉潜在问题，快速调整，保持微生物肥料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微生物肥料项目的决策制定密不可分。每个周期的微生物肥料项目回顾会议成为集体总结经验、识别问题深层次原因并找到创新解决方案的平台。这种定期的反思与调整机制使微生物肥料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9770"/>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5811"/>
      <w:r>
        <w:rPr>
          <w:rFonts w:ascii="仿宋" w:eastAsia="仿宋" w:hAnsi="仿宋" w:cs="仿宋" w:hint="eastAsia"/>
          <w:lang w:eastAsia="zh-CN"/>
        </w:rPr>
        <w:t>(一)、微生物肥料行业分析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行业一直以来都是市场的关注焦点。行业内的发展趋势、竞争态势以及潜在机会都对微生物肥料项目的推进产生深远的影响。通过深入研究行业的整体概貌，我们将更好地理解行业的核心特征，为微生物肥料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微生物肥料行业，技术一直是推动创新和发展的关键因素。我们将对当前技术趋势进行详尽分析，包括但不限于人工智能、大数据应用、先进制造技术等。这有助于微生物肥料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微生物肥料项目成功的基础。我们将对主要竞争对手进行深入研究，包括其市场份额、产品特点、市场定位等。通过全面了解竞争对手的优势和劣势，微生物肥料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27103"/>
      <w:r>
        <w:rPr>
          <w:rFonts w:ascii="仿宋" w:eastAsia="仿宋" w:hAnsi="仿宋" w:cs="仿宋" w:hint="eastAsia"/>
          <w:sz w:val="28"/>
          <w:lang w:eastAsia="zh-CN"/>
        </w:rPr>
        <w:t>(二)、微生物肥料市场分析预测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微生物肥料市场未来的增长趋势。这包括市场的整体规模、各细分领域的发展趋势等。微生物肥料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微生物肥料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微生物肥料项目实施过程中需要充分考虑的因素。我们将对市场风险进行全面评估，包括但不限于政策法规风险、市场竞争风险、技术变革风险等。通过对潜在风险的深入分析，微生物肥料项目可以制定相应的风险缓解策略，降低不确定性对微生物肥料项目的影响。</w:t>
      </w:r>
    </w:p>
    <w:p>
      <w:pPr>
        <w:pStyle w:val="Heading1"/>
        <w:ind w:firstLine="560" w:firstLineChars="200"/>
        <w:rPr>
          <w:rFonts w:ascii="仿宋" w:eastAsia="仿宋" w:hAnsi="仿宋" w:cs="仿宋" w:hint="eastAsia"/>
          <w:sz w:val="28"/>
          <w:lang w:eastAsia="zh-CN"/>
        </w:rPr>
      </w:pPr>
      <w:bookmarkStart w:id="9" w:name="_Toc25475"/>
      <w:r>
        <w:rPr>
          <w:rFonts w:ascii="仿宋" w:eastAsia="仿宋" w:hAnsi="仿宋" w:cs="仿宋" w:hint="eastAsia"/>
          <w:sz w:val="28"/>
          <w:lang w:eastAsia="zh-CN"/>
        </w:rPr>
        <w:t>三、微生物肥料项目概论</w:t>
      </w:r>
      <w:bookmarkEnd w:id="9"/>
    </w:p>
    <w:p>
      <w:pPr>
        <w:pStyle w:val="Heading2"/>
        <w:rPr>
          <w:rFonts w:ascii="仿宋" w:eastAsia="仿宋" w:hAnsi="仿宋" w:cs="仿宋" w:hint="eastAsia"/>
          <w:lang w:eastAsia="zh-CN"/>
        </w:rPr>
      </w:pPr>
      <w:bookmarkStart w:id="10" w:name="_Toc22348"/>
      <w:r>
        <w:rPr>
          <w:rFonts w:ascii="仿宋" w:eastAsia="仿宋" w:hAnsi="仿宋" w:cs="仿宋" w:hint="eastAsia"/>
          <w:lang w:eastAsia="zh-CN"/>
        </w:rPr>
        <w:t>(一)、微生物肥料项目概况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的起源追溯至对市场的深入洞察。市场的不断演变与变革为微生物肥料项目提供了难得的机遇。当前市场存在的需求缺口和变革的大环境共同构成了微生物肥料项目的背景。这个微生物肥料项目旨在充分利用市场机遇，填补行业中尚未满足的需求，为客户提供全新的解决方案。市场的变革和需求的增长使得这个微生物肥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微生物肥料项目名称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正式命名为微生物肥料。这个名称不仅仅是一个标识，更代表了微生物肥料项目的核心理念和愿景。它蕴含着微生物肥料项目所要解决问题的关键字，具有强烈的表达和辨识度，为微生物肥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微生物肥料项目目标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微生物肥料项目的核心目标是提供一种全新、高效的解决方案，满足客户日益增长的需求。微生物肥料项目追求的不仅仅是满足市场需求，更是在市场中获得卓越的竞争优势。通过不断提升产品或服务的质量和创新水平，微生物肥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微生物肥料项目范围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全面涵盖了产品研发、制造、市场推广和售后服务，确保从产品设计到最终用户体验的全方位关注。这一全面的微生物肥料项目范围是为了确保微生物肥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微生物肥料项目时间表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微生物肥料项目计划在未来18个月内完成，包括研发、测试、市场试点和正式推出等不同阶段。这个时间表的合理设计是为了确保微生物肥料项目各个阶段的顺利推进，以便按时交付高质量的成果。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微生物肥料项目预算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微生物肥料项目总预算估算为XX百万美元，主要分配在研发、市场推广、人员培训和运营等方面。这一充足的预算为微生物肥料项目提供了充足的资源，确保微生物肥料项目在各个方面都能取得优异的表现。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微生物肥料项目风险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可能面临的风险包括市场接受度低、技术难题、竞争激烈等。微生物肥料项目团队已经制定了相应的风险应对计划，通过前瞻性的风险管理，确保微生物肥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微生物肥料项目团队</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微生物肥料项目汇聚了一支经验丰富、多领域专业素养的核心团队，确保微生物肥料项目在各个方面都能拥有高水平的执行力。团队的协同作战是微生物肥料项目成功的关键因素之一。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微生物肥料项目背景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微生物肥料项目的背景根植于市场对更高效、创新产品的渴望，同时也受到科技发展对行业格局的深刻改变的影响。这为微生物肥料项目提供了广阔的发展空间和市场需求。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微生物肥料项目现状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截至目前，微生物肥料项目已完成市场调研和技术验证，取得了初步的成功。这为微生物肥料项目在未来的发展奠定了坚实的基础，为更远大的目标打下了坚实的基石。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27456"/>
      <w:r>
        <w:rPr>
          <w:rFonts w:ascii="仿宋" w:eastAsia="仿宋" w:hAnsi="仿宋" w:cs="仿宋" w:hint="eastAsia"/>
          <w:sz w:val="28"/>
          <w:lang w:eastAsia="zh-CN"/>
        </w:rPr>
        <w:t>(二)、微生物肥料项目目标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keyword》微生物肥料项目首要业务目标是在市场中占据有利地位，实现产品/服务的成功推广和销售。通过不断提升产品质量、创新性，微生物肥料项目追求成为行业中的领导者，赢得更多客户的青睐。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在科技迅速发展的时代，微生物肥料项目着眼于技术创新。通过持续的研发和技术升级，微生物肥料项目旨在推出更具创新性的产品或服务，以满足市场对新鲜、先进解决方案的需求。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为了建立可持续的客户关系，微生物肥料项目设定了客户满意度目标。通过提供卓越的产品质量和优质的客户服务，微生物肥料项目追求赢得客户的信任和忠诚度，确保他们的满意度达到行业领先水平。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微生物肥料项目注重社会责任和可持续发展。通过实施环保、社会责任微生物肥料项目，微生物肥料项目致力于在经济发展的同时保护环境，促进社会公平，实现可持续经营。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微生物肥料项目的团队是实现目标的核心驱动力。因此，微生物肥料项目设定了团队发展目标，包括提升团队成员的专业技能、培养领导力，以及搭建协同高效的团队工作氛围。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27945"/>
      <w:r>
        <w:rPr>
          <w:rFonts w:ascii="仿宋" w:eastAsia="仿宋" w:hAnsi="仿宋" w:cs="仿宋" w:hint="eastAsia"/>
          <w:sz w:val="28"/>
          <w:lang w:eastAsia="zh-CN"/>
        </w:rPr>
        <w:t>(三)、微生物肥料项目提出的理由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微生物肥料项目提出的理由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的提出源于对市场机遇的深刻洞察。当前市场中存在的需求缺口和行业发展趋势表明，有巨大的商业机会等待被开发。通过准确捕捉市场机遇，微生物肥料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的理念基于对技术创新的信仰。通过持续的研发和技术投入，微生物肥料项目有望推出更具创新性的产品或服务。在科技飞速发展的当下，微生物肥料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的提出是为了增强企业的行业竞争力。通过提升产品或服务的质量和独特性，微生物肥料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响应了消费者需求的变化。随着社会和科技的不断发展，消费者对产品和服务的需求也在发生变化。通过深入了解并及时回应消费者的新需求，微生物肥料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微生物肥料项目的提出是企业战略发展规划的一部分。在面对日益激烈的市场竞争和不断变化的商业环境中，微生物肥料项目作为企业战略的一环，旨在为企业开辟新的增长领域，巩固企业在行业中的地位。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的提出不仅仅是基于商业考量，还注重社会责任。通过推出环保、社会责任等方面的微生物肥料项目，微生物肥料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微生物肥料项目的提出反映了对利益相关者期望的关注。包括客户、员工、投资者等利益相关者在企业发展中都有着各自的期望，微生物肥料项目力求在满足这些期望的同时，取得更大的共赢。</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3" w:name="_Toc19223"/>
      <w:r>
        <w:rPr>
          <w:rFonts w:ascii="仿宋" w:eastAsia="仿宋" w:hAnsi="仿宋" w:cs="仿宋" w:hint="eastAsia"/>
          <w:sz w:val="28"/>
          <w:lang w:eastAsia="zh-CN"/>
        </w:rPr>
        <w:t>(四)、微生物肥料项目意义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在实施微生物肥料项目的过程中，我们不仅仅是在追逐商业成功，更是为企业和社会的多个层面创造了深远的意义。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肥料项目的首要意义在于提升企业的市场竞争力。通过持续的创新和对产品质量的高标准要求，微生物肥料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微生物肥料项目的推进将促使行业技术水平的提升。通过引入先进技术和创新性解决方案，微生物肥料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微生物肥料项目不仅创造了大量就业机会，提高了就业水平，还注重社会责任和环保。通过参与社会公益事业和推动环保微生物肥料项目，微生物肥料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综合而言，微生物肥料项目意义重大，不仅推动了企业的发展，也为行业和社会的进步贡献了积极力量。这是一个全面而深刻的影响，将在未来产生可持续的正面效应。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28547"/>
      <w:r>
        <w:rPr>
          <w:rFonts w:ascii="仿宋" w:eastAsia="仿宋" w:hAnsi="仿宋" w:cs="仿宋" w:hint="eastAsia"/>
          <w:sz w:val="28"/>
          <w:lang w:eastAsia="zh-CN"/>
        </w:rPr>
        <w:t>(五)、微生物肥料项目背景</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在当今迅猛发展的商业环境中，微生物肥料项目的动因根植于对多方面因素的审慎考量。这个微生物肥料项目的提出并非孤立的决策，而是对企业所处背景深入思考的产物。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微生物肥料项目背后的首要原因。科技的迅速发展和全球市场的快速变化使得企业必须灵活应对。微生物肥料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竞争的激烈程度也是微生物肥料项目背景中不可忽视的一环。企业需要在激烈竞争中脱颖而出，为此，微生物肥料项目致力于打破常规，提供独特的价值主张，以吸引客户并确保市场份额的增长。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技术的迅速发展为企业带来了机遇与挑战。作为微生物肥料项目启动的背景之一，对新兴技术的应用将有助于提升企业的技术水平，使其在不断演进的商业环境中保持竞争优势。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此外，社会对企业责任的期望也在逐渐升高。微生物肥料项目充分融入了社会责任的理念，通过可持续经营和社会公益微生物肥料项目，企图为社会贡献一份力量，在商业成功的同时关注社会价值。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19467"/>
      <w:r>
        <w:rPr>
          <w:rFonts w:ascii="仿宋" w:eastAsia="仿宋" w:hAnsi="仿宋" w:cs="仿宋" w:hint="eastAsia"/>
          <w:sz w:val="28"/>
          <w:lang w:eastAsia="zh-CN"/>
        </w:rPr>
        <w:t>四、微生物肥料项目选址可行性分析</w:t>
      </w:r>
      <w:bookmarkEnd w:id="15"/>
    </w:p>
    <w:p>
      <w:pPr>
        <w:pStyle w:val="Heading2"/>
        <w:rPr>
          <w:rFonts w:ascii="仿宋" w:eastAsia="仿宋" w:hAnsi="仿宋" w:cs="仿宋" w:hint="eastAsia"/>
          <w:lang w:eastAsia="zh-CN"/>
        </w:rPr>
      </w:pPr>
      <w:bookmarkStart w:id="16" w:name="_Toc3004"/>
      <w:r>
        <w:rPr>
          <w:rFonts w:ascii="仿宋" w:eastAsia="仿宋" w:hAnsi="仿宋" w:cs="仿宋" w:hint="eastAsia"/>
          <w:lang w:eastAsia="zh-CN"/>
        </w:rPr>
        <w:t>(一)、微生物肥料项目选址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该微生物肥料项目选址位于XX省XX市XX区XXX街道</w:t>
      </w:r>
    </w:p>
    <w:p>
      <w:pPr>
        <w:pStyle w:val="Heading2"/>
        <w:ind w:firstLine="560" w:firstLineChars="200"/>
        <w:rPr>
          <w:rFonts w:ascii="仿宋" w:eastAsia="仿宋" w:hAnsi="仿宋" w:cs="仿宋" w:hint="eastAsia"/>
          <w:sz w:val="28"/>
          <w:lang w:eastAsia="zh-CN"/>
        </w:rPr>
      </w:pPr>
      <w:bookmarkStart w:id="17" w:name="_Toc29884"/>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微生物肥料项目的征地面积将根据微生物肥料项目的实际规模和需求进行精确规划。具体面积XXX平方米，旨在确保微生物肥料项目不仅能够满足当前的发展需求，还能够预留空间以适应未来的扩展。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净用地面积是在征地面积基础上去除不可利用面积后的实际可开发用地。具体面积XXX平方米，考虑到环保、交通、安全等多方面因素，以确保微生物肥料项目在整体利用效率上达到最优。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微生物肥料项目计划建设的建筑总规模具体面积XXX平方米。这一规模的确定综合考虑了微生物肥料项目的性质、规模，以及城市规划的相关要求，确保建筑布局与周边环境协调一致。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绿地率是微生物肥料项目用地中被规划为绿地的比例。具体面积XXX平方米，旨在通过合理规划绿地，改善微生物肥料项目周边环境，提升居民生活质量，并符合城市整体绿化规划。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容积率是用地上可以建设的建筑总体积与用地面积之比。具体面积XXX，通过合理的容积率规划，确保微生物肥料项目建筑规模与周边环境和谐共生。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微生物肥料项目选址与当地城市规划相一致，具体面积XXX平方米。通过与城市规划部门深入沟通，确保微生物肥料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微生物肥料项目选址符合当地产业政策，具体面积XXX平方米。这包括微生物肥料项目对当地经济的促进作用，以及对相关产业的带动效应，确保微生物肥料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用地总体要求必须符合环保和可持续发展的原则，具体面积XXX平方米。通过采用绿色建筑设计、节能减排等措施，确保微生物肥料项目在建设和运营过程中对环境的影响最小化，达到可持续发展的要求。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确保微生物肥料项目选址具备必要的公共设施配套，具体面积XXX平方米。这包括交通便利性、教育、医疗等基础设施，以提高居民生活品质，使得微生物肥料项目选址更具吸引力。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考虑用地总体要求对当地社会稳定性的影响，具体面积XXX平方米。通过深入了解当地社区反馈，确保微生物肥料项目的选址和建设过程对当地社会和谐稳定产生积极作用。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微生物肥料项目选址不仅符合法规和规划，还在实际操作中具有可行性。这一全面规划将为微生物肥料项目的成功实施提供坚实的基础，确保微生物肥料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2480"/>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https://d.book118.com/516051142140010051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微生物肥料项目规划设计方案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AE2C33"/>
    <w:rsid w:val="2DAE2C3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16051142140010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2024-02-17T08:10:00Z</dcterms:created>
  <dcterms:modified xsi:type="dcterms:W3CDTF">2024-02-17T08:10:21Z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E98BE9CEB5E94D94BF606F60F5C93689_11</vt:lpwstr>
  </property>
  <property fmtid="{D5CDD505-2E9C-101B-9397-08002B2CF9AE}" pid="3" name="KSOProductBuildVer">
    <vt:lpwstr>2052-12.1.0.16250</vt:lpwstr>
  </property>
</Properties>
</file>