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27" w:line="219" w:lineRule="auto"/>
        <w:ind w:left="168"/>
        <w:outlineLvl w:val="0"/>
        <w:rPr>
          <w:sz w:val="45"/>
          <w:szCs w:val="45"/>
        </w:rPr>
      </w:pPr>
      <w:r>
        <w:rPr>
          <w:spacing w:val="-7"/>
          <w:sz w:val="45"/>
          <w:szCs w:val="45"/>
        </w:rPr>
        <w:t>《保健食品中番茄红素的测定》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46" w:line="219" w:lineRule="auto"/>
        <w:ind w:left="1933"/>
        <w:outlineLvl w:val="0"/>
        <w:rPr>
          <w:sz w:val="45"/>
          <w:szCs w:val="45"/>
        </w:rPr>
      </w:pPr>
      <w:r>
        <w:rPr>
          <w:spacing w:val="12"/>
          <w:sz w:val="45"/>
          <w:szCs w:val="45"/>
        </w:rPr>
        <w:t>(征求意见稿)编制说明</w:t>
      </w:r>
    </w:p>
    <w:p>
      <w:pPr>
        <w:pStyle w:val="BodyText"/>
        <w:spacing w:before="319" w:line="667" w:lineRule="exact"/>
        <w:ind w:left="23"/>
        <w:rPr>
          <w:sz w:val="33"/>
          <w:szCs w:val="33"/>
        </w:rPr>
      </w:pPr>
      <w:r>
        <w:rPr>
          <w:spacing w:val="-13"/>
          <w:position w:val="25"/>
          <w:sz w:val="33"/>
          <w:szCs w:val="33"/>
        </w:rPr>
        <w:t>一、工作简况</w:t>
      </w:r>
    </w:p>
    <w:p>
      <w:pPr>
        <w:spacing w:before="1" w:line="220" w:lineRule="auto"/>
        <w:ind w:left="18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24"/>
          <w:sz w:val="27"/>
          <w:szCs w:val="27"/>
        </w:rPr>
        <w:t>(一)任务来源</w:t>
      </w:r>
    </w:p>
    <w:p>
      <w:pPr>
        <w:pStyle w:val="BodyText"/>
        <w:spacing w:before="300" w:line="427" w:lineRule="auto"/>
        <w:ind w:left="43" w:right="209" w:firstLine="560"/>
        <w:jc w:val="both"/>
      </w:pPr>
      <w:r>
        <w:rPr>
          <w:spacing w:val="14"/>
        </w:rPr>
        <w:t>根据《国家标准化管理委员会关于下达20</w:t>
      </w:r>
      <w:r>
        <w:rPr>
          <w:spacing w:val="13"/>
        </w:rPr>
        <w:t>23年第二批推荐性国</w:t>
      </w:r>
      <w:r>
        <w:t xml:space="preserve"> </w:t>
      </w:r>
      <w:r>
        <w:rPr>
          <w:spacing w:val="17"/>
        </w:rPr>
        <w:t>家标准计划及相关标准外文版计划的通知》</w:t>
      </w:r>
      <w:r>
        <w:rPr>
          <w:spacing w:val="7"/>
        </w:rPr>
        <w:t xml:space="preserve">  </w:t>
      </w:r>
      <w:r>
        <w:rPr>
          <w:spacing w:val="17"/>
        </w:rPr>
        <w:t>(国标委发(2023)37</w:t>
      </w:r>
      <w:r>
        <w:rPr>
          <w:spacing w:val="1"/>
        </w:rPr>
        <w:t xml:space="preserve"> </w:t>
      </w:r>
      <w:r>
        <w:rPr>
          <w:spacing w:val="-3"/>
        </w:rPr>
        <w:t>号</w:t>
      </w:r>
      <w:r>
        <w:rPr>
          <w:spacing w:val="-35"/>
        </w:rPr>
        <w:t xml:space="preserve"> </w:t>
      </w:r>
      <w:r>
        <w:rPr>
          <w:spacing w:val="-3"/>
        </w:rPr>
        <w:t>)</w:t>
      </w:r>
      <w:r>
        <w:rPr>
          <w:spacing w:val="-40"/>
        </w:rPr>
        <w:t xml:space="preserve"> </w:t>
      </w:r>
      <w:r>
        <w:rPr>
          <w:spacing w:val="-3"/>
        </w:rPr>
        <w:t>,</w:t>
      </w:r>
      <w:r>
        <w:rPr>
          <w:spacing w:val="72"/>
        </w:rPr>
        <w:t xml:space="preserve"> </w:t>
      </w:r>
      <w:r>
        <w:rPr>
          <w:spacing w:val="-3"/>
        </w:rPr>
        <w:t>《保健食品中番茄红素的测定》</w:t>
      </w:r>
      <w:r>
        <w:rPr>
          <w:spacing w:val="95"/>
        </w:rPr>
        <w:t xml:space="preserve"> </w:t>
      </w:r>
      <w:r>
        <w:rPr>
          <w:spacing w:val="-3"/>
        </w:rPr>
        <w:t>(计划号20230862-T-424) 列</w:t>
      </w:r>
      <w:r>
        <w:t xml:space="preserve"> </w:t>
      </w:r>
      <w:r>
        <w:rPr>
          <w:spacing w:val="5"/>
        </w:rPr>
        <w:t>入修订计划，由全国特殊食品标准化技术委员</w:t>
      </w:r>
      <w:r>
        <w:rPr>
          <w:spacing w:val="4"/>
        </w:rPr>
        <w:t>会归口，由中国食品发</w:t>
      </w:r>
    </w:p>
    <w:p>
      <w:pPr>
        <w:pStyle w:val="BodyText"/>
        <w:spacing w:line="218" w:lineRule="auto"/>
        <w:ind w:left="43"/>
      </w:pPr>
      <w:r>
        <w:rPr>
          <w:spacing w:val="6"/>
        </w:rPr>
        <w:t>酵工业研究院有限公司等单位共同组织完成起草修订工</w:t>
      </w:r>
      <w:r>
        <w:rPr>
          <w:spacing w:val="5"/>
        </w:rPr>
        <w:t>作。</w:t>
      </w:r>
    </w:p>
    <w:p>
      <w:pPr>
        <w:spacing w:before="299" w:line="221" w:lineRule="auto"/>
        <w:ind w:left="17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26"/>
          <w:sz w:val="27"/>
          <w:szCs w:val="27"/>
        </w:rPr>
        <w:t>(二)修订背景</w:t>
      </w:r>
    </w:p>
    <w:p>
      <w:pPr>
        <w:pStyle w:val="BodyText"/>
        <w:spacing w:before="298" w:line="219" w:lineRule="auto"/>
        <w:ind w:left="43"/>
      </w:pPr>
      <w:r>
        <w:rPr>
          <w:spacing w:val="5"/>
        </w:rPr>
        <w:t>1、研究背景与意义</w:t>
      </w:r>
    </w:p>
    <w:p>
      <w:pPr>
        <w:pStyle w:val="BodyText"/>
        <w:spacing w:before="301" w:line="425" w:lineRule="auto"/>
        <w:ind w:left="23" w:firstLine="570"/>
      </w:pPr>
      <w:r>
        <w:rPr>
          <w:spacing w:val="6"/>
        </w:rPr>
        <w:t>番茄红素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(</w:t>
      </w:r>
      <w:r>
        <w:rPr>
          <w:rFonts w:ascii="Times New Roman" w:eastAsia="Times New Roman" w:hAnsi="Times New Roman" w:cs="Times New Roman"/>
        </w:rPr>
        <w:t>Lycopene</w:t>
      </w:r>
      <w:r>
        <w:rPr>
          <w:rFonts w:ascii="Times New Roman" w:eastAsia="Times New Roman" w:hAnsi="Times New Roman" w:cs="Times New Roman"/>
          <w:spacing w:val="6"/>
        </w:rPr>
        <w:t>,</w:t>
      </w:r>
      <w:r>
        <w:rPr>
          <w:rFonts w:ascii="Times New Roman" w:eastAsia="Times New Roman" w:hAnsi="Times New Roman" w:cs="Times New Roman"/>
        </w:rPr>
        <w:t>LYC</w:t>
      </w:r>
      <w:r>
        <w:rPr>
          <w:rFonts w:ascii="Times New Roman" w:eastAsia="Times New Roman" w:hAnsi="Times New Roman" w:cs="Times New Roman"/>
          <w:spacing w:val="6"/>
        </w:rPr>
        <w:t xml:space="preserve">)      </w:t>
      </w:r>
      <w:r>
        <w:rPr>
          <w:spacing w:val="6"/>
        </w:rPr>
        <w:t>是一种类胡萝卜</w:t>
      </w:r>
      <w:r>
        <w:rPr>
          <w:spacing w:val="5"/>
        </w:rPr>
        <w:t xml:space="preserve">素，主要存在于成  </w:t>
      </w:r>
      <w:r>
        <w:rPr>
          <w:spacing w:val="4"/>
        </w:rPr>
        <w:t>熟番茄等果实及其制品中。番茄红素具有长链多</w:t>
      </w:r>
      <w:r>
        <w:rPr>
          <w:spacing w:val="3"/>
        </w:rPr>
        <w:t>不饱和烯烃分子结构，</w:t>
      </w:r>
      <w:r>
        <w:t xml:space="preserve"> </w:t>
      </w:r>
      <w:r>
        <w:rPr>
          <w:spacing w:val="4"/>
        </w:rPr>
        <w:t xml:space="preserve">使其不仅具有很强的抗氧化和消除自由基能力，还具有降低心血管疾  </w:t>
      </w:r>
      <w:r>
        <w:rPr>
          <w:spacing w:val="4"/>
        </w:rPr>
        <w:t xml:space="preserve">病风、增强免疫力、抑制肿瘤增殖等作用。随着“大健康”理念的不  </w:t>
      </w:r>
      <w:r>
        <w:rPr>
          <w:spacing w:val="4"/>
        </w:rPr>
        <w:t xml:space="preserve">断深入，番茄红素等具有合理营养和保健功能的食品成了新的消费潮  </w:t>
      </w:r>
      <w:r>
        <w:rPr>
          <w:spacing w:val="6"/>
        </w:rPr>
        <w:t>流。联合国粮农组织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(</w:t>
      </w:r>
      <w:r>
        <w:rPr>
          <w:rFonts w:ascii="Times New Roman" w:eastAsia="Times New Roman" w:hAnsi="Times New Roman" w:cs="Times New Roman"/>
        </w:rPr>
        <w:t>FAO</w:t>
      </w:r>
      <w:r>
        <w:rPr>
          <w:rFonts w:ascii="Times New Roman" w:eastAsia="Times New Roman" w:hAnsi="Times New Roman" w:cs="Times New Roman"/>
          <w:spacing w:val="6"/>
        </w:rPr>
        <w:t>)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6"/>
        </w:rPr>
        <w:t>、</w:t>
      </w:r>
      <w:r>
        <w:rPr>
          <w:spacing w:val="106"/>
        </w:rPr>
        <w:t xml:space="preserve"> </w:t>
      </w:r>
      <w:r>
        <w:rPr>
          <w:spacing w:val="6"/>
        </w:rPr>
        <w:t xml:space="preserve">食品添加剂委员会 </w:t>
      </w:r>
      <w:r>
        <w:rPr>
          <w:rFonts w:ascii="Times New Roman" w:eastAsia="Times New Roman" w:hAnsi="Times New Roman" w:cs="Times New Roman"/>
          <w:spacing w:val="6"/>
        </w:rPr>
        <w:t>(</w:t>
      </w:r>
      <w:r>
        <w:rPr>
          <w:rFonts w:ascii="Times New Roman" w:eastAsia="Times New Roman" w:hAnsi="Times New Roman" w:cs="Times New Roman"/>
        </w:rPr>
        <w:t>JECFA</w:t>
      </w:r>
      <w:r>
        <w:rPr>
          <w:rFonts w:ascii="Times New Roman" w:eastAsia="Times New Roman" w:hAnsi="Times New Roman" w:cs="Times New Roman"/>
          <w:spacing w:val="6"/>
        </w:rPr>
        <w:t xml:space="preserve">)   </w:t>
      </w:r>
      <w:r>
        <w:rPr>
          <w:spacing w:val="6"/>
        </w:rPr>
        <w:t>和</w:t>
      </w:r>
      <w:r>
        <w:rPr>
          <w:spacing w:val="5"/>
        </w:rPr>
        <w:t>世界</w:t>
      </w:r>
    </w:p>
    <w:p>
      <w:pPr>
        <w:pStyle w:val="BodyText"/>
        <w:spacing w:line="212" w:lineRule="auto"/>
        <w:ind w:left="33"/>
      </w:pPr>
      <w:r>
        <w:rPr>
          <w:spacing w:val="5"/>
        </w:rPr>
        <w:t xml:space="preserve">卫生组织 </w:t>
      </w:r>
      <w:r>
        <w:rPr>
          <w:rFonts w:ascii="Times New Roman" w:eastAsia="Times New Roman" w:hAnsi="Times New Roman" w:cs="Times New Roman"/>
          <w:spacing w:val="5"/>
        </w:rPr>
        <w:t>(</w:t>
      </w:r>
      <w:r>
        <w:rPr>
          <w:rFonts w:ascii="Times New Roman" w:eastAsia="Times New Roman" w:hAnsi="Times New Roman" w:cs="Times New Roman"/>
        </w:rPr>
        <w:t>WHO</w:t>
      </w:r>
      <w:r>
        <w:rPr>
          <w:rFonts w:ascii="Times New Roman" w:eastAsia="Times New Roman" w:hAnsi="Times New Roman" w:cs="Times New Roman"/>
          <w:spacing w:val="5"/>
        </w:rPr>
        <w:t xml:space="preserve">)    </w:t>
      </w:r>
      <w:r>
        <w:rPr>
          <w:spacing w:val="5"/>
        </w:rPr>
        <w:t>也已批准番茄红素为</w:t>
      </w:r>
      <w:r>
        <w:rPr>
          <w:rFonts w:ascii="Times New Roman" w:eastAsia="Times New Roman" w:hAnsi="Times New Roman" w:cs="Times New Roman"/>
          <w:spacing w:val="5"/>
        </w:rPr>
        <w:t>A</w:t>
      </w:r>
      <w:r>
        <w:rPr>
          <w:rFonts w:ascii="Times New Roman" w:eastAsia="Times New Roman" w:hAnsi="Times New Roman" w:cs="Times New Roman"/>
          <w:spacing w:val="41"/>
          <w:w w:val="101"/>
        </w:rPr>
        <w:t xml:space="preserve"> </w:t>
      </w:r>
      <w:r>
        <w:rPr>
          <w:spacing w:val="5"/>
        </w:rPr>
        <w:t>类营养素。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9" w:line="427" w:lineRule="auto"/>
        <w:ind w:left="33" w:right="150" w:firstLine="560"/>
      </w:pPr>
      <w:r>
        <w:rPr>
          <w:spacing w:val="5"/>
        </w:rPr>
        <w:t>番茄红素独特的分子结构造成其对光照反应</w:t>
      </w:r>
      <w:r>
        <w:rPr>
          <w:spacing w:val="4"/>
        </w:rPr>
        <w:t>十分敏感，容易发生</w:t>
      </w:r>
      <w:r>
        <w:t xml:space="preserve"> </w:t>
      </w:r>
      <w:r>
        <w:rPr>
          <w:spacing w:val="-2"/>
        </w:rPr>
        <w:t>顺反异构反应和氧化降解，故其稳定性很差。随着技术的进度与发展，</w:t>
      </w:r>
    </w:p>
    <w:p>
      <w:pPr>
        <w:pStyle w:val="BodyText"/>
        <w:spacing w:line="219" w:lineRule="auto"/>
        <w:ind w:left="53"/>
      </w:pPr>
      <w:r>
        <w:rPr>
          <w:spacing w:val="4"/>
        </w:rPr>
        <w:t>为了减少食品中番茄红素成分的损失，多种形式的微胶囊化技术已成</w:t>
      </w:r>
    </w:p>
    <w:p>
      <w:pPr>
        <w:spacing w:line="219" w:lineRule="auto"/>
        <w:sectPr>
          <w:pgSz w:w="11910" w:h="16840"/>
          <w:pgMar w:top="1431" w:right="1614" w:bottom="0" w:left="1786" w:header="0" w:footer="0" w:gutter="0"/>
          <w:cols w:space="708"/>
        </w:sectPr>
      </w:pPr>
    </w:p>
    <w:p>
      <w:pPr>
        <w:pStyle w:val="BodyText"/>
        <w:spacing w:before="185" w:line="411" w:lineRule="auto"/>
        <w:ind w:left="23" w:right="61" w:firstLine="5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功应用于保健食品原料番茄红素中，而现有的标准检测方法已经不能</w:t>
      </w:r>
      <w:r>
        <w:rPr>
          <w:spacing w:val="10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够满足于部分样品的检测，主要表现在</w:t>
      </w:r>
      <w:r>
        <w:rPr>
          <w:spacing w:val="-11"/>
          <w:sz w:val="28"/>
          <w:szCs w:val="28"/>
        </w:rPr>
        <w:t>：（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1</w:t>
      </w:r>
      <w:r>
        <w:rPr>
          <w:spacing w:val="2"/>
          <w:sz w:val="28"/>
          <w:szCs w:val="28"/>
        </w:rPr>
        <w:t>）前处理检测方法不适</w:t>
      </w:r>
      <w:r>
        <w:rPr>
          <w:spacing w:val="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用导致检测含量较理论值偏低。核心技术原因是直接使用溶剂萃取微</w:t>
      </w:r>
      <w:r>
        <w:rPr>
          <w:spacing w:val="1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胶囊化的产品时，无法实现产品破壁，造成番茄红素成分无法释放出</w:t>
      </w:r>
      <w:r>
        <w:rPr>
          <w:spacing w:val="15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来。（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</w:t>
      </w:r>
      <w:r>
        <w:rPr>
          <w:spacing w:val="1"/>
          <w:sz w:val="28"/>
          <w:szCs w:val="28"/>
        </w:rPr>
        <w:t>）番茄红素标准品不稳定。番茄红素标准品易氧化降解，从</w:t>
      </w:r>
      <w:r>
        <w:rPr>
          <w:spacing w:val="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生产、储存、运输到用户使用过程，极难保证其含量不损失，标准品</w:t>
      </w:r>
      <w:r>
        <w:rPr>
          <w:spacing w:val="15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损失的不确定性造成检测误差不可控。（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</w:t>
      </w:r>
      <w:r>
        <w:rPr>
          <w:spacing w:val="1"/>
          <w:sz w:val="28"/>
          <w:szCs w:val="28"/>
        </w:rPr>
        <w:t>）色谱条件适用性差。流</w:t>
      </w:r>
    </w:p>
    <w:p>
      <w:pPr>
        <w:pStyle w:val="BodyText"/>
        <w:spacing w:before="1" w:line="219" w:lineRule="auto"/>
        <w:ind w:left="26"/>
        <w:rPr>
          <w:sz w:val="28"/>
          <w:szCs w:val="28"/>
        </w:rPr>
      </w:pPr>
      <w:r>
        <w:rPr>
          <w:spacing w:val="-1"/>
          <w:sz w:val="28"/>
          <w:szCs w:val="28"/>
        </w:rPr>
        <w:t>动相条件仅在某类品牌色谱柱上能进行方法重现，普适性较差。</w:t>
      </w:r>
    </w:p>
    <w:p>
      <w:pPr>
        <w:pStyle w:val="BodyText"/>
        <w:spacing w:before="294" w:line="411" w:lineRule="auto"/>
        <w:ind w:left="23" w:right="61" w:firstLine="594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由于现行标准存在的以上问题，导致了企业使用无技术依据，政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府监管缺乏技术手段。因此，亟需对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GB/T 22249-2008</w:t>
      </w:r>
      <w:r>
        <w:rPr>
          <w:sz w:val="28"/>
          <w:szCs w:val="28"/>
        </w:rPr>
        <w:t>《</w:t>
      </w:r>
      <w:r>
        <w:rPr>
          <w:spacing w:val="-1"/>
          <w:sz w:val="28"/>
          <w:szCs w:val="28"/>
        </w:rPr>
        <w:t>保健食品中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番茄红素的检测》标准进行修订，建立切实可行的技术操作方法，满</w:t>
      </w:r>
      <w:r>
        <w:rPr>
          <w:spacing w:val="1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足各类样品的检测，保障行业的健康发展。并通过对产品中番茄红素</w:t>
      </w:r>
      <w:r>
        <w:rPr>
          <w:spacing w:val="1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的精准测量来确认产品货架期，以及产品保质期内番茄红素含量对产</w:t>
      </w:r>
      <w:r>
        <w:rPr>
          <w:spacing w:val="1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品质量的控制和消费者权益保护具有重要意义，为保健食品科学监管</w:t>
      </w:r>
    </w:p>
    <w:p>
      <w:pPr>
        <w:pStyle w:val="BodyText"/>
        <w:spacing w:line="219" w:lineRule="auto"/>
        <w:ind w:left="26"/>
        <w:rPr>
          <w:sz w:val="28"/>
          <w:szCs w:val="28"/>
        </w:rPr>
      </w:pPr>
      <w:r>
        <w:rPr>
          <w:spacing w:val="-2"/>
          <w:sz w:val="28"/>
          <w:szCs w:val="28"/>
        </w:rPr>
        <w:t>提供技术支撑。</w:t>
      </w:r>
    </w:p>
    <w:p>
      <w:pPr>
        <w:pStyle w:val="BodyText"/>
        <w:spacing w:before="291" w:line="220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</w:t>
      </w:r>
      <w:r>
        <w:rPr>
          <w:b/>
          <w:bCs/>
          <w:spacing w:val="-4"/>
          <w:sz w:val="28"/>
          <w:szCs w:val="28"/>
        </w:rPr>
        <w:t>）国内外相关标准法规</w:t>
      </w:r>
    </w:p>
    <w:p>
      <w:pPr>
        <w:pStyle w:val="BodyText"/>
        <w:spacing w:before="293" w:line="411" w:lineRule="auto"/>
        <w:ind w:left="20" w:firstLine="617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目前，关于番茄红素含量检测的标准主要有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GB 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8316-2012</w:t>
      </w:r>
      <w:r>
        <w:rPr>
          <w:spacing w:val="-5"/>
          <w:sz w:val="28"/>
          <w:szCs w:val="28"/>
        </w:rPr>
        <w:t>《食</w:t>
      </w:r>
      <w:r>
        <w:rPr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品安全国家标准 食品添加剂番茄红》</w:t>
      </w:r>
      <w:r>
        <w:rPr>
          <w:spacing w:val="-106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（与</w:t>
      </w:r>
      <w:r>
        <w:rPr>
          <w:spacing w:val="-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JECFA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标准：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Lycopene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Extract From Tomato</w:t>
      </w:r>
      <w:r>
        <w:rPr>
          <w:spacing w:val="-2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Lycopene (To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mato); INS</w:t>
      </w:r>
      <w:r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160d(ii)</w:t>
      </w:r>
      <w:r>
        <w:rPr>
          <w:spacing w:val="-3"/>
          <w:sz w:val="28"/>
          <w:szCs w:val="28"/>
        </w:rPr>
        <w:t>）标准相似）、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GB/T 22249-2008</w:t>
      </w:r>
      <w:r>
        <w:rPr>
          <w:sz w:val="28"/>
          <w:szCs w:val="28"/>
        </w:rPr>
        <w:t>《保健食品中番茄</w:t>
      </w:r>
      <w:r>
        <w:rPr>
          <w:spacing w:val="-1"/>
          <w:sz w:val="28"/>
          <w:szCs w:val="28"/>
        </w:rPr>
        <w:t>红素的测定》、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GB/T 41133-2022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spacing w:val="1"/>
          <w:sz w:val="28"/>
          <w:szCs w:val="28"/>
        </w:rPr>
        <w:t>《番茄制品中番茄红素、叶黄素、胡萝卜素含量的测定 超高效液相</w:t>
      </w:r>
    </w:p>
    <w:p>
      <w:pPr>
        <w:pStyle w:val="BodyText"/>
        <w:spacing w:before="2" w:line="219" w:lineRule="auto"/>
        <w:ind w:left="28"/>
        <w:rPr>
          <w:sz w:val="28"/>
          <w:szCs w:val="28"/>
        </w:rPr>
      </w:pPr>
      <w:r>
        <w:rPr>
          <w:spacing w:val="-7"/>
          <w:sz w:val="28"/>
          <w:szCs w:val="28"/>
        </w:rPr>
        <w:t>色谱法》，以及</w:t>
      </w:r>
      <w:r>
        <w:rPr>
          <w:spacing w:val="-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SN/T 3865-2014</w:t>
      </w:r>
      <w:r>
        <w:rPr>
          <w:spacing w:val="-7"/>
          <w:sz w:val="28"/>
          <w:szCs w:val="28"/>
        </w:rPr>
        <w:t>《出口保健食品中番茄红素的测定 液</w:t>
      </w:r>
    </w:p>
    <w:p>
      <w:pPr>
        <w:spacing w:line="219" w:lineRule="auto"/>
        <w:rPr>
          <w:sz w:val="28"/>
          <w:szCs w:val="28"/>
        </w:rPr>
        <w:sectPr>
          <w:pgSz w:w="11906" w:h="16839"/>
          <w:pgMar w:top="1431" w:right="1737" w:bottom="0" w:left="1785" w:header="0" w:footer="0" w:gutter="0"/>
          <w:pgNumType w:start="2"/>
          <w:cols w:space="708"/>
        </w:sectPr>
      </w:pPr>
    </w:p>
    <w:p>
      <w:pPr>
        <w:pStyle w:val="BodyText"/>
        <w:spacing w:before="187" w:line="411" w:lineRule="auto"/>
        <w:ind w:left="731" w:right="719" w:firstLine="6"/>
        <w:jc w:val="both"/>
        <w:rPr>
          <w:sz w:val="28"/>
          <w:szCs w:val="28"/>
        </w:rPr>
      </w:pPr>
      <w:r>
        <w:rPr>
          <w:sz w:val="28"/>
          <w:szCs w:val="28"/>
        </w:rPr>
        <w:t>相色谱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sz w:val="28"/>
          <w:szCs w:val="28"/>
        </w:rPr>
        <w:t>质谱</w:t>
      </w:r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sz w:val="28"/>
          <w:szCs w:val="28"/>
        </w:rPr>
        <w:t>质谱法》、</w:t>
      </w:r>
      <w:r>
        <w:rPr>
          <w:rFonts w:ascii="Times New Roman" w:eastAsia="Times New Roman" w:hAnsi="Times New Roman" w:cs="Times New Roman"/>
          <w:sz w:val="28"/>
          <w:szCs w:val="28"/>
        </w:rPr>
        <w:t>T/CCCMHPIE</w:t>
      </w:r>
      <w:r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1.28-2018</w:t>
      </w:r>
      <w:r>
        <w:rPr>
          <w:sz w:val="28"/>
          <w:szCs w:val="28"/>
        </w:rPr>
        <w:t xml:space="preserve">《植物提取物 番茄 </w:t>
      </w:r>
      <w:r>
        <w:rPr>
          <w:spacing w:val="-1"/>
          <w:sz w:val="28"/>
          <w:szCs w:val="28"/>
        </w:rPr>
        <w:t>红素》，其中保健食品中番茄红素的检测主要采用</w:t>
      </w:r>
      <w:r>
        <w:rPr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GB/T 22249-2008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标准。不同标准之间的前处理方法和色谱条件差</w:t>
      </w:r>
      <w:r>
        <w:rPr>
          <w:spacing w:val="-4"/>
          <w:sz w:val="28"/>
          <w:szCs w:val="28"/>
        </w:rPr>
        <w:t>异较大。前处理方面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GB 28316-2012</w:t>
      </w: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GB/T 22249-2008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T/CCCMHPIE</w:t>
      </w:r>
      <w:r>
        <w:rPr>
          <w:rFonts w:ascii="Times New Roman" w:eastAsia="Times New Roman" w:hAnsi="Times New Roman" w:cs="Times New Roman"/>
          <w:spacing w:val="4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1.28-2018</w:t>
      </w:r>
      <w:r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中均采</w:t>
      </w:r>
      <w:r>
        <w:rPr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用含有抗氧化剂的二氯甲烷溶液提取后直接进行仪器测</w:t>
      </w:r>
      <w:r>
        <w:rPr>
          <w:spacing w:val="13"/>
          <w:sz w:val="28"/>
          <w:szCs w:val="28"/>
        </w:rPr>
        <w:t>定；</w:t>
      </w:r>
      <w:r>
        <w:rPr>
          <w:rFonts w:ascii="Times New Roman" w:eastAsia="Times New Roman" w:hAnsi="Times New Roman" w:cs="Times New Roman"/>
          <w:sz w:val="28"/>
          <w:szCs w:val="28"/>
        </w:rPr>
        <w:t>GB</w:t>
      </w:r>
      <w:r>
        <w:rPr>
          <w:rFonts w:ascii="Times New Roman" w:eastAsia="Times New Roman" w:hAnsi="Times New Roman" w:cs="Times New Roman"/>
          <w:spacing w:val="13"/>
          <w:sz w:val="28"/>
          <w:szCs w:val="28"/>
        </w:rPr>
        <w:t>/T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41133-2022</w:t>
      </w:r>
      <w:r>
        <w:rPr>
          <w:spacing w:val="-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SN/T 3865-2014 </w:t>
      </w:r>
      <w:r>
        <w:rPr>
          <w:spacing w:val="-1"/>
          <w:sz w:val="28"/>
          <w:szCs w:val="28"/>
        </w:rPr>
        <w:t>则是完成提取后</w:t>
      </w:r>
      <w:r>
        <w:rPr>
          <w:spacing w:val="-2"/>
          <w:sz w:val="28"/>
          <w:szCs w:val="28"/>
        </w:rPr>
        <w:t>，采用中性氧化铝进行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净化，而在</w:t>
      </w:r>
      <w:r>
        <w:rPr>
          <w:spacing w:val="-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SN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/T 3865-2014 </w:t>
      </w:r>
      <w:r>
        <w:rPr>
          <w:spacing w:val="3"/>
          <w:sz w:val="28"/>
          <w:szCs w:val="28"/>
        </w:rPr>
        <w:t>标</w:t>
      </w:r>
      <w:r>
        <w:rPr>
          <w:spacing w:val="2"/>
          <w:sz w:val="28"/>
          <w:szCs w:val="28"/>
        </w:rPr>
        <w:t>准的提取过程样品需进行皂化。不同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标准中提供的可用于分离的色谱柱包括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</w:rPr>
        <w:t>18</w:t>
      </w:r>
      <w:r>
        <w:rPr>
          <w:rFonts w:ascii="Times New Roman" w:eastAsia="Times New Roman" w:hAnsi="Times New Roman" w:cs="Times New Roman"/>
          <w:spacing w:val="14"/>
          <w:w w:val="101"/>
          <w:position w:val="-1"/>
          <w:sz w:val="18"/>
          <w:szCs w:val="18"/>
        </w:rPr>
        <w:t xml:space="preserve"> </w:t>
      </w:r>
      <w:r>
        <w:rPr>
          <w:spacing w:val="-4"/>
          <w:sz w:val="28"/>
          <w:szCs w:val="28"/>
        </w:rPr>
        <w:t>和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5"/>
          <w:position w:val="-1"/>
          <w:sz w:val="18"/>
          <w:szCs w:val="18"/>
        </w:rPr>
        <w:t>30</w:t>
      </w:r>
      <w:r>
        <w:rPr>
          <w:spacing w:val="-5"/>
          <w:sz w:val="28"/>
          <w:szCs w:val="28"/>
        </w:rPr>
        <w:t>，其中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5"/>
          <w:position w:val="-1"/>
          <w:sz w:val="18"/>
          <w:szCs w:val="18"/>
        </w:rPr>
        <w:t>18</w:t>
      </w:r>
      <w:r>
        <w:rPr>
          <w:rFonts w:ascii="Times New Roman" w:eastAsia="Times New Roman" w:hAnsi="Times New Roman" w:cs="Times New Roman"/>
          <w:spacing w:val="11"/>
          <w:position w:val="-1"/>
          <w:sz w:val="18"/>
          <w:szCs w:val="18"/>
        </w:rPr>
        <w:t xml:space="preserve"> </w:t>
      </w:r>
      <w:r>
        <w:rPr>
          <w:spacing w:val="-5"/>
          <w:sz w:val="28"/>
          <w:szCs w:val="28"/>
        </w:rPr>
        <w:t>柱在五个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标准中均有提及。四个标准方法中除</w:t>
      </w:r>
      <w:r>
        <w:rPr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SN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/T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3865-2014 </w:t>
      </w:r>
      <w:r>
        <w:rPr>
          <w:spacing w:val="2"/>
          <w:sz w:val="28"/>
          <w:szCs w:val="28"/>
        </w:rPr>
        <w:t>标准采用液相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色谱质谱法外，其余方法均采用高效液相色谱法</w:t>
      </w:r>
      <w:r>
        <w:rPr>
          <w:spacing w:val="-4"/>
          <w:sz w:val="28"/>
          <w:szCs w:val="28"/>
        </w:rPr>
        <w:t>进行含量测定。以上</w:t>
      </w:r>
    </w:p>
    <w:p>
      <w:pPr>
        <w:pStyle w:val="BodyText"/>
        <w:spacing w:before="1" w:line="219" w:lineRule="auto"/>
        <w:ind w:left="738"/>
        <w:rPr>
          <w:sz w:val="28"/>
          <w:szCs w:val="28"/>
        </w:rPr>
      </w:pPr>
      <w:r>
        <w:rPr>
          <w:spacing w:val="-5"/>
          <w:sz w:val="28"/>
          <w:szCs w:val="28"/>
        </w:rPr>
        <w:t>标准具体差异见表</w:t>
      </w:r>
      <w:r>
        <w:rPr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spacing w:val="-5"/>
          <w:sz w:val="28"/>
          <w:szCs w:val="28"/>
        </w:rPr>
        <w:t>。</w:t>
      </w:r>
    </w:p>
    <w:p>
      <w:pPr>
        <w:pStyle w:val="BodyText"/>
        <w:spacing w:before="232" w:line="219" w:lineRule="auto"/>
        <w:ind w:left="3348"/>
        <w:rPr>
          <w:sz w:val="24"/>
          <w:szCs w:val="24"/>
        </w:rPr>
      </w:pPr>
      <w:r>
        <w:rPr>
          <w:spacing w:val="-4"/>
          <w:sz w:val="24"/>
          <w:szCs w:val="24"/>
        </w:rPr>
        <w:t>表</w:t>
      </w:r>
      <w:r>
        <w:rPr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   </w:t>
      </w:r>
      <w:r>
        <w:rPr>
          <w:spacing w:val="-4"/>
          <w:sz w:val="24"/>
          <w:szCs w:val="24"/>
        </w:rPr>
        <w:t>现行番茄红素检测标准比较</w:t>
      </w:r>
    </w:p>
    <w:p>
      <w:pPr>
        <w:spacing w:line="68" w:lineRule="exact"/>
      </w:pPr>
    </w:p>
    <w:tbl>
      <w:tblPr>
        <w:tblStyle w:val="TableNormal0"/>
        <w:tblW w:w="97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66"/>
        <w:gridCol w:w="1379"/>
        <w:gridCol w:w="1454"/>
        <w:gridCol w:w="1424"/>
        <w:gridCol w:w="1319"/>
        <w:gridCol w:w="2024"/>
        <w:gridCol w:w="1387"/>
      </w:tblGrid>
      <w:tr>
        <w:tblPrEx>
          <w:tblW w:w="97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5"/>
        </w:trPr>
        <w:tc>
          <w:tcPr>
            <w:tcW w:w="76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标准号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56" w:line="188" w:lineRule="auto"/>
              <w:ind w:left="566"/>
            </w:pPr>
            <w:r>
              <w:rPr>
                <w:spacing w:val="-4"/>
              </w:rPr>
              <w:t>GB</w:t>
            </w:r>
          </w:p>
          <w:p>
            <w:pPr>
              <w:pStyle w:val="TableText"/>
              <w:spacing w:before="149" w:line="188" w:lineRule="auto"/>
              <w:ind w:left="252"/>
            </w:pPr>
            <w:r>
              <w:rPr>
                <w:spacing w:val="-1"/>
              </w:rPr>
              <w:t>28316-2012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253" w:line="192" w:lineRule="auto"/>
              <w:ind w:left="527"/>
            </w:pPr>
            <w:r>
              <w:rPr>
                <w:spacing w:val="-3"/>
              </w:rPr>
              <w:t>GB/T</w:t>
            </w:r>
          </w:p>
          <w:p>
            <w:pPr>
              <w:pStyle w:val="TableText"/>
              <w:spacing w:before="149" w:line="188" w:lineRule="auto"/>
              <w:ind w:left="291"/>
            </w:pPr>
            <w:r>
              <w:rPr>
                <w:spacing w:val="-1"/>
              </w:rPr>
              <w:t>22249-2008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253" w:line="192" w:lineRule="auto"/>
              <w:ind w:left="513"/>
            </w:pPr>
            <w:r>
              <w:rPr>
                <w:spacing w:val="-3"/>
              </w:rPr>
              <w:t>GB/T</w:t>
            </w:r>
          </w:p>
          <w:p>
            <w:pPr>
              <w:pStyle w:val="TableText"/>
              <w:spacing w:before="149" w:line="188" w:lineRule="auto"/>
              <w:ind w:left="281"/>
            </w:pPr>
            <w:r>
              <w:rPr>
                <w:spacing w:val="-1"/>
              </w:rPr>
              <w:t>41133-2022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before="253" w:line="192" w:lineRule="auto"/>
              <w:ind w:left="474"/>
            </w:pPr>
            <w:r>
              <w:rPr>
                <w:spacing w:val="-3"/>
              </w:rPr>
              <w:t>SN/T</w:t>
            </w:r>
          </w:p>
          <w:p>
            <w:pPr>
              <w:pStyle w:val="TableText"/>
              <w:spacing w:before="149" w:line="188" w:lineRule="auto"/>
              <w:ind w:left="275"/>
            </w:pPr>
            <w:r>
              <w:rPr>
                <w:spacing w:val="-1"/>
              </w:rPr>
              <w:t>3865-2014</w:t>
            </w:r>
          </w:p>
        </w:tc>
        <w:tc>
          <w:tcPr>
            <w:tcW w:w="2024" w:type="dxa"/>
            <w:vAlign w:val="top"/>
          </w:tcPr>
          <w:p>
            <w:pPr>
              <w:pStyle w:val="TableText"/>
              <w:spacing w:before="103" w:line="185" w:lineRule="auto"/>
              <w:ind w:left="164"/>
            </w:pPr>
            <w:r>
              <w:rPr>
                <w:spacing w:val="-1"/>
              </w:rPr>
              <w:t>Lycopene Extract From</w:t>
            </w:r>
          </w:p>
          <w:p>
            <w:pPr>
              <w:pStyle w:val="TableText"/>
              <w:spacing w:before="146" w:line="192" w:lineRule="auto"/>
              <w:ind w:left="332"/>
            </w:pPr>
            <w:r>
              <w:rPr>
                <w:spacing w:val="-2"/>
              </w:rPr>
              <w:t>Tomato((Lycopene</w:t>
            </w:r>
          </w:p>
          <w:p>
            <w:pPr>
              <w:pStyle w:val="TableText"/>
              <w:spacing w:before="120" w:line="210" w:lineRule="auto"/>
              <w:ind w:left="113"/>
              <w:rPr>
                <w:rFonts w:ascii="SimSun" w:eastAsia="SimSun" w:hAnsi="SimSun" w:cs="SimSun"/>
              </w:rPr>
            </w:pPr>
            <w:r>
              <w:rPr>
                <w:spacing w:val="-2"/>
              </w:rPr>
              <w:t>(Tomato); INS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160d(ii)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253" w:line="315" w:lineRule="exact"/>
              <w:ind w:left="156"/>
            </w:pPr>
            <w:r>
              <w:rPr>
                <w:spacing w:val="-1"/>
                <w:position w:val="13"/>
              </w:rPr>
              <w:t>T/CCCMHPIE</w:t>
            </w:r>
          </w:p>
          <w:p>
            <w:pPr>
              <w:pStyle w:val="TableText"/>
              <w:spacing w:line="188" w:lineRule="auto"/>
              <w:ind w:left="344"/>
            </w:pPr>
            <w:r>
              <w:rPr>
                <w:spacing w:val="-3"/>
              </w:rPr>
              <w:t>1.28-2018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940"/>
        </w:trPr>
        <w:tc>
          <w:tcPr>
            <w:tcW w:w="766" w:type="dxa"/>
            <w:vAlign w:val="top"/>
          </w:tcPr>
          <w:p>
            <w:pPr>
              <w:spacing w:before="222" w:line="273" w:lineRule="auto"/>
              <w:ind w:left="296" w:right="111" w:hanging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检测方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法</w:t>
            </w:r>
          </w:p>
        </w:tc>
        <w:tc>
          <w:tcPr>
            <w:tcW w:w="1379" w:type="dxa"/>
            <w:vAlign w:val="top"/>
          </w:tcPr>
          <w:p>
            <w:pPr>
              <w:spacing w:before="223" w:line="312" w:lineRule="exact"/>
              <w:ind w:left="3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液相色谱</w:t>
            </w:r>
          </w:p>
          <w:p>
            <w:pPr>
              <w:pStyle w:val="TableText"/>
              <w:spacing w:line="231" w:lineRule="auto"/>
              <w:ind w:left="27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</w:rPr>
              <w:t>（</w:t>
            </w:r>
            <w:r>
              <w:rPr>
                <w:spacing w:val="-3"/>
              </w:rPr>
              <w:t>472nm</w:t>
            </w:r>
            <w:r>
              <w:rPr>
                <w:rFonts w:ascii="SimSun" w:eastAsia="SimSun" w:hAnsi="SimSun" w:cs="SimSun"/>
                <w:spacing w:val="-3"/>
              </w:rPr>
              <w:t>）</w:t>
            </w:r>
          </w:p>
        </w:tc>
        <w:tc>
          <w:tcPr>
            <w:tcW w:w="1454" w:type="dxa"/>
            <w:vAlign w:val="top"/>
          </w:tcPr>
          <w:p>
            <w:pPr>
              <w:spacing w:before="223" w:line="312" w:lineRule="exact"/>
              <w:ind w:left="3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液相色谱</w:t>
            </w:r>
          </w:p>
          <w:p>
            <w:pPr>
              <w:pStyle w:val="TableText"/>
              <w:spacing w:line="231" w:lineRule="auto"/>
              <w:ind w:left="30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</w:rPr>
              <w:t>（</w:t>
            </w:r>
            <w:r>
              <w:rPr>
                <w:spacing w:val="-3"/>
              </w:rPr>
              <w:t>472nm</w:t>
            </w:r>
            <w:r>
              <w:rPr>
                <w:rFonts w:ascii="SimSun" w:eastAsia="SimSun" w:hAnsi="SimSun" w:cs="SimSun"/>
                <w:spacing w:val="-3"/>
              </w:rPr>
              <w:t>）</w:t>
            </w:r>
          </w:p>
        </w:tc>
        <w:tc>
          <w:tcPr>
            <w:tcW w:w="1424" w:type="dxa"/>
            <w:vAlign w:val="top"/>
          </w:tcPr>
          <w:p>
            <w:pPr>
              <w:spacing w:before="223" w:line="340" w:lineRule="exact"/>
              <w:ind w:left="3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12"/>
                <w:sz w:val="18"/>
                <w:szCs w:val="18"/>
              </w:rPr>
              <w:t>液相色谱</w:t>
            </w:r>
          </w:p>
          <w:p>
            <w:pPr>
              <w:pStyle w:val="TableText"/>
              <w:spacing w:line="191" w:lineRule="auto"/>
              <w:ind w:left="406"/>
            </w:pPr>
            <w:r>
              <w:rPr>
                <w:spacing w:val="-2"/>
              </w:rPr>
              <w:t>(450nm)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before="67" w:line="220" w:lineRule="auto"/>
              <w:ind w:left="18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液相色谱</w:t>
            </w:r>
            <w:r>
              <w:rPr>
                <w:spacing w:val="-1"/>
              </w:rPr>
              <w:t>-</w:t>
            </w:r>
            <w:r>
              <w:rPr>
                <w:rFonts w:ascii="SimSun" w:eastAsia="SimSun" w:hAnsi="SimSun" w:cs="SimSun"/>
                <w:spacing w:val="-1"/>
              </w:rPr>
              <w:t>质</w:t>
            </w:r>
          </w:p>
          <w:p>
            <w:pPr>
              <w:pStyle w:val="TableText"/>
              <w:spacing w:before="97" w:line="220" w:lineRule="auto"/>
              <w:ind w:left="27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谱</w:t>
            </w:r>
            <w:r>
              <w:rPr>
                <w:spacing w:val="-2"/>
              </w:rPr>
              <w:t>/</w:t>
            </w:r>
            <w:r>
              <w:rPr>
                <w:rFonts w:ascii="SimSun" w:eastAsia="SimSun" w:hAnsi="SimSun" w:cs="SimSun"/>
                <w:spacing w:val="-2"/>
              </w:rPr>
              <w:t>质谱法</w:t>
            </w:r>
          </w:p>
          <w:p>
            <w:pPr>
              <w:pStyle w:val="TableText"/>
              <w:spacing w:before="97" w:line="212" w:lineRule="auto"/>
              <w:ind w:left="287"/>
            </w:pPr>
            <w:r>
              <w:rPr>
                <w:spacing w:val="-2"/>
              </w:rPr>
              <w:t xml:space="preserve">(APCI </w:t>
            </w:r>
            <w:r>
              <w:rPr>
                <w:rFonts w:ascii="SimSun" w:eastAsia="SimSun" w:hAnsi="SimSun" w:cs="SimSun"/>
                <w:spacing w:val="-2"/>
              </w:rPr>
              <w:t>源</w:t>
            </w:r>
            <w:r>
              <w:rPr>
                <w:spacing w:val="-2"/>
              </w:rPr>
              <w:t>)</w:t>
            </w:r>
          </w:p>
        </w:tc>
        <w:tc>
          <w:tcPr>
            <w:tcW w:w="2024" w:type="dxa"/>
            <w:vAlign w:val="top"/>
          </w:tcPr>
          <w:p>
            <w:pPr>
              <w:pStyle w:val="TableText"/>
              <w:spacing w:before="222" w:line="232" w:lineRule="auto"/>
              <w:ind w:left="354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HPLC</w:t>
            </w:r>
            <w:r>
              <w:rPr>
                <w:rFonts w:ascii="SimSun" w:eastAsia="SimSun" w:hAnsi="SimSun" w:cs="SimSun"/>
                <w:spacing w:val="-1"/>
              </w:rPr>
              <w:t>（</w:t>
            </w:r>
            <w:r>
              <w:rPr>
                <w:spacing w:val="-1"/>
              </w:rPr>
              <w:t>472nm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387" w:type="dxa"/>
            <w:vAlign w:val="top"/>
          </w:tcPr>
          <w:p>
            <w:pPr>
              <w:spacing w:before="67" w:line="312" w:lineRule="exact"/>
              <w:ind w:left="3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液相色谱</w:t>
            </w:r>
          </w:p>
          <w:p>
            <w:pPr>
              <w:pStyle w:val="TableText"/>
              <w:spacing w:line="231" w:lineRule="auto"/>
              <w:ind w:left="27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</w:rPr>
              <w:t>（</w:t>
            </w:r>
            <w:r>
              <w:rPr>
                <w:spacing w:val="-3"/>
              </w:rPr>
              <w:t>472nm</w:t>
            </w:r>
            <w:r>
              <w:rPr>
                <w:rFonts w:ascii="SimSun" w:eastAsia="SimSun" w:hAnsi="SimSun" w:cs="SimSun"/>
                <w:spacing w:val="-3"/>
              </w:rPr>
              <w:t>）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629"/>
        </w:trPr>
        <w:tc>
          <w:tcPr>
            <w:tcW w:w="766" w:type="dxa"/>
            <w:vAlign w:val="top"/>
          </w:tcPr>
          <w:p>
            <w:pPr>
              <w:spacing w:before="68" w:line="270" w:lineRule="auto"/>
              <w:ind w:left="117" w:right="111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检测使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用范围</w:t>
            </w:r>
          </w:p>
        </w:tc>
        <w:tc>
          <w:tcPr>
            <w:tcW w:w="1379" w:type="dxa"/>
            <w:vAlign w:val="top"/>
          </w:tcPr>
          <w:p>
            <w:pPr>
              <w:spacing w:before="67" w:line="219" w:lineRule="auto"/>
              <w:ind w:left="2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食品添加剂</w:t>
            </w:r>
          </w:p>
          <w:p>
            <w:pPr>
              <w:spacing w:before="99" w:line="219" w:lineRule="auto"/>
              <w:ind w:left="3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番茄红素</w:t>
            </w:r>
          </w:p>
        </w:tc>
        <w:tc>
          <w:tcPr>
            <w:tcW w:w="1454" w:type="dxa"/>
            <w:vAlign w:val="top"/>
          </w:tcPr>
          <w:p>
            <w:pPr>
              <w:spacing w:before="224" w:line="220" w:lineRule="auto"/>
              <w:ind w:left="4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保健品</w:t>
            </w:r>
          </w:p>
        </w:tc>
        <w:tc>
          <w:tcPr>
            <w:tcW w:w="1424" w:type="dxa"/>
            <w:vAlign w:val="top"/>
          </w:tcPr>
          <w:p>
            <w:pPr>
              <w:spacing w:before="224" w:line="220" w:lineRule="auto"/>
              <w:ind w:left="3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番茄制品</w:t>
            </w:r>
          </w:p>
        </w:tc>
        <w:tc>
          <w:tcPr>
            <w:tcW w:w="1319" w:type="dxa"/>
            <w:vAlign w:val="top"/>
          </w:tcPr>
          <w:p>
            <w:pPr>
              <w:spacing w:before="224" w:line="220" w:lineRule="auto"/>
              <w:ind w:left="3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保健品</w:t>
            </w:r>
          </w:p>
        </w:tc>
        <w:tc>
          <w:tcPr>
            <w:tcW w:w="2024" w:type="dxa"/>
            <w:vAlign w:val="top"/>
          </w:tcPr>
          <w:p>
            <w:pPr>
              <w:pStyle w:val="TableText"/>
              <w:spacing w:before="223" w:line="219" w:lineRule="auto"/>
              <w:ind w:left="246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Additive</w:t>
            </w:r>
            <w:r>
              <w:rPr>
                <w:rFonts w:ascii="SimSun" w:eastAsia="SimSun" w:hAnsi="SimSun" w:cs="SimSun"/>
                <w:spacing w:val="-1"/>
              </w:rPr>
              <w:t>（添加剂）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67" w:line="270" w:lineRule="auto"/>
              <w:ind w:left="338" w:right="182" w:hanging="15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植物提取物</w:t>
            </w:r>
            <w:r>
              <w:rPr>
                <w:spacing w:val="-2"/>
              </w:rPr>
              <w:t>--</w:t>
            </w:r>
            <w:r>
              <w:rPr>
                <w:spacing w:val="5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番茄红素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940"/>
        </w:trPr>
        <w:tc>
          <w:tcPr>
            <w:tcW w:w="76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色谱柱</w:t>
            </w:r>
          </w:p>
        </w:tc>
        <w:tc>
          <w:tcPr>
            <w:tcW w:w="137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1" w:line="204" w:lineRule="auto"/>
              <w:ind w:left="574"/>
              <w:rPr>
                <w:sz w:val="11"/>
                <w:szCs w:val="11"/>
              </w:rPr>
            </w:pPr>
            <w:r>
              <w:rPr>
                <w:spacing w:val="-1"/>
              </w:rPr>
              <w:t>C</w:t>
            </w:r>
            <w:r>
              <w:rPr>
                <w:spacing w:val="-1"/>
                <w:sz w:val="11"/>
                <w:szCs w:val="11"/>
              </w:rPr>
              <w:t>18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67" w:line="343" w:lineRule="exact"/>
              <w:ind w:left="215"/>
              <w:rPr>
                <w:rFonts w:ascii="SimSun" w:eastAsia="SimSun" w:hAnsi="SimSun" w:cs="SimSun"/>
              </w:rPr>
            </w:pPr>
            <w:r>
              <w:rPr>
                <w:spacing w:val="-2"/>
                <w:position w:val="12"/>
              </w:rPr>
              <w:t>ODS C</w:t>
            </w:r>
            <w:r>
              <w:rPr>
                <w:spacing w:val="-2"/>
                <w:position w:val="11"/>
                <w:sz w:val="11"/>
                <w:szCs w:val="11"/>
              </w:rPr>
              <w:t>18</w:t>
            </w:r>
            <w:r>
              <w:rPr>
                <w:spacing w:val="17"/>
                <w:w w:val="102"/>
                <w:position w:val="11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2"/>
              </w:rPr>
              <w:t>或者</w:t>
            </w:r>
          </w:p>
          <w:p>
            <w:pPr>
              <w:pStyle w:val="TableText"/>
              <w:spacing w:line="193" w:lineRule="auto"/>
              <w:ind w:left="409"/>
              <w:rPr>
                <w:sz w:val="11"/>
                <w:szCs w:val="11"/>
              </w:rPr>
            </w:pPr>
            <w:r>
              <w:rPr>
                <w:spacing w:val="-2"/>
              </w:rPr>
              <w:t>ODS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C</w:t>
            </w:r>
            <w:r>
              <w:rPr>
                <w:spacing w:val="-2"/>
                <w:position w:val="-1"/>
                <w:sz w:val="11"/>
                <w:szCs w:val="11"/>
              </w:rPr>
              <w:t>30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224" w:line="270" w:lineRule="auto"/>
              <w:ind w:left="485" w:right="170" w:hanging="302"/>
              <w:rPr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3"/>
              </w:rPr>
              <w:t>多环芳烃分析</w:t>
            </w:r>
            <w:r>
              <w:rPr>
                <w:rFonts w:ascii="SimSun" w:eastAsia="SimSun" w:hAnsi="SimSun" w:cs="SimSun"/>
                <w:spacing w:val="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用</w:t>
            </w:r>
            <w:r>
              <w:rPr>
                <w:rFonts w:ascii="SimSun" w:eastAsia="SimSun" w:hAnsi="SimSun" w:cs="SimSun"/>
                <w:spacing w:val="-37"/>
              </w:rPr>
              <w:t xml:space="preserve"> </w:t>
            </w:r>
            <w:r>
              <w:rPr>
                <w:spacing w:val="-3"/>
              </w:rPr>
              <w:t>C</w:t>
            </w:r>
            <w:r>
              <w:rPr>
                <w:spacing w:val="-3"/>
                <w:position w:val="-1"/>
                <w:sz w:val="11"/>
                <w:szCs w:val="11"/>
              </w:rPr>
              <w:t>18</w:t>
            </w:r>
          </w:p>
        </w:tc>
        <w:tc>
          <w:tcPr>
            <w:tcW w:w="131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1" w:line="204" w:lineRule="auto"/>
              <w:ind w:left="546"/>
              <w:rPr>
                <w:sz w:val="11"/>
                <w:szCs w:val="11"/>
              </w:rPr>
            </w:pPr>
            <w:r>
              <w:rPr>
                <w:spacing w:val="-1"/>
              </w:rPr>
              <w:t>C</w:t>
            </w:r>
            <w:r>
              <w:rPr>
                <w:spacing w:val="-1"/>
                <w:sz w:val="11"/>
                <w:szCs w:val="11"/>
              </w:rPr>
              <w:t>18</w:t>
            </w:r>
          </w:p>
        </w:tc>
        <w:tc>
          <w:tcPr>
            <w:tcW w:w="2024" w:type="dxa"/>
            <w:vAlign w:val="top"/>
          </w:tcPr>
          <w:p>
            <w:pPr>
              <w:pStyle w:val="TableText"/>
              <w:spacing w:before="251" w:line="192" w:lineRule="auto"/>
              <w:ind w:left="115"/>
            </w:pPr>
            <w:r>
              <w:rPr>
                <w:spacing w:val="-1"/>
              </w:rPr>
              <w:t>(RP-C8) (250 x 4.6 mm,</w:t>
            </w:r>
          </w:p>
          <w:p>
            <w:pPr>
              <w:pStyle w:val="TableText"/>
              <w:spacing w:before="146" w:line="192" w:lineRule="auto"/>
              <w:ind w:left="803"/>
            </w:pPr>
            <w:r>
              <w:rPr>
                <w:spacing w:val="-5"/>
              </w:rPr>
              <w:t>5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μm)</w:t>
            </w:r>
          </w:p>
        </w:tc>
        <w:tc>
          <w:tcPr>
            <w:tcW w:w="1387" w:type="dxa"/>
            <w:vAlign w:val="top"/>
          </w:tcPr>
          <w:p>
            <w:pPr>
              <w:spacing w:before="222" w:line="270" w:lineRule="auto"/>
              <w:ind w:left="425" w:right="151" w:hanging="2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十八烷基键合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硅胶柱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1564"/>
        </w:trPr>
        <w:tc>
          <w:tcPr>
            <w:tcW w:w="766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流动相</w:t>
            </w:r>
          </w:p>
        </w:tc>
        <w:tc>
          <w:tcPr>
            <w:tcW w:w="1379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71" w:lineRule="auto"/>
              <w:ind w:left="529" w:right="179" w:hanging="33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8"/>
              </w:rPr>
              <w:t>乙腈</w:t>
            </w:r>
            <w:r>
              <w:rPr>
                <w:spacing w:val="-8"/>
              </w:rPr>
              <w:t>-</w:t>
            </w:r>
            <w:r>
              <w:rPr>
                <w:rFonts w:ascii="SimSun" w:eastAsia="SimSun" w:hAnsi="SimSun" w:cs="SimSun"/>
                <w:spacing w:val="-8"/>
              </w:rPr>
              <w:t>水</w:t>
            </w:r>
            <w:r>
              <w:rPr>
                <w:spacing w:val="-8"/>
              </w:rPr>
              <w:t>-</w:t>
            </w:r>
            <w:r>
              <w:rPr>
                <w:spacing w:val="-15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</w:rPr>
              <w:t>乙酸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</w:rPr>
              <w:t>乙酯</w:t>
            </w:r>
          </w:p>
        </w:tc>
        <w:tc>
          <w:tcPr>
            <w:tcW w:w="145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8" w:lineRule="auto"/>
              <w:ind w:left="363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1"/>
              </w:rPr>
              <w:t>甲醇</w:t>
            </w:r>
            <w:r>
              <w:rPr>
                <w:spacing w:val="-11"/>
              </w:rPr>
              <w:t>-</w:t>
            </w:r>
            <w:r>
              <w:rPr>
                <w:spacing w:val="-2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</w:rPr>
              <w:t>乙腈</w:t>
            </w:r>
          </w:p>
        </w:tc>
        <w:tc>
          <w:tcPr>
            <w:tcW w:w="1424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70" w:lineRule="auto"/>
              <w:ind w:left="628" w:right="110" w:hanging="49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4"/>
              </w:rPr>
              <w:t>甲醇</w:t>
            </w:r>
            <w:r>
              <w:rPr>
                <w:spacing w:val="-4"/>
              </w:rPr>
              <w:t>-</w:t>
            </w:r>
            <w:r>
              <w:rPr>
                <w:rFonts w:ascii="SimSun" w:eastAsia="SimSun" w:hAnsi="SimSun" w:cs="SimSun"/>
                <w:spacing w:val="-4"/>
              </w:rPr>
              <w:t>二氯甲烷</w:t>
            </w:r>
            <w:r>
              <w:rPr>
                <w:spacing w:val="-4"/>
              </w:rPr>
              <w:t>-</w:t>
            </w:r>
            <w:r>
              <w:t xml:space="preserve"> </w:t>
            </w:r>
            <w:r>
              <w:rPr>
                <w:rFonts w:ascii="SimSun" w:eastAsia="SimSun" w:hAnsi="SimSun" w:cs="SimSun"/>
              </w:rPr>
              <w:t>水</w:t>
            </w:r>
          </w:p>
        </w:tc>
        <w:tc>
          <w:tcPr>
            <w:tcW w:w="1319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1" w:lineRule="auto"/>
              <w:ind w:left="506" w:right="176" w:hanging="30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5"/>
              </w:rPr>
              <w:t>乙腈</w:t>
            </w:r>
            <w:r>
              <w:rPr>
                <w:spacing w:val="-5"/>
              </w:rPr>
              <w:t>-</w:t>
            </w:r>
            <w:r>
              <w:rPr>
                <w:rFonts w:ascii="SimSun" w:eastAsia="SimSun" w:hAnsi="SimSun" w:cs="SimSun"/>
                <w:spacing w:val="-5"/>
              </w:rPr>
              <w:t>叔丁基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</w:rPr>
              <w:t>甲醚</w:t>
            </w:r>
          </w:p>
        </w:tc>
        <w:tc>
          <w:tcPr>
            <w:tcW w:w="2024" w:type="dxa"/>
            <w:vAlign w:val="top"/>
          </w:tcPr>
          <w:p>
            <w:pPr>
              <w:pStyle w:val="TableText"/>
              <w:spacing w:before="96" w:line="192" w:lineRule="auto"/>
              <w:ind w:left="117"/>
            </w:pPr>
            <w:r>
              <w:rPr>
                <w:spacing w:val="-1"/>
              </w:rPr>
              <w:t>acetonitrile:methanol:dic</w:t>
            </w:r>
          </w:p>
          <w:p>
            <w:pPr>
              <w:pStyle w:val="TableText"/>
              <w:spacing w:before="146" w:line="192" w:lineRule="auto"/>
              <w:ind w:left="167"/>
            </w:pPr>
            <w:r>
              <w:t>hloromethane:nhexan</w:t>
            </w:r>
            <w:r>
              <w:rPr>
                <w:spacing w:val="-1"/>
              </w:rPr>
              <w:t>e:</w:t>
            </w:r>
          </w:p>
          <w:p>
            <w:pPr>
              <w:pStyle w:val="TableText"/>
              <w:spacing w:before="146" w:line="192" w:lineRule="auto"/>
              <w:ind w:left="113"/>
            </w:pPr>
            <w:r>
              <w:t>N-ethyl-diisopropylamin</w:t>
            </w:r>
          </w:p>
          <w:p>
            <w:pPr>
              <w:pStyle w:val="TableText"/>
              <w:spacing w:before="149" w:line="188" w:lineRule="auto"/>
              <w:ind w:left="292"/>
            </w:pPr>
            <w:r>
              <w:rPr>
                <w:spacing w:val="-1"/>
              </w:rPr>
              <w:t>e 850:100:25:25:0.5</w:t>
            </w:r>
          </w:p>
          <w:p>
            <w:pPr>
              <w:pStyle w:val="TableText"/>
              <w:spacing w:before="146" w:line="192" w:lineRule="auto"/>
              <w:ind w:left="610"/>
            </w:pPr>
            <w:r>
              <w:t>(v/v/v/v/v).</w:t>
            </w:r>
          </w:p>
        </w:tc>
        <w:tc>
          <w:tcPr>
            <w:tcW w:w="1387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15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5"/>
              </w:rPr>
              <w:t>甲醇</w:t>
            </w:r>
            <w:r>
              <w:rPr>
                <w:spacing w:val="-5"/>
              </w:rPr>
              <w:t>-</w:t>
            </w:r>
            <w:r>
              <w:rPr>
                <w:rFonts w:ascii="SimSun" w:eastAsia="SimSun" w:hAnsi="SimSun" w:cs="SimSun"/>
                <w:spacing w:val="-5"/>
              </w:rPr>
              <w:t>二氯甲烷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940"/>
        </w:trPr>
        <w:tc>
          <w:tcPr>
            <w:tcW w:w="76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检出限</w:t>
            </w:r>
          </w:p>
        </w:tc>
        <w:tc>
          <w:tcPr>
            <w:tcW w:w="137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92" w:lineRule="auto"/>
              <w:ind w:left="659"/>
            </w:pPr>
            <w:r>
              <w:t>/</w:t>
            </w:r>
          </w:p>
        </w:tc>
        <w:tc>
          <w:tcPr>
            <w:tcW w:w="1454" w:type="dxa"/>
            <w:vAlign w:val="top"/>
          </w:tcPr>
          <w:p>
            <w:pPr>
              <w:spacing w:before="71" w:line="219" w:lineRule="auto"/>
              <w:ind w:left="3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检出限：</w:t>
            </w:r>
          </w:p>
          <w:p>
            <w:pPr>
              <w:pStyle w:val="TableText"/>
              <w:spacing w:before="97" w:line="265" w:lineRule="auto"/>
              <w:ind w:left="151" w:right="107" w:hanging="41"/>
            </w:pPr>
            <w:r>
              <w:rPr>
                <w:spacing w:val="-1"/>
              </w:rPr>
              <w:t>3*10</w:t>
            </w:r>
            <w:r>
              <w:rPr>
                <w:spacing w:val="-1"/>
                <w:position w:val="5"/>
                <w:sz w:val="11"/>
                <w:szCs w:val="11"/>
              </w:rPr>
              <w:t>-4</w:t>
            </w:r>
            <w:r>
              <w:rPr>
                <w:spacing w:val="-1"/>
              </w:rPr>
              <w:t>g/kg</w:t>
            </w:r>
            <w:r>
              <w:rPr>
                <w:rFonts w:ascii="SimSun" w:eastAsia="SimSun" w:hAnsi="SimSun" w:cs="SimSun"/>
                <w:spacing w:val="-24"/>
              </w:rPr>
              <w:t>；定量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</w:rPr>
              <w:t>限：</w:t>
            </w:r>
            <w:r>
              <w:rPr>
                <w:spacing w:val="-2"/>
              </w:rPr>
              <w:t>1*10</w:t>
            </w:r>
            <w:r>
              <w:rPr>
                <w:spacing w:val="-2"/>
                <w:position w:val="5"/>
                <w:sz w:val="11"/>
                <w:szCs w:val="11"/>
              </w:rPr>
              <w:t>-3</w:t>
            </w:r>
            <w:r>
              <w:rPr>
                <w:spacing w:val="26"/>
                <w:position w:val="5"/>
                <w:sz w:val="11"/>
                <w:szCs w:val="11"/>
              </w:rPr>
              <w:t xml:space="preserve"> </w:t>
            </w:r>
            <w:r>
              <w:rPr>
                <w:spacing w:val="-2"/>
              </w:rPr>
              <w:t>g/kg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71" w:line="283" w:lineRule="auto"/>
              <w:ind w:left="123" w:right="104" w:firstLine="119"/>
            </w:pPr>
            <w:r>
              <w:rPr>
                <w:rFonts w:ascii="SimSun" w:eastAsia="SimSun" w:hAnsi="SimSun" w:cs="SimSun"/>
                <w:spacing w:val="-1"/>
              </w:rPr>
              <w:t>检出限：</w:t>
            </w:r>
            <w:r>
              <w:rPr>
                <w:spacing w:val="-1"/>
              </w:rPr>
              <w:t>0.6</w:t>
            </w:r>
            <w:r>
              <w:t xml:space="preserve">    </w:t>
            </w:r>
            <w:r>
              <w:t>ug</w:t>
            </w:r>
            <w:r>
              <w:rPr>
                <w:spacing w:val="2"/>
              </w:rPr>
              <w:t>/100g</w:t>
            </w:r>
            <w:r>
              <w:rPr>
                <w:rFonts w:ascii="SimSun" w:eastAsia="SimSun" w:hAnsi="SimSun" w:cs="SimSun"/>
                <w:spacing w:val="2"/>
              </w:rPr>
              <w:t>；定量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限：</w:t>
            </w:r>
            <w:r>
              <w:rPr>
                <w:spacing w:val="-3"/>
              </w:rPr>
              <w:t>2.0 ug/100g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before="226" w:line="274" w:lineRule="auto"/>
              <w:ind w:left="320" w:right="252" w:hanging="104"/>
            </w:pPr>
            <w:r>
              <w:rPr>
                <w:rFonts w:ascii="SimSun" w:eastAsia="SimSun" w:hAnsi="SimSun" w:cs="SimSun"/>
                <w:spacing w:val="-11"/>
              </w:rPr>
              <w:t>测定低限：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-4"/>
              </w:rPr>
              <w:t>0.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1mg/kg</w:t>
            </w:r>
          </w:p>
        </w:tc>
        <w:tc>
          <w:tcPr>
            <w:tcW w:w="202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92" w:lineRule="auto"/>
              <w:ind w:left="984"/>
            </w:pPr>
            <w:r>
              <w:t>/</w:t>
            </w:r>
          </w:p>
        </w:tc>
        <w:tc>
          <w:tcPr>
            <w:tcW w:w="1387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92" w:lineRule="auto"/>
              <w:ind w:left="664"/>
            </w:pPr>
            <w:r>
              <w:t>/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409"/>
        </w:trPr>
        <w:tc>
          <w:tcPr>
            <w:tcW w:w="766" w:type="dxa"/>
            <w:vAlign w:val="top"/>
          </w:tcPr>
          <w:p>
            <w:pPr>
              <w:spacing w:before="117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标样校</w:t>
            </w:r>
          </w:p>
        </w:tc>
        <w:tc>
          <w:tcPr>
            <w:tcW w:w="1379" w:type="dxa"/>
            <w:vAlign w:val="top"/>
          </w:tcPr>
          <w:p>
            <w:pPr>
              <w:spacing w:before="117" w:line="219" w:lineRule="auto"/>
              <w:ind w:left="1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紫外分光光度</w:t>
            </w:r>
          </w:p>
        </w:tc>
        <w:tc>
          <w:tcPr>
            <w:tcW w:w="1454" w:type="dxa"/>
            <w:vAlign w:val="top"/>
          </w:tcPr>
          <w:p>
            <w:pPr>
              <w:spacing w:before="117" w:line="220" w:lineRule="auto"/>
              <w:ind w:left="1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液相色谱面积</w:t>
            </w:r>
          </w:p>
        </w:tc>
        <w:tc>
          <w:tcPr>
            <w:tcW w:w="1424" w:type="dxa"/>
            <w:vAlign w:val="top"/>
          </w:tcPr>
          <w:p>
            <w:pPr>
              <w:spacing w:before="117" w:line="219" w:lineRule="auto"/>
              <w:ind w:left="1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紫外分光光度</w:t>
            </w:r>
          </w:p>
        </w:tc>
        <w:tc>
          <w:tcPr>
            <w:tcW w:w="1319" w:type="dxa"/>
            <w:vAlign w:val="top"/>
          </w:tcPr>
          <w:p>
            <w:pPr>
              <w:spacing w:before="117" w:line="220" w:lineRule="auto"/>
              <w:ind w:left="2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无校准方法</w:t>
            </w:r>
          </w:p>
        </w:tc>
        <w:tc>
          <w:tcPr>
            <w:tcW w:w="2024" w:type="dxa"/>
            <w:vAlign w:val="top"/>
          </w:tcPr>
          <w:p>
            <w:pPr>
              <w:spacing w:before="117" w:line="219" w:lineRule="auto"/>
              <w:ind w:left="2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紫外分光光度法校准</w:t>
            </w:r>
          </w:p>
        </w:tc>
        <w:tc>
          <w:tcPr>
            <w:tcW w:w="1387" w:type="dxa"/>
            <w:vAlign w:val="top"/>
          </w:tcPr>
          <w:p>
            <w:pPr>
              <w:spacing w:before="117" w:line="219" w:lineRule="auto"/>
              <w:ind w:left="1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紫外分光光度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6" w:h="16839"/>
          <w:pgMar w:top="1431" w:right="1074" w:bottom="0" w:left="1073" w:header="0" w:footer="0" w:gutter="0"/>
          <w:pgNumType w:start="3"/>
          <w:cols w:space="708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97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66"/>
        <w:gridCol w:w="1379"/>
        <w:gridCol w:w="1454"/>
        <w:gridCol w:w="1424"/>
        <w:gridCol w:w="1319"/>
        <w:gridCol w:w="2024"/>
        <w:gridCol w:w="1387"/>
      </w:tblGrid>
      <w:tr>
        <w:tblPrEx>
          <w:tblW w:w="97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4"/>
        </w:trPr>
        <w:tc>
          <w:tcPr>
            <w:tcW w:w="766" w:type="dxa"/>
            <w:vAlign w:val="top"/>
          </w:tcPr>
          <w:p>
            <w:pPr>
              <w:spacing w:before="71" w:line="22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准方式</w:t>
            </w:r>
          </w:p>
        </w:tc>
        <w:tc>
          <w:tcPr>
            <w:tcW w:w="1379" w:type="dxa"/>
            <w:vAlign w:val="top"/>
          </w:tcPr>
          <w:p>
            <w:pPr>
              <w:spacing w:before="71" w:line="220" w:lineRule="auto"/>
              <w:ind w:left="4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法校准</w:t>
            </w:r>
          </w:p>
        </w:tc>
        <w:tc>
          <w:tcPr>
            <w:tcW w:w="1454" w:type="dxa"/>
            <w:vAlign w:val="top"/>
          </w:tcPr>
          <w:p>
            <w:pPr>
              <w:spacing w:before="72" w:line="219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归一化校准</w:t>
            </w:r>
          </w:p>
        </w:tc>
        <w:tc>
          <w:tcPr>
            <w:tcW w:w="1424" w:type="dxa"/>
            <w:vAlign w:val="top"/>
          </w:tcPr>
          <w:p>
            <w:pPr>
              <w:spacing w:before="71" w:line="220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法校准</w:t>
            </w:r>
          </w:p>
        </w:tc>
        <w:tc>
          <w:tcPr>
            <w:tcW w:w="13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7" w:type="dxa"/>
            <w:vAlign w:val="top"/>
          </w:tcPr>
          <w:p>
            <w:pPr>
              <w:spacing w:before="71" w:line="220" w:lineRule="auto"/>
              <w:ind w:left="1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法和液相色谱</w:t>
            </w:r>
          </w:p>
          <w:p>
            <w:pPr>
              <w:spacing w:before="97" w:line="219" w:lineRule="auto"/>
              <w:ind w:left="1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面积归一化法</w:t>
            </w:r>
          </w:p>
          <w:p>
            <w:pPr>
              <w:spacing w:before="98" w:line="220" w:lineRule="auto"/>
              <w:ind w:left="3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结合校准</w:t>
            </w:r>
          </w:p>
        </w:tc>
      </w:tr>
      <w:tr>
        <w:tblPrEx>
          <w:tblW w:w="9753" w:type="dxa"/>
          <w:tblInd w:w="2" w:type="dxa"/>
          <w:tblLayout w:type="fixed"/>
        </w:tblPrEx>
        <w:trPr>
          <w:trHeight w:val="1566"/>
        </w:trPr>
        <w:tc>
          <w:tcPr>
            <w:tcW w:w="766" w:type="dxa"/>
            <w:vAlign w:val="top"/>
          </w:tcPr>
          <w:p>
            <w:pPr>
              <w:spacing w:before="69" w:line="300" w:lineRule="auto"/>
              <w:ind w:left="117" w:right="111" w:firstLine="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是否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有微囊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化番茄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红素检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测方法</w:t>
            </w:r>
          </w:p>
        </w:tc>
        <w:tc>
          <w:tcPr>
            <w:tcW w:w="137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无</w:t>
            </w:r>
          </w:p>
        </w:tc>
        <w:tc>
          <w:tcPr>
            <w:tcW w:w="1454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58" w:line="270" w:lineRule="auto"/>
              <w:ind w:left="278" w:right="107" w:hanging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有，但存在部分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样品不适用</w:t>
            </w:r>
          </w:p>
        </w:tc>
        <w:tc>
          <w:tcPr>
            <w:tcW w:w="142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6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无</w:t>
            </w:r>
          </w:p>
        </w:tc>
        <w:tc>
          <w:tcPr>
            <w:tcW w:w="131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无</w:t>
            </w:r>
          </w:p>
        </w:tc>
        <w:tc>
          <w:tcPr>
            <w:tcW w:w="202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9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无</w:t>
            </w:r>
          </w:p>
        </w:tc>
        <w:tc>
          <w:tcPr>
            <w:tcW w:w="1387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6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无</w:t>
            </w:r>
          </w:p>
        </w:tc>
      </w:tr>
    </w:tbl>
    <w:p>
      <w:pPr>
        <w:spacing w:before="171" w:line="222" w:lineRule="auto"/>
        <w:ind w:left="75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（三）主要工作过程</w:t>
      </w:r>
    </w:p>
    <w:p>
      <w:pPr>
        <w:pStyle w:val="BodyText"/>
        <w:spacing w:before="286" w:line="624" w:lineRule="exact"/>
        <w:ind w:left="129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2023 </w:t>
      </w:r>
      <w:r>
        <w:rPr>
          <w:spacing w:val="-1"/>
          <w:position w:val="26"/>
          <w:sz w:val="28"/>
          <w:szCs w:val="28"/>
        </w:rPr>
        <w:t>年</w:t>
      </w:r>
      <w:r>
        <w:rPr>
          <w:spacing w:val="-51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18"/>
          <w:position w:val="26"/>
          <w:sz w:val="28"/>
          <w:szCs w:val="28"/>
        </w:rPr>
        <w:t xml:space="preserve"> </w:t>
      </w:r>
      <w:r>
        <w:rPr>
          <w:spacing w:val="-1"/>
          <w:position w:val="26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~2023 </w:t>
      </w:r>
      <w:r>
        <w:rPr>
          <w:spacing w:val="-1"/>
          <w:position w:val="26"/>
          <w:sz w:val="28"/>
          <w:szCs w:val="28"/>
        </w:rPr>
        <w:t>年</w:t>
      </w:r>
      <w:r>
        <w:rPr>
          <w:spacing w:val="-38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10 </w:t>
      </w:r>
      <w:r>
        <w:rPr>
          <w:spacing w:val="-1"/>
          <w:position w:val="26"/>
          <w:sz w:val="28"/>
          <w:szCs w:val="28"/>
        </w:rPr>
        <w:t>月，成立标准修订组，确</w:t>
      </w:r>
      <w:r>
        <w:rPr>
          <w:spacing w:val="-2"/>
          <w:position w:val="26"/>
          <w:sz w:val="28"/>
          <w:szCs w:val="28"/>
        </w:rPr>
        <w:t>定标准制修订</w:t>
      </w:r>
    </w:p>
    <w:p>
      <w:pPr>
        <w:pStyle w:val="BodyText"/>
        <w:spacing w:before="1" w:line="219" w:lineRule="auto"/>
        <w:ind w:left="738"/>
        <w:rPr>
          <w:sz w:val="28"/>
          <w:szCs w:val="28"/>
        </w:rPr>
      </w:pPr>
      <w:r>
        <w:rPr>
          <w:spacing w:val="-1"/>
          <w:sz w:val="28"/>
          <w:szCs w:val="28"/>
        </w:rPr>
        <w:t>方案和工作计划，并开展了方法学验证。</w:t>
      </w:r>
    </w:p>
    <w:p>
      <w:pPr>
        <w:pStyle w:val="BodyText"/>
        <w:spacing w:before="292" w:line="411" w:lineRule="auto"/>
        <w:ind w:left="742" w:right="725" w:firstLine="54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2023  </w:t>
      </w:r>
      <w:r>
        <w:rPr>
          <w:spacing w:val="-8"/>
          <w:sz w:val="28"/>
          <w:szCs w:val="28"/>
        </w:rPr>
        <w:t>年</w:t>
      </w:r>
      <w:r>
        <w:rPr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11  </w:t>
      </w:r>
      <w:r>
        <w:rPr>
          <w:spacing w:val="-8"/>
          <w:sz w:val="28"/>
          <w:szCs w:val="28"/>
        </w:rPr>
        <w:t>月，全国特殊食品标准化技术委员会在北京召开《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项保健食品分析方法标准启动会》修订工作启动会，会上讨论了《保</w:t>
      </w:r>
    </w:p>
    <w:p>
      <w:pPr>
        <w:pStyle w:val="BodyText"/>
        <w:spacing w:before="1" w:line="219" w:lineRule="auto"/>
        <w:ind w:left="737"/>
        <w:rPr>
          <w:sz w:val="28"/>
          <w:szCs w:val="28"/>
        </w:rPr>
      </w:pPr>
      <w:r>
        <w:rPr>
          <w:spacing w:val="-1"/>
          <w:sz w:val="28"/>
          <w:szCs w:val="28"/>
        </w:rPr>
        <w:t>健食品中番茄红素的测定》的修订方案。</w:t>
      </w:r>
    </w:p>
    <w:p>
      <w:pPr>
        <w:pStyle w:val="BodyText"/>
        <w:spacing w:before="290" w:line="220" w:lineRule="auto"/>
        <w:ind w:left="129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2023  </w:t>
      </w:r>
      <w:r>
        <w:rPr>
          <w:spacing w:val="-2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11  </w:t>
      </w:r>
      <w:r>
        <w:rPr>
          <w:spacing w:val="-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~2024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年</w:t>
      </w:r>
      <w:r>
        <w:rPr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月，开展实验室内方法验证</w:t>
      </w:r>
      <w:r>
        <w:rPr>
          <w:spacing w:val="-3"/>
          <w:sz w:val="28"/>
          <w:szCs w:val="28"/>
        </w:rPr>
        <w:t>的工作。</w:t>
      </w:r>
    </w:p>
    <w:p>
      <w:pPr>
        <w:pStyle w:val="BodyText"/>
        <w:spacing w:before="291" w:line="624" w:lineRule="exact"/>
        <w:ind w:left="129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 xml:space="preserve">2024  </w:t>
      </w:r>
      <w:r>
        <w:rPr>
          <w:spacing w:val="-4"/>
          <w:position w:val="26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5"/>
          <w:position w:val="26"/>
          <w:sz w:val="28"/>
          <w:szCs w:val="28"/>
        </w:rPr>
        <w:t xml:space="preserve">  </w:t>
      </w:r>
      <w:r>
        <w:rPr>
          <w:spacing w:val="-4"/>
          <w:position w:val="26"/>
          <w:sz w:val="28"/>
          <w:szCs w:val="28"/>
        </w:rPr>
        <w:t>月，开展新修订保健食品中番茄红素测定方法的实验</w:t>
      </w:r>
    </w:p>
    <w:p>
      <w:pPr>
        <w:pStyle w:val="BodyText"/>
        <w:spacing w:before="1" w:line="220" w:lineRule="auto"/>
        <w:ind w:left="742"/>
        <w:rPr>
          <w:sz w:val="28"/>
          <w:szCs w:val="28"/>
        </w:rPr>
      </w:pPr>
      <w:r>
        <w:rPr>
          <w:spacing w:val="-2"/>
          <w:sz w:val="28"/>
          <w:szCs w:val="28"/>
        </w:rPr>
        <w:t>室间方法验证工作。</w:t>
      </w:r>
    </w:p>
    <w:p>
      <w:pPr>
        <w:pStyle w:val="BodyText"/>
        <w:spacing w:before="289" w:line="624" w:lineRule="exact"/>
        <w:ind w:left="129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 xml:space="preserve">2024  </w:t>
      </w:r>
      <w:r>
        <w:rPr>
          <w:spacing w:val="-4"/>
          <w:position w:val="26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5"/>
          <w:position w:val="26"/>
          <w:sz w:val="28"/>
          <w:szCs w:val="28"/>
        </w:rPr>
        <w:t xml:space="preserve">  </w:t>
      </w:r>
      <w:r>
        <w:rPr>
          <w:spacing w:val="-4"/>
          <w:position w:val="26"/>
          <w:sz w:val="28"/>
          <w:szCs w:val="28"/>
        </w:rPr>
        <w:t>月，起草工作组在前期工作基础上形成标准征求意见</w:t>
      </w:r>
    </w:p>
    <w:p>
      <w:pPr>
        <w:pStyle w:val="BodyText"/>
        <w:spacing w:before="2" w:line="219" w:lineRule="auto"/>
        <w:ind w:left="736"/>
        <w:rPr>
          <w:sz w:val="28"/>
          <w:szCs w:val="28"/>
        </w:rPr>
      </w:pPr>
      <w:r>
        <w:rPr>
          <w:spacing w:val="-5"/>
          <w:sz w:val="28"/>
          <w:szCs w:val="28"/>
        </w:rPr>
        <w:t>稿。</w:t>
      </w:r>
    </w:p>
    <w:p>
      <w:pPr>
        <w:pStyle w:val="BodyText"/>
        <w:spacing w:before="272" w:line="224" w:lineRule="auto"/>
        <w:ind w:left="744"/>
        <w:outlineLvl w:val="0"/>
        <w:rPr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>二、国家标准编制原则、主要内容及其确定依据</w:t>
      </w:r>
    </w:p>
    <w:p>
      <w:pPr>
        <w:spacing w:before="265" w:line="222" w:lineRule="auto"/>
        <w:ind w:left="75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（一）标准编制原则</w:t>
      </w:r>
    </w:p>
    <w:p>
      <w:pPr>
        <w:pStyle w:val="BodyText"/>
        <w:spacing w:before="289" w:line="411" w:lineRule="auto"/>
        <w:ind w:left="738" w:right="725" w:firstLine="55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本标准按照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GB/T</w:t>
      </w:r>
      <w:r>
        <w:rPr>
          <w:rFonts w:ascii="Times New Roman" w:eastAsia="Times New Roman" w:hAnsi="Times New Roman" w:cs="Times New Roman"/>
          <w:spacing w:val="4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1.1-2020</w:t>
      </w:r>
      <w:r>
        <w:rPr>
          <w:spacing w:val="-2"/>
          <w:sz w:val="28"/>
          <w:szCs w:val="28"/>
        </w:rPr>
        <w:t>《标准化工作导则 第</w:t>
      </w:r>
      <w:r>
        <w:rPr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1  </w:t>
      </w:r>
      <w:r>
        <w:rPr>
          <w:spacing w:val="-2"/>
          <w:sz w:val="28"/>
          <w:szCs w:val="28"/>
        </w:rPr>
        <w:t>部分：标准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化文件的结构和起草规则》的规定起草和 </w:t>
      </w:r>
      <w:r>
        <w:rPr>
          <w:rFonts w:ascii="Times New Roman" w:eastAsia="Times New Roman" w:hAnsi="Times New Roman" w:cs="Times New Roman"/>
          <w:sz w:val="28"/>
          <w:szCs w:val="28"/>
        </w:rPr>
        <w:t>GB/T 20001.4-2015</w:t>
      </w:r>
      <w:r>
        <w:rPr>
          <w:sz w:val="28"/>
          <w:szCs w:val="28"/>
        </w:rPr>
        <w:t>《标准</w:t>
      </w:r>
    </w:p>
    <w:p>
      <w:pPr>
        <w:pStyle w:val="BodyText"/>
        <w:spacing w:before="2" w:line="219" w:lineRule="auto"/>
        <w:ind w:left="740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编写规则 第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4  </w:t>
      </w:r>
      <w:r>
        <w:rPr>
          <w:spacing w:val="-1"/>
          <w:sz w:val="28"/>
          <w:szCs w:val="28"/>
        </w:rPr>
        <w:t>部分：试验方法标准的原则》进行起草编写。</w:t>
      </w:r>
    </w:p>
    <w:p>
      <w:pPr>
        <w:pStyle w:val="BodyText"/>
        <w:spacing w:before="290" w:line="624" w:lineRule="exact"/>
        <w:ind w:left="1328"/>
        <w:rPr>
          <w:sz w:val="28"/>
          <w:szCs w:val="28"/>
        </w:rPr>
      </w:pPr>
      <w:r>
        <w:rPr>
          <w:spacing w:val="-5"/>
          <w:position w:val="26"/>
          <w:sz w:val="28"/>
          <w:szCs w:val="28"/>
        </w:rPr>
        <w:t>以科学技术和实验数据为依据，经过科学研究而制定。本标准的</w:t>
      </w:r>
    </w:p>
    <w:p>
      <w:pPr>
        <w:pStyle w:val="BodyText"/>
        <w:spacing w:before="1" w:line="219" w:lineRule="auto"/>
        <w:ind w:left="738"/>
        <w:rPr>
          <w:sz w:val="28"/>
          <w:szCs w:val="28"/>
        </w:rPr>
      </w:pPr>
      <w:r>
        <w:rPr>
          <w:spacing w:val="-4"/>
          <w:sz w:val="28"/>
          <w:szCs w:val="28"/>
        </w:rPr>
        <w:t>制定充分考虑行业发展需求，促进保健食品行业番茄红素产品的质量</w:t>
      </w:r>
    </w:p>
    <w:p>
      <w:pPr>
        <w:spacing w:line="219" w:lineRule="auto"/>
        <w:rPr>
          <w:sz w:val="28"/>
          <w:szCs w:val="28"/>
        </w:rPr>
        <w:sectPr>
          <w:pgSz w:w="11906" w:h="16839"/>
          <w:pgMar w:top="1431" w:right="1074" w:bottom="0" w:left="1073" w:header="0" w:footer="0" w:gutter="0"/>
          <w:pgNumType w:start="4"/>
          <w:cols w:space="708"/>
        </w:sectPr>
      </w:pPr>
    </w:p>
    <w:p>
      <w:pPr>
        <w:pStyle w:val="BodyText"/>
        <w:spacing w:before="181" w:line="219" w:lineRule="auto"/>
        <w:ind w:left="26"/>
        <w:rPr>
          <w:sz w:val="28"/>
          <w:szCs w:val="28"/>
        </w:rPr>
      </w:pPr>
      <w:r>
        <w:rPr>
          <w:spacing w:val="-1"/>
          <w:sz w:val="28"/>
          <w:szCs w:val="28"/>
        </w:rPr>
        <w:t>提升，保护消费者权益，确保标准的科学性、先进性、可操作性。</w:t>
      </w:r>
    </w:p>
    <w:p>
      <w:pPr>
        <w:spacing w:before="291" w:line="222" w:lineRule="auto"/>
        <w:jc w:val="right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5"/>
          <w:sz w:val="28"/>
          <w:szCs w:val="28"/>
        </w:rPr>
        <w:t>（二）标准主要内容及其确定依据（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sz w:val="28"/>
          <w:szCs w:val="28"/>
        </w:rPr>
        <w:t>包括修订前后技术内容的对比）</w:t>
      </w:r>
    </w:p>
    <w:p>
      <w:pPr>
        <w:pStyle w:val="BodyText"/>
        <w:spacing w:before="286" w:line="221" w:lineRule="auto"/>
        <w:ind w:left="32"/>
        <w:outlineLvl w:val="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spacing w:val="-33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、增加对照品标定</w:t>
      </w:r>
    </w:p>
    <w:p>
      <w:pPr>
        <w:pStyle w:val="BodyText"/>
        <w:spacing w:before="293" w:line="411" w:lineRule="auto"/>
        <w:ind w:left="20" w:right="34" w:firstLine="56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与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GB/T 22249-2008 </w:t>
      </w:r>
      <w:r>
        <w:rPr>
          <w:spacing w:val="-2"/>
          <w:sz w:val="28"/>
          <w:szCs w:val="28"/>
        </w:rPr>
        <w:t>相比，新标准增加了对</w:t>
      </w:r>
      <w:r>
        <w:rPr>
          <w:spacing w:val="-3"/>
          <w:sz w:val="28"/>
          <w:szCs w:val="28"/>
        </w:rPr>
        <w:t>照品标定步骤（见标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准稿附录</w:t>
      </w:r>
      <w:r>
        <w:rPr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A</w:t>
      </w:r>
      <w:r>
        <w:rPr>
          <w:spacing w:val="-3"/>
          <w:sz w:val="28"/>
          <w:szCs w:val="28"/>
        </w:rPr>
        <w:t>）。针对番茄红素标准品不稳定和使用过程不</w:t>
      </w:r>
      <w:r>
        <w:rPr>
          <w:spacing w:val="-4"/>
          <w:sz w:val="28"/>
          <w:szCs w:val="28"/>
        </w:rPr>
        <w:t>易控制的难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题，借鉴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JECFA </w:t>
      </w:r>
      <w:r>
        <w:rPr>
          <w:spacing w:val="-9"/>
          <w:sz w:val="28"/>
          <w:szCs w:val="28"/>
        </w:rPr>
        <w:t>番茄红素（天然）标准、国标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GB 28316-2012 </w:t>
      </w:r>
      <w:r>
        <w:rPr>
          <w:spacing w:val="-9"/>
          <w:sz w:val="28"/>
          <w:szCs w:val="28"/>
        </w:rPr>
        <w:t>和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B/T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22249-2008 </w:t>
      </w:r>
      <w:r>
        <w:rPr>
          <w:spacing w:val="-5"/>
          <w:sz w:val="28"/>
          <w:szCs w:val="28"/>
        </w:rPr>
        <w:t>的技术原理，参照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T/CCCMHPIE</w:t>
      </w:r>
      <w:r>
        <w:rPr>
          <w:rFonts w:ascii="Times New Roman" w:eastAsia="Times New Roman" w:hAnsi="Times New Roman" w:cs="Times New Roman"/>
          <w:spacing w:val="33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28-2018 </w:t>
      </w:r>
      <w:r>
        <w:rPr>
          <w:spacing w:val="-6"/>
          <w:sz w:val="28"/>
          <w:szCs w:val="28"/>
        </w:rPr>
        <w:t>中的解决办法，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在朗博比尔定律和质量吸收系数等基础化学</w:t>
      </w:r>
      <w:r>
        <w:rPr>
          <w:spacing w:val="-4"/>
          <w:sz w:val="28"/>
          <w:szCs w:val="28"/>
        </w:rPr>
        <w:t>理论的支撑下，采用了分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光光度法结合液相色谱面积归一化法的操作</w:t>
      </w:r>
      <w:r>
        <w:rPr>
          <w:spacing w:val="-4"/>
          <w:sz w:val="28"/>
          <w:szCs w:val="28"/>
        </w:rPr>
        <w:t>方式，解决了标准品的准</w:t>
      </w:r>
    </w:p>
    <w:p>
      <w:pPr>
        <w:pStyle w:val="BodyText"/>
        <w:spacing w:line="219" w:lineRule="auto"/>
        <w:jc w:val="right"/>
        <w:rPr>
          <w:sz w:val="28"/>
          <w:szCs w:val="28"/>
        </w:rPr>
      </w:pPr>
      <w:r>
        <w:rPr>
          <w:spacing w:val="-10"/>
          <w:sz w:val="28"/>
          <w:szCs w:val="28"/>
        </w:rPr>
        <w:t>确性不可控难题，使得方法简单易行。关于本标准中标定方法的说</w:t>
      </w:r>
      <w:r>
        <w:rPr>
          <w:spacing w:val="-11"/>
          <w:sz w:val="28"/>
          <w:szCs w:val="28"/>
        </w:rPr>
        <w:t>明：</w:t>
      </w:r>
    </w:p>
    <w:p>
      <w:pPr>
        <w:pStyle w:val="BodyText"/>
        <w:spacing w:before="291" w:line="220" w:lineRule="auto"/>
        <w:ind w:left="59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1</w:t>
      </w:r>
      <w:r>
        <w:rPr>
          <w:b/>
          <w:bCs/>
          <w:spacing w:val="-4"/>
          <w:sz w:val="28"/>
          <w:szCs w:val="28"/>
        </w:rPr>
        <w:t>）关于</w:t>
      </w:r>
      <w:r>
        <w:rPr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P </w:t>
      </w:r>
      <w:r>
        <w:rPr>
          <w:b/>
          <w:bCs/>
          <w:spacing w:val="-4"/>
          <w:sz w:val="28"/>
          <w:szCs w:val="28"/>
        </w:rPr>
        <w:t>值的说明</w:t>
      </w:r>
    </w:p>
    <w:p>
      <w:pPr>
        <w:pStyle w:val="BodyText"/>
        <w:spacing w:before="296" w:line="411" w:lineRule="auto"/>
        <w:ind w:left="25" w:right="110" w:firstLine="560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标样定量检测使用的是番茄红素的峰，因此需要校准出这个峰对</w:t>
      </w:r>
      <w:r>
        <w:rPr>
          <w:spacing w:val="6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应的成分浓度。针对校准公式中的</w:t>
      </w:r>
      <w:r>
        <w:rPr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P </w:t>
      </w:r>
      <w:r>
        <w:rPr>
          <w:spacing w:val="-4"/>
          <w:sz w:val="28"/>
          <w:szCs w:val="28"/>
        </w:rPr>
        <w:t>值，其目的是为了修正校准的准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确性，考察市场上的番茄红素标准品，其色谱峰前段会有其他非番茄</w:t>
      </w:r>
      <w:r>
        <w:rPr>
          <w:spacing w:val="1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红素成分干扰，按照校准方法的原理需要消除掉这些非番茄红素峰才</w:t>
      </w:r>
      <w:r>
        <w:rPr>
          <w:spacing w:val="1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能保证结果准确性，只有引进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P </w:t>
      </w:r>
      <w:r>
        <w:rPr>
          <w:spacing w:val="-4"/>
          <w:sz w:val="28"/>
          <w:szCs w:val="28"/>
        </w:rPr>
        <w:t>值消除杂峰才能确保校准的结果</w:t>
      </w:r>
      <w:r>
        <w:rPr>
          <w:spacing w:val="-5"/>
          <w:sz w:val="28"/>
          <w:szCs w:val="28"/>
        </w:rPr>
        <w:t>是番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茄红素成分，否则校准出来的结果是所有可见峰对应的浓度，校准结</w:t>
      </w:r>
      <w:r>
        <w:rPr>
          <w:spacing w:val="1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果就会偏高。因此，引进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P </w:t>
      </w:r>
      <w:r>
        <w:rPr>
          <w:spacing w:val="-4"/>
          <w:sz w:val="28"/>
          <w:szCs w:val="28"/>
        </w:rPr>
        <w:t>值的修正，针对标样校准是非常有必</w:t>
      </w:r>
      <w:r>
        <w:rPr>
          <w:spacing w:val="-5"/>
          <w:sz w:val="28"/>
          <w:szCs w:val="28"/>
        </w:rPr>
        <w:t>要性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的，能够消除由于标准品不确定性引进的误差，也能得到真正的校准</w:t>
      </w:r>
    </w:p>
    <w:p>
      <w:pPr>
        <w:pStyle w:val="BodyText"/>
        <w:spacing w:before="1" w:line="219" w:lineRule="auto"/>
        <w:ind w:left="25"/>
        <w:rPr>
          <w:sz w:val="28"/>
          <w:szCs w:val="28"/>
        </w:rPr>
      </w:pPr>
      <w:r>
        <w:rPr>
          <w:spacing w:val="-5"/>
          <w:sz w:val="28"/>
          <w:szCs w:val="28"/>
        </w:rPr>
        <w:t>值。</w:t>
      </w:r>
    </w:p>
    <w:p>
      <w:pPr>
        <w:pStyle w:val="BodyText"/>
        <w:spacing w:before="291" w:line="220" w:lineRule="auto"/>
        <w:ind w:left="58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</w:t>
      </w:r>
      <w:r>
        <w:rPr>
          <w:b/>
          <w:bCs/>
          <w:spacing w:val="-5"/>
          <w:sz w:val="28"/>
          <w:szCs w:val="28"/>
        </w:rPr>
        <w:t>）关于质量吸收系数</w:t>
      </w:r>
      <w:r>
        <w:rPr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345</w:t>
      </w:r>
      <w:r>
        <w:rPr>
          <w:rFonts w:ascii="Times New Roman" w:eastAsia="Times New Roman" w:hAnsi="Times New Roman" w:cs="Times New Roman"/>
          <w:b/>
          <w:bCs/>
          <w:spacing w:val="32"/>
          <w:w w:val="101"/>
          <w:sz w:val="28"/>
          <w:szCs w:val="28"/>
        </w:rPr>
        <w:t xml:space="preserve"> </w:t>
      </w:r>
      <w:r>
        <w:rPr>
          <w:b/>
          <w:bCs/>
          <w:spacing w:val="-5"/>
          <w:sz w:val="28"/>
          <w:szCs w:val="28"/>
        </w:rPr>
        <w:t>的说明</w:t>
      </w:r>
    </w:p>
    <w:p>
      <w:pPr>
        <w:pStyle w:val="BodyText"/>
        <w:spacing w:before="290" w:line="220" w:lineRule="auto"/>
        <w:ind w:left="585"/>
        <w:rPr>
          <w:sz w:val="28"/>
          <w:szCs w:val="28"/>
        </w:rPr>
      </w:pPr>
      <w:r>
        <w:rPr>
          <w:spacing w:val="-4"/>
          <w:sz w:val="28"/>
          <w:szCs w:val="28"/>
        </w:rPr>
        <w:t>质量吸收系数的定义是指特定物质在一定波长下，特定溶液浓度</w:t>
      </w:r>
    </w:p>
    <w:p>
      <w:pPr>
        <w:spacing w:line="220" w:lineRule="auto"/>
        <w:rPr>
          <w:sz w:val="28"/>
          <w:szCs w:val="28"/>
        </w:rPr>
        <w:sectPr>
          <w:pgSz w:w="11906" w:h="16839"/>
          <w:pgMar w:top="1431" w:right="1689" w:bottom="0" w:left="1785" w:header="0" w:footer="0" w:gutter="0"/>
          <w:pgNumType w:start="5"/>
          <w:cols w:space="708"/>
        </w:sectPr>
      </w:pPr>
    </w:p>
    <w:p>
      <w:pPr>
        <w:pStyle w:val="BodyText"/>
        <w:spacing w:before="183" w:line="411" w:lineRule="auto"/>
        <w:ind w:left="26" w:firstLine="2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为</w:t>
      </w:r>
      <w:r>
        <w:rPr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 g/L</w:t>
      </w:r>
      <w:r>
        <w:rPr>
          <w:rFonts w:ascii="Times New Roman" w:eastAsia="Times New Roman" w:hAnsi="Times New Roman" w:cs="Times New Roman"/>
          <w:spacing w:val="-41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、厚度为</w:t>
      </w:r>
      <w:r>
        <w:rPr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 cm</w:t>
      </w:r>
      <w:r>
        <w:rPr>
          <w:rFonts w:ascii="Times New Roman" w:eastAsia="Times New Roman" w:hAnsi="Times New Roman" w:cs="Times New Roman"/>
          <w:spacing w:val="33"/>
          <w:w w:val="101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的所产生的吸光度，其单位为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L/</w:t>
      </w:r>
      <w:r>
        <w:rPr>
          <w:spacing w:val="-6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g</w:t>
      </w:r>
      <w:r>
        <w:rPr>
          <w:spacing w:val="-6"/>
          <w:sz w:val="28"/>
          <w:szCs w:val="28"/>
        </w:rPr>
        <w:t>·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30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）。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本标准编制时，充分考虑的数据单位的可推导性，将质量吸收系数的</w:t>
      </w:r>
      <w:r>
        <w:rPr>
          <w:spacing w:val="1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单位和比色皿的宽度等进行了说明，能够有利于使用</w:t>
      </w:r>
      <w:r>
        <w:rPr>
          <w:spacing w:val="-4"/>
          <w:sz w:val="28"/>
          <w:szCs w:val="28"/>
        </w:rPr>
        <w:t>者理解公式，相</w:t>
      </w:r>
    </w:p>
    <w:p>
      <w:pPr>
        <w:pStyle w:val="BodyText"/>
        <w:spacing w:before="1" w:line="219" w:lineRule="auto"/>
        <w:ind w:left="55"/>
        <w:rPr>
          <w:sz w:val="28"/>
          <w:szCs w:val="28"/>
        </w:rPr>
      </w:pPr>
      <w:r>
        <w:rPr>
          <w:spacing w:val="-3"/>
          <w:sz w:val="28"/>
          <w:szCs w:val="28"/>
        </w:rPr>
        <w:t>比现有参照标准均具有明显严谨性。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3" w:right="44" w:firstLine="561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此外，原标准配制和使用为临用现配，相当于标准品为一次性使</w:t>
      </w:r>
      <w:r>
        <w:rPr>
          <w:spacing w:val="6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用。本方法增加了标定步骤，且通过稳定性试验验证对照品溶液可以</w:t>
      </w:r>
      <w:r>
        <w:rPr>
          <w:spacing w:val="15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储存更长的周期，依据 </w:t>
      </w:r>
      <w:r>
        <w:rPr>
          <w:rFonts w:ascii="Times New Roman" w:eastAsia="Times New Roman" w:hAnsi="Times New Roman" w:cs="Times New Roman"/>
          <w:sz w:val="28"/>
          <w:szCs w:val="28"/>
        </w:rPr>
        <w:t>JECFA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标准：</w:t>
      </w:r>
      <w:r>
        <w:rPr>
          <w:rFonts w:ascii="Times New Roman" w:eastAsia="Times New Roman" w:hAnsi="Times New Roman" w:cs="Times New Roman"/>
          <w:sz w:val="28"/>
          <w:szCs w:val="28"/>
        </w:rPr>
        <w:t>Lycopene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Extract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From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Tomato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Lycopene (Tomato); INS</w:t>
      </w:r>
      <w:r>
        <w:rPr>
          <w:rFonts w:ascii="Times New Roman" w:eastAsia="Times New Roman" w:hAnsi="Times New Roman" w:cs="Times New Roman"/>
          <w:spacing w:val="34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160d(ii)</w:t>
      </w:r>
      <w:r>
        <w:rPr>
          <w:spacing w:val="10"/>
          <w:sz w:val="28"/>
          <w:szCs w:val="28"/>
        </w:rPr>
        <w:t>），</w:t>
      </w:r>
      <w:r>
        <w:rPr>
          <w:spacing w:val="-1"/>
          <w:sz w:val="28"/>
          <w:szCs w:val="28"/>
        </w:rPr>
        <w:t>增加标定步骤后，标准溶液至</w:t>
      </w:r>
    </w:p>
    <w:p>
      <w:pPr>
        <w:pStyle w:val="BodyText"/>
        <w:spacing w:before="1" w:line="219" w:lineRule="auto"/>
        <w:ind w:left="26"/>
        <w:rPr>
          <w:sz w:val="28"/>
          <w:szCs w:val="28"/>
        </w:rPr>
      </w:pPr>
      <w:r>
        <w:rPr>
          <w:spacing w:val="-2"/>
          <w:sz w:val="28"/>
          <w:szCs w:val="28"/>
        </w:rPr>
        <w:t>少可稳定保存三周。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91" w:line="780" w:lineRule="exact"/>
        <w:ind w:left="2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6"/>
          <w:position w:val="3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36"/>
          <w:position w:val="38"/>
          <w:sz w:val="28"/>
          <w:szCs w:val="28"/>
        </w:rPr>
        <w:t xml:space="preserve"> </w:t>
      </w:r>
      <w:r>
        <w:rPr>
          <w:b/>
          <w:bCs/>
          <w:spacing w:val="-6"/>
          <w:position w:val="38"/>
          <w:sz w:val="28"/>
          <w:szCs w:val="28"/>
        </w:rPr>
        <w:t>、前处理方法的选择</w:t>
      </w:r>
    </w:p>
    <w:p>
      <w:pPr>
        <w:pStyle w:val="BodyText"/>
        <w:spacing w:before="1" w:line="219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1</w:t>
      </w:r>
      <w:r>
        <w:rPr>
          <w:b/>
          <w:bCs/>
          <w:spacing w:val="-4"/>
          <w:sz w:val="28"/>
          <w:szCs w:val="28"/>
        </w:rPr>
        <w:t>）</w:t>
      </w:r>
      <w:r>
        <w:rPr>
          <w:spacing w:val="-4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取样量的修改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6" w:right="44" w:firstLine="573"/>
        <w:jc w:val="both"/>
        <w:rPr>
          <w:sz w:val="28"/>
          <w:szCs w:val="28"/>
        </w:rPr>
      </w:pPr>
      <w:r>
        <w:rPr>
          <w:spacing w:val="11"/>
          <w:sz w:val="28"/>
          <w:szCs w:val="28"/>
        </w:rPr>
        <w:t>与</w:t>
      </w:r>
      <w:r>
        <w:rPr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GB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/T</w:t>
      </w:r>
      <w:r>
        <w:rPr>
          <w:rFonts w:ascii="Times New Roman" w:eastAsia="Times New Roman" w:hAnsi="Times New Roman" w:cs="Times New Roman"/>
          <w:spacing w:val="26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22249-2008</w:t>
      </w:r>
      <w:r>
        <w:rPr>
          <w:rFonts w:ascii="Times New Roman" w:eastAsia="Times New Roman" w:hAnsi="Times New Roman" w:cs="Times New Roman"/>
          <w:spacing w:val="35"/>
          <w:w w:val="101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相比</w:t>
      </w:r>
      <w:r>
        <w:rPr>
          <w:spacing w:val="-80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，原标准中线性的最高检测含量为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mg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/100g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，而市场上的产品含量通常为</w:t>
      </w:r>
      <w:r>
        <w:rPr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500</w:t>
      </w:r>
      <w:r>
        <w:rPr>
          <w:rFonts w:ascii="Times New Roman" w:eastAsia="Times New Roman" w:hAnsi="Times New Roman" w:cs="Times New Roman"/>
          <w:sz w:val="28"/>
          <w:szCs w:val="28"/>
        </w:rPr>
        <w:t>mg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/100g~5000</w:t>
      </w:r>
      <w:r>
        <w:rPr>
          <w:rFonts w:ascii="Times New Roman" w:eastAsia="Times New Roman" w:hAnsi="Times New Roman" w:cs="Times New Roman"/>
          <w:sz w:val="28"/>
          <w:szCs w:val="28"/>
        </w:rPr>
        <w:t>mg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/100g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水平，因此使用原标准需要稀释操作较多倍数。现方</w:t>
      </w:r>
      <w:r>
        <w:rPr>
          <w:spacing w:val="-4"/>
          <w:sz w:val="28"/>
          <w:szCs w:val="28"/>
        </w:rPr>
        <w:t>法修改了不同剂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型样品的称样量及定容体积：油溶性液体和一般性固</w:t>
      </w:r>
      <w:r>
        <w:rPr>
          <w:spacing w:val="-4"/>
          <w:sz w:val="28"/>
          <w:szCs w:val="28"/>
        </w:rPr>
        <w:t>体样品的取样量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为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 g~0.5 g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，微囊化固体样品的</w:t>
      </w:r>
      <w:r>
        <w:rPr>
          <w:spacing w:val="-6"/>
          <w:sz w:val="28"/>
          <w:szCs w:val="28"/>
        </w:rPr>
        <w:t>取样量为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 g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，定容体积均为</w:t>
      </w:r>
      <w:r>
        <w:rPr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mL,</w:t>
      </w:r>
      <w:r>
        <w:rPr>
          <w:sz w:val="28"/>
          <w:szCs w:val="28"/>
        </w:rPr>
        <w:t>修改后的方法更便于实际样品中的操作使用，在无需稀释操作的</w:t>
      </w:r>
    </w:p>
    <w:p>
      <w:pPr>
        <w:pStyle w:val="BodyText"/>
        <w:spacing w:before="2" w:line="219" w:lineRule="auto"/>
        <w:ind w:left="26"/>
        <w:rPr>
          <w:sz w:val="28"/>
          <w:szCs w:val="28"/>
        </w:rPr>
      </w:pPr>
      <w:r>
        <w:rPr>
          <w:spacing w:val="-1"/>
          <w:sz w:val="28"/>
          <w:szCs w:val="28"/>
        </w:rPr>
        <w:t>情况下就能够直接检测市场上常规规格的产品。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2</w:t>
      </w:r>
      <w:r>
        <w:rPr>
          <w:b/>
          <w:bCs/>
          <w:spacing w:val="-4"/>
          <w:sz w:val="28"/>
          <w:szCs w:val="28"/>
        </w:rPr>
        <w:t>）提取方法的选择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45"/>
        <w:jc w:val="right"/>
        <w:rPr>
          <w:sz w:val="28"/>
          <w:szCs w:val="28"/>
        </w:rPr>
        <w:sectPr>
          <w:pgSz w:w="11906" w:h="16839"/>
          <w:pgMar w:top="1431" w:right="1754" w:bottom="0" w:left="1785" w:header="0" w:footer="0" w:gutter="0"/>
          <w:pgNumType w:start="6"/>
          <w:cols w:space="708"/>
        </w:sectPr>
      </w:pPr>
      <w:r>
        <w:rPr>
          <w:spacing w:val="-2"/>
          <w:position w:val="26"/>
          <w:sz w:val="28"/>
          <w:szCs w:val="28"/>
        </w:rPr>
        <w:t>与</w:t>
      </w:r>
      <w:r>
        <w:rPr>
          <w:spacing w:val="-61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28"/>
          <w:szCs w:val="28"/>
        </w:rPr>
        <w:t xml:space="preserve">GB/T 22249-2008 </w:t>
      </w:r>
      <w:r>
        <w:rPr>
          <w:spacing w:val="-2"/>
          <w:position w:val="26"/>
          <w:sz w:val="28"/>
          <w:szCs w:val="28"/>
        </w:rPr>
        <w:t>相比，原标准中微囊化</w:t>
      </w:r>
      <w:r>
        <w:rPr>
          <w:spacing w:val="-3"/>
          <w:position w:val="26"/>
          <w:sz w:val="28"/>
          <w:szCs w:val="28"/>
        </w:rPr>
        <w:t>固体的前处理方法对</w:t>
      </w:r>
    </w:p>
    <w:p>
      <w:pPr>
        <w:pStyle w:val="BodyText"/>
        <w:spacing w:before="1" w:line="219" w:lineRule="auto"/>
        <w:ind w:left="29"/>
        <w:rPr>
          <w:sz w:val="28"/>
          <w:szCs w:val="28"/>
        </w:rPr>
      </w:pPr>
      <w:r>
        <w:rPr>
          <w:spacing w:val="-4"/>
          <w:sz w:val="28"/>
          <w:szCs w:val="28"/>
        </w:rPr>
        <w:t>于搜集到的很多样品不适用，但能够基本满足非微囊化的固体样品检</w:t>
      </w:r>
    </w:p>
    <w:p>
      <w:pPr>
        <w:spacing w:line="219" w:lineRule="auto"/>
        <w:rPr>
          <w:sz w:val="28"/>
          <w:szCs w:val="28"/>
        </w:rPr>
        <w:sectPr>
          <w:type w:val="nextPage"/>
          <w:pgSz w:w="11906" w:h="16839"/>
          <w:pgMar w:top="1431" w:right="1754" w:bottom="0" w:left="1785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184" w:line="411" w:lineRule="auto"/>
        <w:ind w:left="26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测，因此本标准修改并完善了油溶性样品和一般固体样品的提取方法，</w:t>
      </w:r>
      <w:r>
        <w:rPr>
          <w:spacing w:val="1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增加了微囊化固体样品处理方法。新标准油溶性试样采用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BHT-</w:t>
      </w:r>
      <w:r>
        <w:rPr>
          <w:spacing w:val="-2"/>
          <w:sz w:val="28"/>
          <w:szCs w:val="28"/>
        </w:rPr>
        <w:t xml:space="preserve">二氯  </w:t>
      </w:r>
      <w:r>
        <w:rPr>
          <w:spacing w:val="-5"/>
          <w:sz w:val="28"/>
          <w:szCs w:val="28"/>
        </w:rPr>
        <w:t>甲烷溶液直接提取，一般性固体试样经</w:t>
      </w:r>
      <w:r>
        <w:rPr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N</w:t>
      </w:r>
      <w:r>
        <w:rPr>
          <w:spacing w:val="-5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N-</w:t>
      </w:r>
      <w:r>
        <w:rPr>
          <w:spacing w:val="-5"/>
          <w:sz w:val="28"/>
          <w:szCs w:val="28"/>
        </w:rPr>
        <w:t xml:space="preserve">二甲基甲酰胺提取后采  </w:t>
      </w:r>
      <w:r>
        <w:rPr>
          <w:spacing w:val="-1"/>
          <w:sz w:val="28"/>
          <w:szCs w:val="28"/>
        </w:rPr>
        <w:t>用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BHT-</w:t>
      </w:r>
      <w:r>
        <w:rPr>
          <w:spacing w:val="-1"/>
          <w:sz w:val="28"/>
          <w:szCs w:val="28"/>
        </w:rPr>
        <w:t>二氯甲烷溶液稀释，微囊化固体试样经氨缓冲溶液破壁</w:t>
      </w:r>
      <w:r>
        <w:rPr>
          <w:spacing w:val="-2"/>
          <w:sz w:val="28"/>
          <w:szCs w:val="28"/>
        </w:rPr>
        <w:t xml:space="preserve">分散  </w:t>
      </w:r>
      <w:r>
        <w:rPr>
          <w:sz w:val="28"/>
          <w:szCs w:val="28"/>
        </w:rPr>
        <w:t>后采用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BHT</w:t>
      </w:r>
      <w:r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四氢呋喃溶液稀释，能够有效提</w:t>
      </w:r>
      <w:r>
        <w:rPr>
          <w:spacing w:val="-1"/>
          <w:sz w:val="28"/>
          <w:szCs w:val="28"/>
        </w:rPr>
        <w:t>取相应剂型样品中的番</w:t>
      </w:r>
    </w:p>
    <w:p>
      <w:pPr>
        <w:pStyle w:val="BodyText"/>
        <w:spacing w:before="1" w:line="219" w:lineRule="auto"/>
        <w:ind w:left="27"/>
        <w:rPr>
          <w:sz w:val="28"/>
          <w:szCs w:val="28"/>
        </w:rPr>
      </w:pPr>
      <w:r>
        <w:rPr>
          <w:spacing w:val="-4"/>
          <w:sz w:val="28"/>
          <w:szCs w:val="28"/>
        </w:rPr>
        <w:t>茄红素。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3</w:t>
      </w:r>
      <w:r>
        <w:rPr>
          <w:b/>
          <w:bCs/>
          <w:spacing w:val="-4"/>
          <w:sz w:val="28"/>
          <w:szCs w:val="28"/>
        </w:rPr>
        <w:t>）仪器分析条件的选择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7" w:right="141" w:firstLine="563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原标准中流动相使用甲醇和乙腈混合体系检测的方式，要重现标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准中的方法需要反复筛选较多款色谱柱才能实现分离，因此使用起来</w:t>
      </w:r>
      <w:r>
        <w:rPr>
          <w:spacing w:val="12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也有不便利性。根据番茄红素的溶解性，借鉴了相关标准和文献方</w:t>
      </w:r>
      <w:r>
        <w:rPr>
          <w:spacing w:val="-11"/>
          <w:sz w:val="28"/>
          <w:szCs w:val="28"/>
        </w:rPr>
        <w:t>法，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经试验选定甲醇：二氯甲烷（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95:5</w:t>
      </w:r>
      <w:r>
        <w:rPr>
          <w:spacing w:val="-4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v/v</w:t>
      </w:r>
      <w:r>
        <w:rPr>
          <w:spacing w:val="-4"/>
          <w:sz w:val="28"/>
          <w:szCs w:val="28"/>
        </w:rPr>
        <w:t>）流动相体系，可以较快的实</w:t>
      </w:r>
      <w:r>
        <w:rPr>
          <w:spacing w:val="12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现番茄红素成分的分离，且该流动相条件不再需要筛选色谱柱，任何</w:t>
      </w:r>
    </w:p>
    <w:p>
      <w:pPr>
        <w:pStyle w:val="BodyText"/>
        <w:spacing w:before="1" w:line="219" w:lineRule="auto"/>
        <w:ind w:left="31"/>
        <w:rPr>
          <w:sz w:val="28"/>
          <w:szCs w:val="28"/>
        </w:rPr>
      </w:pPr>
      <w:r>
        <w:rPr>
          <w:spacing w:val="-1"/>
          <w:sz w:val="28"/>
          <w:szCs w:val="28"/>
        </w:rPr>
        <w:t>常规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</w:rPr>
        <w:t>18</w:t>
      </w:r>
      <w:r>
        <w:rPr>
          <w:rFonts w:ascii="Times New Roman" w:eastAsia="Times New Roman" w:hAnsi="Times New Roman" w:cs="Times New Roman"/>
          <w:spacing w:val="16"/>
          <w:w w:val="101"/>
          <w:position w:val="-1"/>
          <w:sz w:val="18"/>
          <w:szCs w:val="18"/>
        </w:rPr>
        <w:t xml:space="preserve"> </w:t>
      </w:r>
      <w:r>
        <w:rPr>
          <w:spacing w:val="-1"/>
          <w:sz w:val="28"/>
          <w:szCs w:val="28"/>
        </w:rPr>
        <w:t>色谱柱均能实现分离应用，较大地</w:t>
      </w:r>
      <w:r>
        <w:rPr>
          <w:spacing w:val="-2"/>
          <w:sz w:val="28"/>
          <w:szCs w:val="28"/>
        </w:rPr>
        <w:t>提高了方法的耐用性。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5</w:t>
      </w:r>
      <w:r>
        <w:rPr>
          <w:b/>
          <w:bCs/>
          <w:spacing w:val="-4"/>
          <w:sz w:val="28"/>
          <w:szCs w:val="28"/>
        </w:rPr>
        <w:t>）检出限和定量限的修订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8" w:right="217" w:firstLine="558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按照新修订检测标准验证确定不同剂型的检出限和定量限，适用</w:t>
      </w:r>
      <w:r>
        <w:rPr>
          <w:spacing w:val="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性更强，相比原标准可以在不稀释操作的情况下满足市场上大部分样</w:t>
      </w:r>
    </w:p>
    <w:p>
      <w:pPr>
        <w:pStyle w:val="BodyText"/>
        <w:spacing w:before="1" w:line="219" w:lineRule="auto"/>
        <w:ind w:left="48"/>
        <w:rPr>
          <w:sz w:val="28"/>
          <w:szCs w:val="28"/>
        </w:rPr>
      </w:pPr>
      <w:r>
        <w:rPr>
          <w:spacing w:val="-4"/>
          <w:sz w:val="28"/>
          <w:szCs w:val="28"/>
        </w:rPr>
        <w:t>品的定量，操作更简便。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33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6</w:t>
      </w:r>
      <w:r>
        <w:rPr>
          <w:b/>
          <w:bCs/>
          <w:spacing w:val="-5"/>
          <w:sz w:val="28"/>
          <w:szCs w:val="28"/>
        </w:rPr>
        <w:t>）异构体检测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2" w:right="2" w:firstLine="568"/>
        <w:jc w:val="both"/>
        <w:rPr>
          <w:sz w:val="28"/>
          <w:szCs w:val="28"/>
        </w:rPr>
        <w:sectPr>
          <w:pgSz w:w="11906" w:h="16839"/>
          <w:pgMar w:top="1431" w:right="1581" w:bottom="0" w:left="1785" w:header="0" w:footer="0" w:gutter="0"/>
          <w:pgNumType w:start="8"/>
          <w:cols w:space="708"/>
        </w:sectPr>
      </w:pPr>
      <w:r>
        <w:rPr>
          <w:spacing w:val="-3"/>
          <w:sz w:val="28"/>
          <w:szCs w:val="28"/>
        </w:rPr>
        <w:t>原标准仅在色谱条件处提到了使用</w:t>
      </w:r>
      <w:r>
        <w:rPr>
          <w:spacing w:val="-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</w:rPr>
        <w:t xml:space="preserve">30 </w:t>
      </w:r>
      <w:r>
        <w:rPr>
          <w:spacing w:val="-3"/>
          <w:sz w:val="28"/>
          <w:szCs w:val="28"/>
        </w:rPr>
        <w:t>色谱柱分离异构体的</w:t>
      </w:r>
      <w:r>
        <w:rPr>
          <w:spacing w:val="-4"/>
          <w:sz w:val="28"/>
          <w:szCs w:val="28"/>
        </w:rPr>
        <w:t>方式，</w:t>
      </w:r>
      <w:r>
        <w:rPr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但在标准文本中的其他位置未在做出说明，包括：色谱条件、色谱图、</w:t>
      </w:r>
    </w:p>
    <w:p>
      <w:pPr>
        <w:pStyle w:val="BodyText"/>
        <w:spacing w:before="1" w:line="219" w:lineRule="auto"/>
        <w:ind w:left="31"/>
        <w:rPr>
          <w:sz w:val="28"/>
          <w:szCs w:val="28"/>
        </w:rPr>
      </w:pPr>
      <w:r>
        <w:rPr>
          <w:spacing w:val="-4"/>
          <w:sz w:val="28"/>
          <w:szCs w:val="28"/>
        </w:rPr>
        <w:t>定量方式等。考虑到市场和行业的实际需求情况，以及标准使用的便</w:t>
      </w:r>
    </w:p>
    <w:p>
      <w:pPr>
        <w:spacing w:line="219" w:lineRule="auto"/>
        <w:rPr>
          <w:sz w:val="28"/>
          <w:szCs w:val="28"/>
        </w:rPr>
        <w:sectPr>
          <w:type w:val="nextPage"/>
          <w:pgSz w:w="11906" w:h="16839"/>
          <w:pgMar w:top="1431" w:right="1581" w:bottom="0" w:left="1785" w:header="0" w:footer="0" w:gutter="0"/>
          <w:pgNumType w:start="9"/>
          <w:cols w:space="708"/>
          <w:titlePg w:val="0"/>
        </w:sectPr>
      </w:pPr>
    </w:p>
    <w:p>
      <w:pPr>
        <w:pStyle w:val="BodyText"/>
        <w:spacing w:before="182" w:line="411" w:lineRule="auto"/>
        <w:ind w:left="27" w:right="237" w:hanging="1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利性，因此修订后标准直接删除该部分内容，仅保留</w:t>
      </w:r>
      <w:r>
        <w:rPr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</w:rPr>
        <w:t>18</w:t>
      </w:r>
      <w:r>
        <w:rPr>
          <w:rFonts w:ascii="Times New Roman" w:eastAsia="Times New Roman" w:hAnsi="Times New Roman" w:cs="Times New Roman"/>
          <w:spacing w:val="14"/>
          <w:w w:val="101"/>
          <w:position w:val="-1"/>
          <w:sz w:val="18"/>
          <w:szCs w:val="18"/>
        </w:rPr>
        <w:t xml:space="preserve"> </w:t>
      </w:r>
      <w:r>
        <w:rPr>
          <w:spacing w:val="-2"/>
          <w:sz w:val="28"/>
          <w:szCs w:val="28"/>
        </w:rPr>
        <w:t>色谱柱检测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番茄红素总量的方法，且使用</w:t>
      </w:r>
      <w:r>
        <w:rPr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</w:rPr>
        <w:t>18</w:t>
      </w:r>
      <w:r>
        <w:rPr>
          <w:rFonts w:ascii="Times New Roman" w:eastAsia="Times New Roman" w:hAnsi="Times New Roman" w:cs="Times New Roman"/>
          <w:spacing w:val="16"/>
          <w:w w:val="101"/>
          <w:position w:val="-1"/>
          <w:sz w:val="18"/>
          <w:szCs w:val="18"/>
        </w:rPr>
        <w:t xml:space="preserve"> </w:t>
      </w:r>
      <w:r>
        <w:rPr>
          <w:spacing w:val="-2"/>
          <w:sz w:val="28"/>
          <w:szCs w:val="28"/>
        </w:rPr>
        <w:t>色谱柱检测在相关标准和文献中也</w:t>
      </w:r>
    </w:p>
    <w:p>
      <w:pPr>
        <w:pStyle w:val="BodyText"/>
        <w:spacing w:line="219" w:lineRule="auto"/>
        <w:jc w:val="right"/>
        <w:rPr>
          <w:sz w:val="28"/>
          <w:szCs w:val="28"/>
        </w:rPr>
      </w:pPr>
      <w:r>
        <w:rPr>
          <w:spacing w:val="-5"/>
          <w:sz w:val="28"/>
          <w:szCs w:val="28"/>
        </w:rPr>
        <w:t>均是用于检测番茄红素总量，因此不再考虑顺反异构体的分离和检测。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1" w:line="223" w:lineRule="auto"/>
        <w:ind w:left="26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三、试验验证的分析、综述报告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85"/>
        <w:rPr>
          <w:sz w:val="28"/>
          <w:szCs w:val="28"/>
        </w:rPr>
      </w:pPr>
      <w:r>
        <w:rPr>
          <w:spacing w:val="-1"/>
          <w:position w:val="26"/>
          <w:sz w:val="28"/>
          <w:szCs w:val="28"/>
        </w:rPr>
        <w:t>方法线性关系：以番茄红素为定量外标，在</w:t>
      </w:r>
      <w:r>
        <w:rPr>
          <w:spacing w:val="-59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0.25~50 </w:t>
      </w:r>
      <w:r>
        <w:rPr>
          <w:spacing w:val="-1"/>
          <w:position w:val="26"/>
          <w:sz w:val="28"/>
          <w:szCs w:val="28"/>
        </w:rPr>
        <w:t>µ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g/mL </w:t>
      </w:r>
      <w:r>
        <w:rPr>
          <w:spacing w:val="-1"/>
          <w:position w:val="26"/>
          <w:sz w:val="28"/>
          <w:szCs w:val="28"/>
        </w:rPr>
        <w:t>浓度</w:t>
      </w:r>
    </w:p>
    <w:p>
      <w:pPr>
        <w:pStyle w:val="BodyText"/>
        <w:spacing w:before="1" w:line="219" w:lineRule="auto"/>
        <w:ind w:left="31"/>
        <w:rPr>
          <w:sz w:val="28"/>
          <w:szCs w:val="28"/>
        </w:rPr>
      </w:pPr>
      <w:r>
        <w:rPr>
          <w:spacing w:val="-3"/>
          <w:sz w:val="28"/>
          <w:szCs w:val="28"/>
        </w:rPr>
        <w:t>范围内，相关系数</w:t>
      </w:r>
      <w:r>
        <w:rPr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pacing w:val="-3"/>
          <w:position w:val="9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  <w:position w:val="9"/>
          <w:sz w:val="18"/>
          <w:szCs w:val="18"/>
        </w:rPr>
        <w:t xml:space="preserve"> </w:t>
      </w:r>
      <w:r>
        <w:rPr>
          <w:spacing w:val="-3"/>
          <w:sz w:val="28"/>
          <w:szCs w:val="28"/>
        </w:rPr>
        <w:t>大于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0.999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，线性关系良好。</w:t>
      </w:r>
    </w:p>
    <w:p>
      <w:pPr>
        <w:pStyle w:val="BodyText"/>
        <w:spacing w:before="290" w:line="624" w:lineRule="exact"/>
        <w:ind w:left="585"/>
        <w:rPr>
          <w:sz w:val="28"/>
          <w:szCs w:val="28"/>
        </w:rPr>
      </w:pPr>
      <w:r>
        <w:rPr>
          <w:spacing w:val="-4"/>
          <w:position w:val="26"/>
          <w:sz w:val="28"/>
          <w:szCs w:val="28"/>
        </w:rPr>
        <w:t>方法稳定性：该方法含量测定精密度、中间精密度高，稳定性符</w:t>
      </w:r>
    </w:p>
    <w:p>
      <w:pPr>
        <w:pStyle w:val="BodyText"/>
        <w:spacing w:before="1" w:line="221" w:lineRule="auto"/>
        <w:ind w:left="26"/>
        <w:rPr>
          <w:sz w:val="28"/>
          <w:szCs w:val="28"/>
        </w:rPr>
      </w:pPr>
      <w:r>
        <w:rPr>
          <w:spacing w:val="-3"/>
          <w:sz w:val="28"/>
          <w:szCs w:val="28"/>
        </w:rPr>
        <w:t>合要求。</w:t>
      </w:r>
    </w:p>
    <w:p>
      <w:pPr>
        <w:pStyle w:val="BodyText"/>
        <w:spacing w:before="289" w:line="411" w:lineRule="auto"/>
        <w:ind w:left="34" w:right="237" w:firstLine="550"/>
        <w:rPr>
          <w:sz w:val="28"/>
          <w:szCs w:val="28"/>
        </w:rPr>
      </w:pPr>
      <w:r>
        <w:rPr>
          <w:spacing w:val="1"/>
          <w:sz w:val="28"/>
          <w:szCs w:val="28"/>
        </w:rPr>
        <w:t>方法加标回收率：该方法的回收率在</w:t>
      </w:r>
      <w:r>
        <w:rPr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91%</w:t>
      </w:r>
      <w:r>
        <w:rPr>
          <w:spacing w:val="1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103%</w:t>
      </w:r>
      <w:r>
        <w:rPr>
          <w:spacing w:val="1"/>
          <w:sz w:val="28"/>
          <w:szCs w:val="28"/>
        </w:rPr>
        <w:t>范围区间，回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收率的</w:t>
      </w:r>
      <w:r>
        <w:rPr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RSD </w:t>
      </w:r>
      <w:r>
        <w:rPr>
          <w:spacing w:val="-3"/>
          <w:sz w:val="28"/>
          <w:szCs w:val="28"/>
        </w:rPr>
        <w:t>在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0.7%</w:t>
      </w:r>
      <w:r>
        <w:rPr>
          <w:spacing w:val="-3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3.0%</w:t>
      </w:r>
      <w:r>
        <w:rPr>
          <w:spacing w:val="-3"/>
          <w:sz w:val="28"/>
          <w:szCs w:val="28"/>
        </w:rPr>
        <w:t>范围区间，说明该方法精确度较好，能够</w:t>
      </w:r>
    </w:p>
    <w:p>
      <w:pPr>
        <w:pStyle w:val="BodyText"/>
        <w:spacing w:before="2" w:line="219" w:lineRule="auto"/>
        <w:ind w:left="25"/>
        <w:rPr>
          <w:sz w:val="28"/>
          <w:szCs w:val="28"/>
        </w:rPr>
      </w:pPr>
      <w:r>
        <w:rPr>
          <w:spacing w:val="-1"/>
          <w:sz w:val="28"/>
          <w:szCs w:val="28"/>
        </w:rPr>
        <w:t>满足保健食品中番茄红素的准确测定。</w:t>
      </w:r>
    </w:p>
    <w:p>
      <w:pPr>
        <w:pStyle w:val="BodyText"/>
        <w:spacing w:before="290" w:line="624" w:lineRule="exact"/>
        <w:ind w:left="585"/>
        <w:rPr>
          <w:sz w:val="28"/>
          <w:szCs w:val="28"/>
        </w:rPr>
      </w:pPr>
      <w:r>
        <w:rPr>
          <w:spacing w:val="-4"/>
          <w:position w:val="26"/>
          <w:sz w:val="28"/>
          <w:szCs w:val="28"/>
        </w:rPr>
        <w:t>方法准确性：方法验证基础上，起草工作组组织</w:t>
      </w:r>
      <w:r>
        <w:rPr>
          <w:spacing w:val="-58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 xml:space="preserve">5 </w:t>
      </w:r>
      <w:r>
        <w:rPr>
          <w:spacing w:val="-4"/>
          <w:position w:val="26"/>
          <w:sz w:val="28"/>
          <w:szCs w:val="28"/>
        </w:rPr>
        <w:t>家实验室进行</w:t>
      </w:r>
    </w:p>
    <w:p>
      <w:pPr>
        <w:pStyle w:val="BodyText"/>
        <w:spacing w:before="2" w:line="219" w:lineRule="auto"/>
        <w:ind w:left="23"/>
        <w:rPr>
          <w:sz w:val="28"/>
          <w:szCs w:val="28"/>
        </w:rPr>
      </w:pPr>
      <w:r>
        <w:rPr>
          <w:spacing w:val="-1"/>
          <w:sz w:val="28"/>
          <w:szCs w:val="28"/>
        </w:rPr>
        <w:t>验证，结果符合验证比对要求。</w:t>
      </w:r>
    </w:p>
    <w:p>
      <w:pPr>
        <w:pStyle w:val="BodyText"/>
        <w:spacing w:before="271" w:line="225" w:lineRule="auto"/>
        <w:ind w:left="56"/>
        <w:outlineLvl w:val="0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四、与国际、国外同类标准技术内容的对比情况</w:t>
      </w:r>
    </w:p>
    <w:p>
      <w:pPr>
        <w:pStyle w:val="BodyText"/>
        <w:spacing w:before="266" w:line="411" w:lineRule="auto"/>
        <w:ind w:left="21" w:right="236" w:firstLine="12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>（一）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JECFA </w:t>
      </w:r>
      <w:r>
        <w:rPr>
          <w:spacing w:val="-8"/>
          <w:sz w:val="28"/>
          <w:szCs w:val="28"/>
        </w:rPr>
        <w:t>标准：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Lycopene Extract From Tomato</w:t>
      </w:r>
      <w:r>
        <w:rPr>
          <w:spacing w:val="-8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Lycopene (Tom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ato);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INS</w:t>
      </w:r>
      <w:r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160d(ii)</w:t>
      </w:r>
      <w:r>
        <w:rPr>
          <w:spacing w:val="-3"/>
          <w:sz w:val="28"/>
          <w:szCs w:val="28"/>
        </w:rPr>
        <w:t>）采用乙腈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</w:t>
      </w:r>
      <w:r>
        <w:rPr>
          <w:spacing w:val="-3"/>
          <w:sz w:val="28"/>
          <w:szCs w:val="28"/>
        </w:rPr>
        <w:t>水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乙酸乙酯溶剂体系提取，紫外分光光度法</w:t>
      </w:r>
    </w:p>
    <w:p>
      <w:pPr>
        <w:pStyle w:val="BodyText"/>
        <w:spacing w:before="2" w:line="220" w:lineRule="auto"/>
        <w:ind w:left="26"/>
        <w:rPr>
          <w:sz w:val="28"/>
          <w:szCs w:val="28"/>
        </w:rPr>
      </w:pPr>
      <w:r>
        <w:rPr>
          <w:spacing w:val="-2"/>
          <w:sz w:val="28"/>
          <w:szCs w:val="28"/>
        </w:rPr>
        <w:t>校准，液相色谱测定。</w:t>
      </w:r>
    </w:p>
    <w:p>
      <w:pPr>
        <w:pStyle w:val="BodyText"/>
        <w:spacing w:before="289" w:line="624" w:lineRule="exact"/>
        <w:ind w:left="33"/>
        <w:rPr>
          <w:sz w:val="28"/>
          <w:szCs w:val="28"/>
        </w:rPr>
      </w:pPr>
      <w:r>
        <w:rPr>
          <w:position w:val="26"/>
          <w:sz w:val="28"/>
          <w:szCs w:val="28"/>
        </w:rPr>
        <w:t>（二）</w:t>
      </w:r>
      <w:r>
        <w:rPr>
          <w:rFonts w:ascii="Times New Roman" w:eastAsia="Times New Roman" w:hAnsi="Times New Roman" w:cs="Times New Roman"/>
          <w:position w:val="26"/>
          <w:sz w:val="28"/>
          <w:szCs w:val="28"/>
        </w:rPr>
        <w:t xml:space="preserve">USP </w:t>
      </w:r>
      <w:r>
        <w:rPr>
          <w:position w:val="26"/>
          <w:sz w:val="28"/>
          <w:szCs w:val="28"/>
        </w:rPr>
        <w:t>美国药典</w:t>
      </w:r>
      <w:r>
        <w:rPr>
          <w:spacing w:val="-52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28"/>
          <w:szCs w:val="28"/>
        </w:rPr>
        <w:t xml:space="preserve">Lycopene  </w:t>
      </w:r>
      <w:r>
        <w:rPr>
          <w:position w:val="26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position w:val="26"/>
          <w:sz w:val="28"/>
          <w:szCs w:val="28"/>
        </w:rPr>
        <w:t>offical</w:t>
      </w:r>
      <w:r>
        <w:rPr>
          <w:rFonts w:ascii="Times New Roman" w:eastAsia="Times New Roman" w:hAnsi="Times New Roman" w:cs="Times New Roman"/>
          <w:spacing w:val="-30"/>
          <w:position w:val="26"/>
          <w:sz w:val="28"/>
          <w:szCs w:val="28"/>
        </w:rPr>
        <w:t xml:space="preserve"> </w:t>
      </w:r>
      <w:r>
        <w:rPr>
          <w:position w:val="26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position w:val="26"/>
          <w:sz w:val="28"/>
          <w:szCs w:val="28"/>
        </w:rPr>
        <w:t>2020-05-01)</w:t>
      </w:r>
      <w:r>
        <w:rPr>
          <w:position w:val="26"/>
          <w:sz w:val="28"/>
          <w:szCs w:val="28"/>
        </w:rPr>
        <w:t>：番茄红素含</w:t>
      </w:r>
    </w:p>
    <w:p>
      <w:pPr>
        <w:pStyle w:val="BodyText"/>
        <w:spacing w:line="219" w:lineRule="auto"/>
        <w:ind w:left="25"/>
        <w:rPr>
          <w:sz w:val="28"/>
          <w:szCs w:val="28"/>
        </w:rPr>
      </w:pPr>
      <w:r>
        <w:rPr>
          <w:spacing w:val="-1"/>
          <w:sz w:val="28"/>
          <w:szCs w:val="28"/>
        </w:rPr>
        <w:t>量测定采用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BHT </w:t>
      </w:r>
      <w:r>
        <w:rPr>
          <w:spacing w:val="-1"/>
          <w:sz w:val="28"/>
          <w:szCs w:val="28"/>
        </w:rPr>
        <w:t>和二氯甲烷溶解，液相色谱测定。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1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五、以国际标准为基础的起草情况</w:t>
      </w:r>
    </w:p>
    <w:p>
      <w:pPr>
        <w:spacing w:line="225" w:lineRule="auto"/>
        <w:rPr>
          <w:sz w:val="31"/>
          <w:szCs w:val="31"/>
        </w:rPr>
        <w:sectPr>
          <w:pgSz w:w="11906" w:h="16839"/>
          <w:pgMar w:top="1431" w:right="1562" w:bottom="0" w:left="1785" w:header="0" w:footer="0" w:gutter="0"/>
          <w:pgNumType w:start="10"/>
          <w:cols w:space="708"/>
        </w:sectPr>
      </w:pPr>
    </w:p>
    <w:p>
      <w:pPr>
        <w:pStyle w:val="BodyText"/>
        <w:spacing w:before="180" w:line="221" w:lineRule="auto"/>
        <w:ind w:left="586"/>
        <w:rPr>
          <w:sz w:val="28"/>
          <w:szCs w:val="28"/>
        </w:rPr>
      </w:pPr>
      <w:r>
        <w:rPr>
          <w:sz w:val="28"/>
          <w:szCs w:val="28"/>
        </w:rPr>
        <w:t>无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29"/>
        <w:outlineLvl w:val="0"/>
        <w:rPr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>六、与有关法律、行政法规及相关标准的关系</w:t>
      </w:r>
    </w:p>
    <w:p>
      <w:pPr>
        <w:pStyle w:val="BodyText"/>
        <w:spacing w:before="264" w:line="624" w:lineRule="exact"/>
        <w:jc w:val="right"/>
        <w:rPr>
          <w:sz w:val="28"/>
          <w:szCs w:val="28"/>
        </w:rPr>
      </w:pPr>
      <w:r>
        <w:rPr>
          <w:spacing w:val="-5"/>
          <w:position w:val="26"/>
          <w:sz w:val="28"/>
          <w:szCs w:val="28"/>
        </w:rPr>
        <w:t>本标准属于</w:t>
      </w:r>
      <w:r>
        <w:rPr>
          <w:rFonts w:ascii="Times New Roman" w:eastAsia="Times New Roman" w:hAnsi="Times New Roman" w:cs="Times New Roman"/>
          <w:spacing w:val="-5"/>
          <w:position w:val="26"/>
          <w:sz w:val="28"/>
          <w:szCs w:val="28"/>
        </w:rPr>
        <w:t xml:space="preserve">GB/T 22249-2008 </w:t>
      </w:r>
      <w:r>
        <w:rPr>
          <w:spacing w:val="-5"/>
          <w:position w:val="26"/>
          <w:sz w:val="28"/>
          <w:szCs w:val="28"/>
        </w:rPr>
        <w:t>的修订。本标准本标准与现行法律、</w:t>
      </w:r>
    </w:p>
    <w:p>
      <w:pPr>
        <w:pStyle w:val="BodyText"/>
        <w:spacing w:before="1" w:line="220" w:lineRule="auto"/>
        <w:ind w:left="26"/>
        <w:rPr>
          <w:sz w:val="28"/>
          <w:szCs w:val="28"/>
        </w:rPr>
      </w:pPr>
      <w:r>
        <w:rPr>
          <w:spacing w:val="-1"/>
          <w:sz w:val="28"/>
          <w:szCs w:val="28"/>
        </w:rPr>
        <w:t>法规和强制性国家标准协调一致。</w:t>
      </w:r>
    </w:p>
    <w:p>
      <w:pPr>
        <w:pStyle w:val="BodyText"/>
        <w:spacing w:before="271" w:line="224" w:lineRule="auto"/>
        <w:ind w:left="25"/>
        <w:outlineLvl w:val="0"/>
        <w:rPr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>七、重大分歧意见的处理经过和依据</w:t>
      </w:r>
    </w:p>
    <w:p>
      <w:pPr>
        <w:pStyle w:val="BodyText"/>
        <w:spacing w:before="266" w:line="219" w:lineRule="auto"/>
        <w:ind w:left="585"/>
        <w:rPr>
          <w:sz w:val="28"/>
          <w:szCs w:val="28"/>
        </w:rPr>
      </w:pPr>
      <w:r>
        <w:rPr>
          <w:spacing w:val="-1"/>
          <w:sz w:val="28"/>
          <w:szCs w:val="28"/>
        </w:rPr>
        <w:t>本标准制定过程中无重大分歧意见。</w:t>
      </w:r>
    </w:p>
    <w:p>
      <w:pPr>
        <w:pStyle w:val="BodyText"/>
        <w:spacing w:before="273" w:line="225" w:lineRule="auto"/>
        <w:ind w:left="31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八、涉及专利的有关说明</w:t>
      </w:r>
    </w:p>
    <w:p>
      <w:pPr>
        <w:pStyle w:val="BodyText"/>
        <w:spacing w:before="265" w:line="219" w:lineRule="auto"/>
        <w:ind w:left="585"/>
        <w:rPr>
          <w:sz w:val="28"/>
          <w:szCs w:val="28"/>
        </w:rPr>
      </w:pPr>
      <w:r>
        <w:rPr>
          <w:spacing w:val="-2"/>
          <w:sz w:val="28"/>
          <w:szCs w:val="28"/>
        </w:rPr>
        <w:t>本标准不涉及专利。</w:t>
      </w:r>
    </w:p>
    <w:p>
      <w:pPr>
        <w:pStyle w:val="BodyText"/>
        <w:spacing w:before="274" w:line="624" w:lineRule="exact"/>
        <w:ind w:left="34"/>
        <w:rPr>
          <w:sz w:val="31"/>
          <w:szCs w:val="31"/>
        </w:rPr>
      </w:pPr>
      <w:r>
        <w:rPr>
          <w:b/>
          <w:bCs/>
          <w:spacing w:val="5"/>
          <w:position w:val="23"/>
          <w:sz w:val="31"/>
          <w:szCs w:val="31"/>
        </w:rPr>
        <w:t>九、实施国家标准的要求，以及组织措施、技术措施、过渡</w:t>
      </w:r>
    </w:p>
    <w:p>
      <w:pPr>
        <w:pStyle w:val="BodyText"/>
        <w:spacing w:line="225" w:lineRule="auto"/>
        <w:ind w:left="30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期和实施日期的建议</w:t>
      </w:r>
    </w:p>
    <w:p>
      <w:pPr>
        <w:pStyle w:val="BodyText"/>
        <w:spacing w:before="264" w:line="624" w:lineRule="exact"/>
        <w:ind w:left="587"/>
        <w:rPr>
          <w:sz w:val="28"/>
          <w:szCs w:val="28"/>
        </w:rPr>
      </w:pPr>
      <w:r>
        <w:rPr>
          <w:spacing w:val="1"/>
          <w:position w:val="26"/>
          <w:sz w:val="28"/>
          <w:szCs w:val="28"/>
        </w:rPr>
        <w:t xml:space="preserve">建议本标准发布 </w:t>
      </w:r>
      <w:r>
        <w:rPr>
          <w:rFonts w:ascii="Times New Roman" w:eastAsia="Times New Roman" w:hAnsi="Times New Roman" w:cs="Times New Roman"/>
          <w:spacing w:val="1"/>
          <w:position w:val="26"/>
          <w:sz w:val="28"/>
          <w:szCs w:val="28"/>
        </w:rPr>
        <w:t xml:space="preserve">6  </w:t>
      </w:r>
      <w:r>
        <w:rPr>
          <w:spacing w:val="1"/>
          <w:position w:val="26"/>
          <w:sz w:val="28"/>
          <w:szCs w:val="28"/>
        </w:rPr>
        <w:t>个月后实施，由归口单位组织行业相关单位</w:t>
      </w:r>
    </w:p>
    <w:p>
      <w:pPr>
        <w:pStyle w:val="BodyText"/>
        <w:spacing w:before="1" w:line="220" w:lineRule="auto"/>
        <w:ind w:left="25"/>
        <w:rPr>
          <w:sz w:val="28"/>
          <w:szCs w:val="28"/>
        </w:rPr>
      </w:pPr>
      <w:r>
        <w:rPr>
          <w:spacing w:val="-2"/>
          <w:sz w:val="28"/>
          <w:szCs w:val="28"/>
        </w:rPr>
        <w:t>积极开展宣贯工作。</w:t>
      </w:r>
    </w:p>
    <w:p>
      <w:pPr>
        <w:pStyle w:val="BodyText"/>
        <w:spacing w:before="271" w:line="225" w:lineRule="auto"/>
        <w:ind w:left="27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十、</w:t>
      </w:r>
      <w:r>
        <w:rPr>
          <w:spacing w:val="6"/>
          <w:sz w:val="31"/>
          <w:szCs w:val="31"/>
        </w:rPr>
        <w:t xml:space="preserve"> </w:t>
      </w:r>
      <w:r>
        <w:rPr>
          <w:b/>
          <w:bCs/>
          <w:spacing w:val="6"/>
          <w:sz w:val="31"/>
          <w:szCs w:val="31"/>
        </w:rPr>
        <w:t>其他应当说明的事项</w:t>
      </w:r>
    </w:p>
    <w:p>
      <w:pPr>
        <w:pStyle w:val="BodyText"/>
        <w:spacing w:before="264" w:line="221" w:lineRule="auto"/>
        <w:ind w:left="586"/>
        <w:rPr>
          <w:sz w:val="28"/>
          <w:szCs w:val="28"/>
        </w:rPr>
      </w:pPr>
      <w:r>
        <w:rPr>
          <w:spacing w:val="-7"/>
          <w:sz w:val="28"/>
          <w:szCs w:val="28"/>
        </w:rPr>
        <w:t>无。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2" w:line="223" w:lineRule="auto"/>
        <w:ind w:left="51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附件：方法学验证报告</w:t>
      </w:r>
    </w:p>
    <w:p>
      <w:pPr>
        <w:spacing w:line="223" w:lineRule="auto"/>
        <w:rPr>
          <w:sz w:val="31"/>
          <w:szCs w:val="31"/>
        </w:rPr>
        <w:sectPr>
          <w:pgSz w:w="11906" w:h="16839"/>
          <w:pgMar w:top="1431" w:right="1701" w:bottom="0" w:left="1785" w:header="0" w:footer="0" w:gutter="0"/>
          <w:pgNumType w:start="11"/>
          <w:cols w:space="708"/>
        </w:sectPr>
      </w:pPr>
    </w:p>
    <w:p>
      <w:pPr>
        <w:pStyle w:val="BodyText"/>
        <w:spacing w:before="188" w:line="219" w:lineRule="auto"/>
        <w:ind w:left="23"/>
        <w:rPr>
          <w:sz w:val="29"/>
          <w:szCs w:val="29"/>
        </w:rPr>
      </w:pPr>
      <w:r>
        <w:rPr>
          <w:spacing w:val="7"/>
          <w:sz w:val="29"/>
          <w:szCs w:val="29"/>
        </w:rPr>
        <w:t>附件</w:t>
      </w:r>
      <w:r>
        <w:rPr>
          <w:spacing w:val="-75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一</w:t>
      </w:r>
    </w:p>
    <w:p>
      <w:pPr>
        <w:pStyle w:val="BodyText"/>
        <w:spacing w:before="257" w:line="671" w:lineRule="exact"/>
        <w:ind w:left="1463"/>
        <w:rPr>
          <w:sz w:val="29"/>
          <w:szCs w:val="29"/>
        </w:rPr>
      </w:pPr>
      <w:r>
        <w:rPr>
          <w:spacing w:val="28"/>
          <w:position w:val="29"/>
          <w:sz w:val="29"/>
          <w:szCs w:val="29"/>
        </w:rPr>
        <w:t>保健食品中番茄红素的测定方法学验证</w:t>
      </w:r>
    </w:p>
    <w:p>
      <w:pPr>
        <w:pStyle w:val="BodyText"/>
        <w:spacing w:before="1" w:line="220" w:lineRule="auto"/>
        <w:ind w:left="193"/>
      </w:pPr>
      <w:r>
        <w:rPr>
          <w:spacing w:val="-18"/>
        </w:rPr>
        <w:t>(</w:t>
      </w:r>
      <w:r>
        <w:rPr>
          <w:spacing w:val="-36"/>
        </w:rPr>
        <w:t xml:space="preserve"> </w:t>
      </w:r>
      <w:r>
        <w:rPr>
          <w:spacing w:val="-18"/>
        </w:rPr>
        <w:t>一</w:t>
      </w:r>
      <w:r>
        <w:rPr>
          <w:spacing w:val="-39"/>
        </w:rPr>
        <w:t xml:space="preserve"> </w:t>
      </w:r>
      <w:r>
        <w:rPr>
          <w:spacing w:val="-18"/>
        </w:rPr>
        <w:t>)</w:t>
      </w:r>
      <w:r>
        <w:rPr>
          <w:spacing w:val="-38"/>
        </w:rPr>
        <w:t xml:space="preserve"> </w:t>
      </w:r>
      <w:r>
        <w:rPr>
          <w:spacing w:val="-18"/>
        </w:rPr>
        <w:t>方</w:t>
      </w:r>
      <w:r>
        <w:rPr>
          <w:spacing w:val="-39"/>
        </w:rPr>
        <w:t xml:space="preserve"> </w:t>
      </w:r>
      <w:r>
        <w:rPr>
          <w:spacing w:val="-18"/>
        </w:rPr>
        <w:t>法</w:t>
      </w:r>
      <w:r>
        <w:rPr>
          <w:spacing w:val="-34"/>
        </w:rPr>
        <w:t xml:space="preserve"> </w:t>
      </w:r>
      <w:r>
        <w:rPr>
          <w:spacing w:val="-18"/>
        </w:rPr>
        <w:t>原</w:t>
      </w:r>
      <w:r>
        <w:rPr>
          <w:spacing w:val="-36"/>
        </w:rPr>
        <w:t xml:space="preserve"> </w:t>
      </w:r>
      <w:r>
        <w:rPr>
          <w:spacing w:val="-18"/>
        </w:rPr>
        <w:t>理</w:t>
      </w:r>
    </w:p>
    <w:p>
      <w:pPr>
        <w:pStyle w:val="BodyText"/>
        <w:spacing w:before="284" w:line="424" w:lineRule="auto"/>
        <w:ind w:left="33" w:right="49" w:firstLine="539"/>
        <w:jc w:val="both"/>
      </w:pPr>
      <w:r>
        <w:rPr>
          <w:spacing w:val="6"/>
        </w:rPr>
        <w:t>试样中的番茄红素经提取后，提取液过滤后进高效液相色谱仪，</w:t>
      </w:r>
      <w:r>
        <w:rPr>
          <w:spacing w:val="16"/>
        </w:rPr>
        <w:t xml:space="preserve"> </w:t>
      </w:r>
      <w:r>
        <w:rPr>
          <w:spacing w:val="8"/>
        </w:rPr>
        <w:t>经反相</w:t>
      </w:r>
      <w:r>
        <w:t>Ci</w:t>
      </w:r>
      <w:r>
        <w:rPr>
          <w:rFonts w:ascii="Calibri" w:eastAsia="Calibri" w:hAnsi="Calibri" w:cs="Calibri"/>
          <w:spacing w:val="8"/>
        </w:rPr>
        <w:t>₈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spacing w:val="8"/>
        </w:rPr>
        <w:t>色谱柱分离后，由紫外或二极管阵列检测器检测，根据保</w:t>
      </w:r>
    </w:p>
    <w:p>
      <w:pPr>
        <w:pStyle w:val="BodyText"/>
        <w:spacing w:line="219" w:lineRule="auto"/>
        <w:ind w:left="53"/>
      </w:pPr>
      <w:r>
        <w:rPr>
          <w:spacing w:val="2"/>
        </w:rPr>
        <w:t>留时间定性、峰面积定量。</w:t>
      </w:r>
    </w:p>
    <w:p>
      <w:pPr>
        <w:rPr>
          <w:rFonts w:ascii="Arial"/>
          <w:sz w:val="21"/>
        </w:rPr>
      </w:pPr>
    </w:p>
    <w:p>
      <w:pPr>
        <w:pStyle w:val="BodyText"/>
        <w:spacing w:before="88" w:line="600" w:lineRule="exact"/>
        <w:ind w:left="193"/>
      </w:pPr>
      <w:r>
        <w:rPr>
          <w:spacing w:val="-18"/>
          <w:position w:val="25"/>
        </w:rPr>
        <w:t>(</w:t>
      </w:r>
      <w:r>
        <w:rPr>
          <w:spacing w:val="-30"/>
          <w:position w:val="25"/>
        </w:rPr>
        <w:t xml:space="preserve"> </w:t>
      </w:r>
      <w:r>
        <w:rPr>
          <w:spacing w:val="-18"/>
          <w:position w:val="25"/>
        </w:rPr>
        <w:t>二</w:t>
      </w:r>
      <w:r>
        <w:rPr>
          <w:spacing w:val="-38"/>
          <w:position w:val="25"/>
        </w:rPr>
        <w:t xml:space="preserve"> </w:t>
      </w:r>
      <w:r>
        <w:rPr>
          <w:spacing w:val="-18"/>
          <w:position w:val="25"/>
        </w:rPr>
        <w:t>)</w:t>
      </w:r>
      <w:r>
        <w:rPr>
          <w:spacing w:val="-41"/>
          <w:position w:val="25"/>
        </w:rPr>
        <w:t xml:space="preserve"> </w:t>
      </w:r>
      <w:r>
        <w:rPr>
          <w:spacing w:val="-18"/>
          <w:position w:val="25"/>
        </w:rPr>
        <w:t>操</w:t>
      </w:r>
      <w:r>
        <w:rPr>
          <w:spacing w:val="-38"/>
          <w:position w:val="25"/>
        </w:rPr>
        <w:t xml:space="preserve"> </w:t>
      </w:r>
      <w:r>
        <w:rPr>
          <w:spacing w:val="-18"/>
          <w:position w:val="25"/>
        </w:rPr>
        <w:t>作</w:t>
      </w:r>
      <w:r>
        <w:rPr>
          <w:spacing w:val="-36"/>
          <w:position w:val="25"/>
        </w:rPr>
        <w:t xml:space="preserve"> </w:t>
      </w:r>
      <w:r>
        <w:rPr>
          <w:spacing w:val="-18"/>
          <w:position w:val="25"/>
        </w:rPr>
        <w:t>步</w:t>
      </w:r>
      <w:r>
        <w:rPr>
          <w:spacing w:val="-39"/>
          <w:position w:val="25"/>
        </w:rPr>
        <w:t xml:space="preserve"> </w:t>
      </w:r>
      <w:r>
        <w:rPr>
          <w:spacing w:val="-18"/>
          <w:position w:val="25"/>
        </w:rPr>
        <w:t>骤</w:t>
      </w:r>
    </w:p>
    <w:p>
      <w:pPr>
        <w:pStyle w:val="BodyText"/>
        <w:spacing w:before="1" w:line="219" w:lineRule="auto"/>
        <w:ind w:left="43"/>
      </w:pPr>
      <w:r>
        <w:rPr>
          <w:spacing w:val="3"/>
        </w:rPr>
        <w:t>1、样品的处理</w:t>
      </w:r>
    </w:p>
    <w:p>
      <w:pPr>
        <w:pStyle w:val="BodyText"/>
        <w:spacing w:before="299" w:line="219" w:lineRule="auto"/>
        <w:ind w:left="173"/>
      </w:pPr>
      <w:r>
        <w:rPr>
          <w:spacing w:val="20"/>
        </w:rPr>
        <w:t>(1)样品的预处理</w:t>
      </w:r>
    </w:p>
    <w:p>
      <w:pPr>
        <w:pStyle w:val="BodyText"/>
        <w:spacing w:before="306" w:line="609" w:lineRule="exact"/>
        <w:ind w:right="41"/>
        <w:jc w:val="right"/>
      </w:pPr>
      <w:r>
        <w:rPr>
          <w:spacing w:val="10"/>
          <w:position w:val="26"/>
        </w:rPr>
        <w:t>胶囊：取不少于20粒样品，剪开，取出内容物，研细(必要时),</w:t>
      </w:r>
    </w:p>
    <w:p>
      <w:pPr>
        <w:pStyle w:val="BodyText"/>
        <w:spacing w:before="1" w:line="222" w:lineRule="auto"/>
        <w:ind w:left="23"/>
      </w:pPr>
      <w:r>
        <w:rPr>
          <w:spacing w:val="-12"/>
        </w:rPr>
        <w:t>混匀。</w:t>
      </w:r>
    </w:p>
    <w:p>
      <w:pPr>
        <w:rPr>
          <w:rFonts w:ascii="Arial"/>
          <w:sz w:val="21"/>
        </w:rPr>
      </w:pPr>
    </w:p>
    <w:p>
      <w:pPr>
        <w:pStyle w:val="BodyText"/>
        <w:spacing w:before="89" w:line="584" w:lineRule="exact"/>
        <w:ind w:right="83"/>
        <w:jc w:val="right"/>
      </w:pPr>
      <w:r>
        <w:rPr>
          <w:spacing w:val="16"/>
          <w:position w:val="24"/>
        </w:rPr>
        <w:t>片剂、粉剂等剂型：取不少于20个单元或不低于10g</w:t>
      </w:r>
      <w:r>
        <w:rPr>
          <w:spacing w:val="-54"/>
          <w:position w:val="24"/>
        </w:rPr>
        <w:t xml:space="preserve"> </w:t>
      </w:r>
      <w:r>
        <w:rPr>
          <w:spacing w:val="16"/>
          <w:position w:val="24"/>
        </w:rPr>
        <w:t>样品，研</w:t>
      </w:r>
    </w:p>
    <w:p>
      <w:pPr>
        <w:pStyle w:val="BodyText"/>
        <w:spacing w:before="1" w:line="216" w:lineRule="auto"/>
        <w:ind w:left="23"/>
      </w:pPr>
      <w:r>
        <w:rPr>
          <w:spacing w:val="45"/>
        </w:rPr>
        <w:t>细(必要时),混匀。</w:t>
      </w:r>
    </w:p>
    <w:p>
      <w:pPr>
        <w:pStyle w:val="BodyText"/>
        <w:spacing w:before="328" w:line="219" w:lineRule="auto"/>
        <w:ind w:left="173"/>
      </w:pPr>
      <w:r>
        <w:rPr>
          <w:spacing w:val="22"/>
        </w:rPr>
        <w:t>(2)样品的提取</w:t>
      </w:r>
    </w:p>
    <w:p>
      <w:pPr>
        <w:pStyle w:val="BodyText"/>
        <w:spacing w:before="311" w:line="427" w:lineRule="auto"/>
        <w:ind w:left="23" w:right="61" w:firstLine="560"/>
        <w:jc w:val="both"/>
      </w:pPr>
      <w:r>
        <w:rPr>
          <w:spacing w:val="5"/>
        </w:rPr>
        <w:t>油溶性液体样品：根据样品中番茄红素的标示含量，准确称取混</w:t>
      </w:r>
      <w:r>
        <w:rPr>
          <w:spacing w:val="10"/>
        </w:rPr>
        <w:t xml:space="preserve"> </w:t>
      </w:r>
      <w:r>
        <w:rPr>
          <w:spacing w:val="11"/>
        </w:rPr>
        <w:t>合均匀的试样0.1g~0.5g</w:t>
      </w:r>
      <w:r>
        <w:rPr>
          <w:spacing w:val="88"/>
        </w:rPr>
        <w:t xml:space="preserve"> </w:t>
      </w:r>
      <w:r>
        <w:rPr>
          <w:spacing w:val="11"/>
        </w:rPr>
        <w:t>(精确至0.1</w:t>
      </w:r>
      <w:r>
        <w:t>mg</w:t>
      </w:r>
      <w:r>
        <w:rPr>
          <w:spacing w:val="11"/>
        </w:rPr>
        <w:t>),</w:t>
      </w:r>
      <w:r>
        <w:rPr>
          <w:spacing w:val="56"/>
        </w:rPr>
        <w:t xml:space="preserve">  </w:t>
      </w:r>
      <w:r>
        <w:rPr>
          <w:spacing w:val="11"/>
        </w:rPr>
        <w:t>加入0.5%</w:t>
      </w:r>
      <w:r>
        <w:rPr>
          <w:spacing w:val="-60"/>
        </w:rPr>
        <w:t xml:space="preserve"> </w:t>
      </w:r>
      <w:r>
        <w:t>BHT</w:t>
      </w:r>
      <w:r>
        <w:rPr>
          <w:spacing w:val="84"/>
        </w:rPr>
        <w:t xml:space="preserve"> </w:t>
      </w:r>
      <w:r>
        <w:rPr>
          <w:spacing w:val="11"/>
        </w:rPr>
        <w:t>二氯甲</w:t>
      </w:r>
      <w:r>
        <w:t xml:space="preserve"> </w:t>
      </w:r>
      <w:r>
        <w:rPr>
          <w:spacing w:val="11"/>
        </w:rPr>
        <w:t xml:space="preserve">烷溶液20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1"/>
        </w:rPr>
        <w:t>,</w:t>
      </w:r>
      <w:r>
        <w:rPr>
          <w:rFonts w:ascii="Times New Roman" w:eastAsia="Times New Roman" w:hAnsi="Times New Roman" w:cs="Times New Roman"/>
          <w:spacing w:val="28"/>
        </w:rPr>
        <w:t xml:space="preserve">  </w:t>
      </w:r>
      <w:r>
        <w:rPr>
          <w:spacing w:val="11"/>
        </w:rPr>
        <w:t xml:space="preserve">涡旋混匀，超声提取30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11"/>
        </w:rPr>
        <w:t>后，转移至100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11"/>
        </w:rPr>
        <w:t>棕色</w:t>
      </w:r>
      <w:r>
        <w:rPr>
          <w:spacing w:val="1"/>
        </w:rPr>
        <w:t xml:space="preserve"> </w:t>
      </w:r>
      <w:r>
        <w:rPr>
          <w:spacing w:val="4"/>
        </w:rPr>
        <w:t>容量瓶中，用0.5%</w:t>
      </w:r>
      <w:r>
        <w:rPr>
          <w:spacing w:val="-22"/>
        </w:rPr>
        <w:t xml:space="preserve"> </w:t>
      </w:r>
      <w:r>
        <w:t>BHT</w:t>
      </w:r>
      <w:r>
        <w:rPr>
          <w:spacing w:val="4"/>
        </w:rPr>
        <w:t xml:space="preserve"> 二氯甲烷溶液定容至刻度，摇匀，过0.45 </w:t>
      </w:r>
      <w:r>
        <w:t>Hm</w:t>
      </w:r>
    </w:p>
    <w:p>
      <w:pPr>
        <w:pStyle w:val="BodyText"/>
        <w:spacing w:line="218" w:lineRule="auto"/>
        <w:ind w:left="23"/>
      </w:pPr>
      <w:r>
        <w:t>有机滤膜，待用。</w:t>
      </w:r>
    </w:p>
    <w:p>
      <w:pPr>
        <w:pStyle w:val="BodyText"/>
        <w:spacing w:before="301" w:line="426" w:lineRule="auto"/>
        <w:ind w:left="43" w:right="61" w:firstLine="529"/>
        <w:jc w:val="both"/>
      </w:pPr>
      <w:r>
        <w:rPr>
          <w:spacing w:val="6"/>
        </w:rPr>
        <w:t>一般性固体样品：根据样品中番茄红素的标示</w:t>
      </w:r>
      <w:r>
        <w:rPr>
          <w:spacing w:val="5"/>
        </w:rPr>
        <w:t>含量，准确称取混</w:t>
      </w:r>
      <w:r>
        <w:t xml:space="preserve"> </w:t>
      </w:r>
      <w:r>
        <w:rPr>
          <w:spacing w:val="9"/>
        </w:rPr>
        <w:t>合均匀的试样0.1</w:t>
      </w:r>
      <w:r>
        <w:rPr>
          <w:rFonts w:ascii="Times New Roman" w:eastAsia="Times New Roman" w:hAnsi="Times New Roman" w:cs="Times New Roman"/>
          <w:spacing w:val="9"/>
        </w:rPr>
        <w:t xml:space="preserve">g~0.5g   </w:t>
      </w:r>
      <w:r>
        <w:rPr>
          <w:spacing w:val="9"/>
        </w:rPr>
        <w:t>(精确至0.1</w:t>
      </w:r>
      <w:r>
        <w:rPr>
          <w:rFonts w:ascii="Times New Roman" w:eastAsia="Times New Roman" w:hAnsi="Times New Roman" w:cs="Times New Roman"/>
        </w:rPr>
        <w:t>mg</w:t>
      </w:r>
      <w:r>
        <w:rPr>
          <w:rFonts w:ascii="Times New Roman" w:eastAsia="Times New Roman" w:hAnsi="Times New Roman" w:cs="Times New Roman"/>
          <w:spacing w:val="9"/>
        </w:rPr>
        <w:t xml:space="preserve">),      </w:t>
      </w:r>
      <w:r>
        <w:rPr>
          <w:spacing w:val="9"/>
        </w:rPr>
        <w:t>加入10</w:t>
      </w:r>
      <w:r>
        <w:rPr>
          <w:rFonts w:ascii="Times New Roman" w:eastAsia="Times New Roman" w:hAnsi="Times New Roman" w:cs="Times New Roman"/>
        </w:rPr>
        <w:t>mLN</w:t>
      </w:r>
      <w:r>
        <w:rPr>
          <w:rFonts w:ascii="Times New Roman" w:eastAsia="Times New Roman" w:hAnsi="Times New Roman" w:cs="Times New Roman"/>
          <w:spacing w:val="9"/>
        </w:rPr>
        <w:t>,</w:t>
      </w:r>
      <w:r>
        <w:rPr>
          <w:rFonts w:ascii="Times New Roman" w:eastAsia="Times New Roman" w:hAnsi="Times New Roman" w:cs="Times New Roman"/>
          <w:spacing w:val="8"/>
        </w:rPr>
        <w:t xml:space="preserve">N-     </w:t>
      </w:r>
      <w:r>
        <w:rPr>
          <w:spacing w:val="8"/>
        </w:rPr>
        <w:t>二甲</w:t>
      </w:r>
    </w:p>
    <w:p>
      <w:pPr>
        <w:pStyle w:val="BodyText"/>
        <w:spacing w:before="1" w:line="216" w:lineRule="auto"/>
        <w:jc w:val="right"/>
      </w:pPr>
      <w:r>
        <w:rPr>
          <w:spacing w:val="11"/>
        </w:rPr>
        <w:t>基甲酰胺后超声提取20</w:t>
      </w:r>
      <w:r>
        <w:t>min</w:t>
      </w:r>
      <w:r>
        <w:rPr>
          <w:spacing w:val="11"/>
        </w:rPr>
        <w:t>,</w:t>
      </w:r>
      <w:r>
        <w:rPr>
          <w:spacing w:val="-63"/>
        </w:rPr>
        <w:t xml:space="preserve"> </w:t>
      </w:r>
      <w:r>
        <w:rPr>
          <w:spacing w:val="11"/>
        </w:rPr>
        <w:t>再加入50</w:t>
      </w:r>
      <w:r>
        <w:t>mL</w:t>
      </w:r>
      <w:r>
        <w:rPr>
          <w:spacing w:val="11"/>
        </w:rPr>
        <w:t>0.5%</w:t>
      </w:r>
      <w:r>
        <w:t>BHT</w:t>
      </w:r>
      <w:r>
        <w:rPr>
          <w:spacing w:val="38"/>
        </w:rPr>
        <w:t xml:space="preserve">   </w:t>
      </w:r>
      <w:r>
        <w:rPr>
          <w:spacing w:val="11"/>
        </w:rPr>
        <w:t>二氯甲烷溶液，</w:t>
      </w:r>
    </w:p>
    <w:p>
      <w:pPr>
        <w:spacing w:line="216" w:lineRule="auto"/>
        <w:sectPr>
          <w:pgSz w:w="11910" w:h="16840"/>
          <w:pgMar w:top="1431" w:right="1755" w:bottom="0" w:left="1786" w:header="0" w:footer="0" w:gutter="0"/>
          <w:pgNumType w:start="12"/>
          <w:cols w:space="708"/>
        </w:sectPr>
      </w:pPr>
    </w:p>
    <w:p>
      <w:pPr>
        <w:pStyle w:val="BodyText"/>
        <w:spacing w:before="181" w:line="624" w:lineRule="exact"/>
        <w:ind w:left="3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8"/>
          <w:position w:val="26"/>
          <w:sz w:val="28"/>
          <w:szCs w:val="28"/>
        </w:rPr>
        <w:t>继续超声</w:t>
      </w:r>
      <w:r>
        <w:rPr>
          <w:spacing w:val="-38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6"/>
          <w:sz w:val="28"/>
          <w:szCs w:val="28"/>
        </w:rPr>
        <w:t xml:space="preserve">10 min </w:t>
      </w:r>
      <w:r>
        <w:rPr>
          <w:spacing w:val="-8"/>
          <w:position w:val="26"/>
          <w:sz w:val="28"/>
          <w:szCs w:val="28"/>
        </w:rPr>
        <w:t>后，转移至</w:t>
      </w:r>
      <w:r>
        <w:rPr>
          <w:spacing w:val="-37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6"/>
          <w:sz w:val="28"/>
          <w:szCs w:val="28"/>
        </w:rPr>
        <w:t xml:space="preserve">100 mL </w:t>
      </w:r>
      <w:r>
        <w:rPr>
          <w:spacing w:val="-8"/>
          <w:position w:val="26"/>
          <w:sz w:val="28"/>
          <w:szCs w:val="28"/>
        </w:rPr>
        <w:t>棕色容量瓶中，最后用</w:t>
      </w:r>
      <w:r>
        <w:rPr>
          <w:spacing w:val="-61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6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9"/>
          <w:position w:val="26"/>
          <w:sz w:val="28"/>
          <w:szCs w:val="28"/>
        </w:rPr>
        <w:t>5% BHT</w:t>
      </w:r>
    </w:p>
    <w:p>
      <w:pPr>
        <w:pStyle w:val="BodyText"/>
        <w:spacing w:line="219" w:lineRule="auto"/>
        <w:ind w:left="29"/>
        <w:rPr>
          <w:sz w:val="28"/>
          <w:szCs w:val="28"/>
        </w:rPr>
      </w:pPr>
      <w:r>
        <w:rPr>
          <w:spacing w:val="-3"/>
          <w:sz w:val="28"/>
          <w:szCs w:val="28"/>
        </w:rPr>
        <w:t>二氯甲烷溶液定容至刻度，摇匀，过</w:t>
      </w:r>
      <w:r>
        <w:rPr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0.45   </w:t>
      </w:r>
      <w:r>
        <w:rPr>
          <w:spacing w:val="-3"/>
          <w:sz w:val="28"/>
          <w:szCs w:val="28"/>
        </w:rPr>
        <w:t>μ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m </w:t>
      </w:r>
      <w:r>
        <w:rPr>
          <w:spacing w:val="-3"/>
          <w:sz w:val="28"/>
          <w:szCs w:val="28"/>
        </w:rPr>
        <w:t>有机滤膜，待用。</w:t>
      </w:r>
    </w:p>
    <w:p>
      <w:pPr>
        <w:pStyle w:val="BodyText"/>
        <w:spacing w:before="294" w:line="411" w:lineRule="auto"/>
        <w:ind w:left="25" w:right="261" w:firstLine="559"/>
        <w:rPr>
          <w:sz w:val="28"/>
          <w:szCs w:val="28"/>
        </w:rPr>
      </w:pPr>
      <w:r>
        <w:rPr>
          <w:spacing w:val="1"/>
          <w:sz w:val="28"/>
          <w:szCs w:val="28"/>
        </w:rPr>
        <w:t>微囊化固体样品：称取</w:t>
      </w:r>
      <w:r>
        <w:rPr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 g</w:t>
      </w:r>
      <w:r>
        <w:rPr>
          <w:spacing w:val="1"/>
          <w:sz w:val="28"/>
          <w:szCs w:val="28"/>
        </w:rPr>
        <w:t>（精确至</w:t>
      </w:r>
      <w:r>
        <w:rPr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 mg</w:t>
      </w:r>
      <w:r>
        <w:rPr>
          <w:sz w:val="28"/>
          <w:szCs w:val="28"/>
        </w:rPr>
        <w:t>）样品，加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20 mL </w:t>
      </w:r>
      <w:r>
        <w:rPr>
          <w:spacing w:val="-1"/>
          <w:sz w:val="28"/>
          <w:szCs w:val="28"/>
        </w:rPr>
        <w:t>氨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>
        <w:rPr>
          <w:spacing w:val="-1"/>
          <w:sz w:val="28"/>
          <w:szCs w:val="28"/>
        </w:rPr>
        <w:t>磷酸缓冲溶液，于</w:t>
      </w:r>
      <w:r>
        <w:rPr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55</w:t>
      </w:r>
      <w:r>
        <w:rPr>
          <w:spacing w:val="-1"/>
          <w:sz w:val="28"/>
          <w:szCs w:val="28"/>
        </w:rPr>
        <w:t>℃水浴中超声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 min</w:t>
      </w:r>
      <w:r>
        <w:rPr>
          <w:rFonts w:ascii="Times New Roman" w:eastAsia="Times New Roman" w:hAnsi="Times New Roman" w:cs="Times New Roman"/>
          <w:spacing w:val="-3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，每</w:t>
      </w:r>
      <w:r>
        <w:rPr>
          <w:spacing w:val="-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5 min </w:t>
      </w:r>
      <w:r>
        <w:rPr>
          <w:spacing w:val="-1"/>
          <w:sz w:val="28"/>
          <w:szCs w:val="28"/>
        </w:rPr>
        <w:t>手摇一次，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至样品全部分散。待溶液冷却至室温后，转移至</w:t>
      </w:r>
      <w:r>
        <w:rPr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100 mL </w:t>
      </w:r>
      <w:r>
        <w:rPr>
          <w:spacing w:val="-1"/>
          <w:sz w:val="28"/>
          <w:szCs w:val="28"/>
        </w:rPr>
        <w:t>棕</w:t>
      </w:r>
      <w:r>
        <w:rPr>
          <w:spacing w:val="-2"/>
          <w:sz w:val="28"/>
          <w:szCs w:val="28"/>
        </w:rPr>
        <w:t>色容量瓶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中，用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0.025% BHT</w:t>
      </w:r>
      <w:r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四氢呋喃溶液定容至刻度，超声</w:t>
      </w:r>
      <w:r>
        <w:rPr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10 min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，摇匀，</w:t>
      </w:r>
    </w:p>
    <w:p>
      <w:pPr>
        <w:pStyle w:val="BodyText"/>
        <w:spacing w:line="219" w:lineRule="auto"/>
        <w:ind w:left="26"/>
        <w:rPr>
          <w:sz w:val="28"/>
          <w:szCs w:val="28"/>
        </w:rPr>
      </w:pPr>
      <w:r>
        <w:rPr>
          <w:spacing w:val="1"/>
          <w:sz w:val="28"/>
          <w:szCs w:val="28"/>
        </w:rPr>
        <w:t>静置</w:t>
      </w:r>
      <w:r>
        <w:rPr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5 </w:t>
      </w:r>
      <w:r>
        <w:rPr>
          <w:rFonts w:ascii="Times New Roman" w:eastAsia="Times New Roman" w:hAnsi="Times New Roman" w:cs="Times New Roman"/>
          <w:sz w:val="28"/>
          <w:szCs w:val="28"/>
        </w:rPr>
        <w:t>min</w:t>
      </w:r>
      <w:r>
        <w:rPr>
          <w:spacing w:val="1"/>
          <w:sz w:val="28"/>
          <w:szCs w:val="28"/>
        </w:rPr>
        <w:t>待溶液澄清，取上清液过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0.45 </w:t>
      </w:r>
      <w:r>
        <w:rPr>
          <w:spacing w:val="1"/>
          <w:sz w:val="28"/>
          <w:szCs w:val="28"/>
        </w:rPr>
        <w:t>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m </w:t>
      </w:r>
      <w:r>
        <w:rPr>
          <w:spacing w:val="1"/>
          <w:sz w:val="28"/>
          <w:szCs w:val="28"/>
        </w:rPr>
        <w:t>有机滤膜，待用。</w:t>
      </w:r>
    </w:p>
    <w:p>
      <w:pPr>
        <w:pStyle w:val="BodyText"/>
        <w:spacing w:before="291" w:line="219" w:lineRule="auto"/>
        <w:ind w:left="584"/>
        <w:rPr>
          <w:sz w:val="28"/>
          <w:szCs w:val="28"/>
        </w:rPr>
      </w:pPr>
      <w:r>
        <w:rPr>
          <w:spacing w:val="-1"/>
          <w:sz w:val="28"/>
          <w:szCs w:val="28"/>
        </w:rPr>
        <w:t>注：也可根据微囊的特性，采用其他适宜的破包埋方法。</w:t>
      </w:r>
    </w:p>
    <w:p>
      <w:pPr>
        <w:pStyle w:val="BodyText"/>
        <w:spacing w:before="291" w:line="220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3</w:t>
      </w:r>
      <w:r>
        <w:rPr>
          <w:b/>
          <w:bCs/>
          <w:spacing w:val="-4"/>
          <w:sz w:val="28"/>
          <w:szCs w:val="28"/>
        </w:rPr>
        <w:t>）色谱参考条件</w:t>
      </w:r>
    </w:p>
    <w:p>
      <w:pPr>
        <w:pStyle w:val="BodyText"/>
        <w:spacing w:before="290" w:line="624" w:lineRule="exact"/>
        <w:ind w:left="2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28"/>
          <w:position w:val="26"/>
          <w:sz w:val="28"/>
          <w:szCs w:val="28"/>
        </w:rPr>
        <w:t xml:space="preserve"> </w:t>
      </w:r>
      <w:r>
        <w:rPr>
          <w:spacing w:val="-4"/>
          <w:position w:val="26"/>
          <w:sz w:val="28"/>
          <w:szCs w:val="28"/>
        </w:rPr>
        <w:t>）色谱柱：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4"/>
          <w:position w:val="25"/>
          <w:sz w:val="18"/>
          <w:szCs w:val="18"/>
        </w:rPr>
        <w:t>18</w:t>
      </w:r>
      <w:r>
        <w:rPr>
          <w:rFonts w:ascii="Times New Roman" w:eastAsia="Times New Roman" w:hAnsi="Times New Roman" w:cs="Times New Roman"/>
          <w:spacing w:val="11"/>
          <w:position w:val="25"/>
          <w:sz w:val="18"/>
          <w:szCs w:val="18"/>
        </w:rPr>
        <w:t xml:space="preserve"> </w:t>
      </w:r>
      <w:r>
        <w:rPr>
          <w:spacing w:val="-4"/>
          <w:position w:val="26"/>
          <w:sz w:val="28"/>
          <w:szCs w:val="28"/>
        </w:rPr>
        <w:t>柱（粒径</w:t>
      </w:r>
      <w:r>
        <w:rPr>
          <w:spacing w:val="-58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5.0</w:t>
      </w:r>
      <w:r>
        <w:rPr>
          <w:rFonts w:ascii="Times New Roman" w:eastAsia="Times New Roman" w:hAnsi="Times New Roman" w:cs="Times New Roman"/>
          <w:spacing w:val="17"/>
          <w:w w:val="101"/>
          <w:position w:val="26"/>
          <w:sz w:val="28"/>
          <w:szCs w:val="28"/>
        </w:rPr>
        <w:t xml:space="preserve"> </w:t>
      </w:r>
      <w:r>
        <w:rPr>
          <w:spacing w:val="-4"/>
          <w:position w:val="26"/>
          <w:sz w:val="28"/>
          <w:szCs w:val="28"/>
        </w:rPr>
        <w:t>µ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36"/>
          <w:position w:val="26"/>
          <w:sz w:val="28"/>
          <w:szCs w:val="28"/>
        </w:rPr>
        <w:t xml:space="preserve"> </w:t>
      </w:r>
      <w:r>
        <w:rPr>
          <w:spacing w:val="-4"/>
          <w:position w:val="26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4.6 mm</w:t>
      </w:r>
      <w:r>
        <w:rPr>
          <w:spacing w:val="-4"/>
          <w:position w:val="26"/>
          <w:sz w:val="28"/>
          <w:szCs w:val="28"/>
        </w:rPr>
        <w:t>×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150 mm</w:t>
      </w:r>
      <w:r>
        <w:rPr>
          <w:spacing w:val="10"/>
          <w:position w:val="26"/>
          <w:sz w:val="28"/>
          <w:szCs w:val="28"/>
        </w:rPr>
        <w:t>），</w:t>
      </w:r>
      <w:r>
        <w:rPr>
          <w:spacing w:val="-4"/>
          <w:position w:val="26"/>
          <w:sz w:val="28"/>
          <w:szCs w:val="28"/>
        </w:rPr>
        <w:t>或相当者；</w:t>
      </w:r>
    </w:p>
    <w:p>
      <w:pPr>
        <w:pStyle w:val="BodyText"/>
        <w:spacing w:before="1" w:line="220" w:lineRule="auto"/>
        <w:ind w:left="1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b</w:t>
      </w:r>
      <w:r>
        <w:rPr>
          <w:spacing w:val="-2"/>
          <w:sz w:val="28"/>
          <w:szCs w:val="28"/>
        </w:rPr>
        <w:t>）流动相：甲醇：二氯甲烷（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95:5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v/v</w:t>
      </w:r>
      <w:r>
        <w:rPr>
          <w:spacing w:val="6"/>
          <w:sz w:val="28"/>
          <w:szCs w:val="28"/>
        </w:rPr>
        <w:t>）；</w:t>
      </w:r>
    </w:p>
    <w:p>
      <w:pPr>
        <w:pStyle w:val="BodyText"/>
        <w:spacing w:before="290" w:line="624" w:lineRule="exact"/>
        <w:ind w:left="2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17"/>
          <w:position w:val="26"/>
          <w:sz w:val="28"/>
          <w:szCs w:val="28"/>
        </w:rPr>
        <w:t xml:space="preserve"> </w:t>
      </w:r>
      <w:r>
        <w:rPr>
          <w:spacing w:val="-4"/>
          <w:position w:val="26"/>
          <w:sz w:val="28"/>
          <w:szCs w:val="28"/>
        </w:rPr>
        <w:t>）流速：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1.5 mL/min</w:t>
      </w:r>
      <w:r>
        <w:rPr>
          <w:spacing w:val="-4"/>
          <w:position w:val="26"/>
          <w:sz w:val="28"/>
          <w:szCs w:val="28"/>
        </w:rPr>
        <w:t>；</w:t>
      </w:r>
    </w:p>
    <w:p>
      <w:pPr>
        <w:pStyle w:val="BodyText"/>
        <w:spacing w:before="1" w:line="220" w:lineRule="auto"/>
        <w:ind w:left="2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d</w:t>
      </w:r>
      <w:r>
        <w:rPr>
          <w:spacing w:val="-5"/>
          <w:sz w:val="28"/>
          <w:szCs w:val="28"/>
        </w:rPr>
        <w:t>）柱温：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spacing w:val="17"/>
          <w:w w:val="101"/>
          <w:sz w:val="28"/>
          <w:szCs w:val="28"/>
        </w:rPr>
        <w:t xml:space="preserve">  </w:t>
      </w:r>
      <w:r>
        <w:rPr>
          <w:spacing w:val="-5"/>
          <w:sz w:val="28"/>
          <w:szCs w:val="28"/>
        </w:rPr>
        <w:t>℃;</w:t>
      </w:r>
    </w:p>
    <w:p>
      <w:pPr>
        <w:pStyle w:val="BodyText"/>
        <w:spacing w:before="289" w:line="220" w:lineRule="auto"/>
        <w:ind w:left="2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-23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）进样体积：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µ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L</w:t>
      </w:r>
      <w:r>
        <w:rPr>
          <w:spacing w:val="-7"/>
          <w:sz w:val="28"/>
          <w:szCs w:val="28"/>
        </w:rPr>
        <w:t>；</w:t>
      </w:r>
    </w:p>
    <w:p>
      <w:pPr>
        <w:pStyle w:val="BodyText"/>
        <w:spacing w:before="290" w:line="220" w:lineRule="auto"/>
        <w:ind w:left="25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</w:t>
      </w:r>
      <w:r>
        <w:rPr>
          <w:spacing w:val="-1"/>
          <w:sz w:val="28"/>
          <w:szCs w:val="28"/>
        </w:rPr>
        <w:t>）检测波长：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472 nm</w:t>
      </w:r>
      <w:r>
        <w:rPr>
          <w:spacing w:val="-1"/>
          <w:sz w:val="28"/>
          <w:szCs w:val="28"/>
        </w:rPr>
        <w:t>。</w:t>
      </w:r>
    </w:p>
    <w:p>
      <w:pPr>
        <w:pStyle w:val="BodyText"/>
        <w:spacing w:before="290" w:line="220" w:lineRule="auto"/>
        <w:ind w:left="33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4</w:t>
      </w:r>
      <w:r>
        <w:rPr>
          <w:b/>
          <w:bCs/>
          <w:spacing w:val="-8"/>
          <w:sz w:val="28"/>
          <w:szCs w:val="28"/>
        </w:rPr>
        <w:t>）</w:t>
      </w:r>
      <w:r>
        <w:rPr>
          <w:spacing w:val="12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计算</w:t>
      </w:r>
    </w:p>
    <w:p>
      <w:pPr>
        <w:pStyle w:val="BodyText"/>
        <w:spacing w:before="291" w:line="220" w:lineRule="auto"/>
        <w:ind w:left="25"/>
        <w:rPr>
          <w:sz w:val="28"/>
          <w:szCs w:val="28"/>
        </w:rPr>
      </w:pPr>
      <w:r>
        <w:rPr>
          <w:spacing w:val="-1"/>
          <w:sz w:val="28"/>
          <w:szCs w:val="28"/>
        </w:rPr>
        <w:t>试样中番茄红素的含量按式（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spacing w:val="-1"/>
          <w:sz w:val="28"/>
          <w:szCs w:val="28"/>
        </w:rPr>
        <w:t>）计算：</w:t>
      </w:r>
    </w:p>
    <w:p>
      <w:pPr>
        <w:pStyle w:val="BodyText"/>
        <w:spacing w:before="195"/>
        <w:jc w:val="right"/>
        <w:rPr>
          <w:sz w:val="28"/>
          <w:szCs w:val="28"/>
        </w:rPr>
      </w:pPr>
      <w:r>
        <w:rPr>
          <w:rFonts w:ascii="Cambria Math" w:eastAsia="Cambria Math" w:hAnsi="Cambria Math" w:cs="Cambria Math"/>
          <w:position w:val="-1"/>
          <w:sz w:val="31"/>
          <w:szCs w:val="31"/>
        </w:rPr>
        <w:drawing>
          <wp:inline distT="0" distB="0" distL="0" distR="0">
            <wp:extent cx="131059" cy="13713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059" cy="13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 w:cs="Cambria Math"/>
          <w:spacing w:val="49"/>
          <w:w w:val="101"/>
          <w:position w:val="-1"/>
          <w:sz w:val="31"/>
          <w:szCs w:val="31"/>
        </w:rPr>
        <w:t xml:space="preserve"> </w:t>
      </w:r>
      <w:r>
        <w:rPr>
          <w:rFonts w:ascii="Cambria Math" w:eastAsia="Cambria Math" w:hAnsi="Cambria Math" w:cs="Cambria Math"/>
          <w:spacing w:val="-8"/>
          <w:position w:val="-1"/>
          <w:sz w:val="31"/>
          <w:szCs w:val="31"/>
        </w:rPr>
        <w:t xml:space="preserve">= </w:t>
      </w:r>
      <w:r>
        <w:rPr>
          <w:position w:val="-17"/>
          <w:sz w:val="31"/>
          <w:szCs w:val="31"/>
        </w:rPr>
        <w:drawing>
          <wp:inline distT="0" distB="0" distL="0" distR="0">
            <wp:extent cx="827227" cy="32584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7227" cy="32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-1"/>
          <w:sz w:val="28"/>
          <w:szCs w:val="28"/>
        </w:rPr>
        <w:t>………………………………（</w:t>
      </w:r>
      <w:r>
        <w:rPr>
          <w:rFonts w:ascii="Times New Roman" w:eastAsia="Times New Roman" w:hAnsi="Times New Roman" w:cs="Times New Roman"/>
          <w:spacing w:val="-8"/>
          <w:position w:val="-1"/>
          <w:sz w:val="28"/>
          <w:szCs w:val="28"/>
        </w:rPr>
        <w:t>1</w:t>
      </w:r>
      <w:r>
        <w:rPr>
          <w:spacing w:val="-8"/>
          <w:position w:val="-1"/>
          <w:sz w:val="28"/>
          <w:szCs w:val="28"/>
        </w:rPr>
        <w:t>）</w:t>
      </w:r>
    </w:p>
    <w:p>
      <w:pPr>
        <w:pStyle w:val="BodyText"/>
        <w:spacing w:before="205" w:line="221" w:lineRule="auto"/>
        <w:ind w:left="30"/>
        <w:rPr>
          <w:sz w:val="28"/>
          <w:szCs w:val="28"/>
        </w:rPr>
      </w:pPr>
      <w:r>
        <w:rPr>
          <w:spacing w:val="-5"/>
          <w:sz w:val="28"/>
          <w:szCs w:val="28"/>
        </w:rPr>
        <w:t>式中：</w:t>
      </w:r>
    </w:p>
    <w:p>
      <w:pPr>
        <w:pStyle w:val="BodyText"/>
        <w:spacing w:before="290" w:line="211" w:lineRule="auto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X</w:t>
      </w:r>
      <w:r>
        <w:rPr>
          <w:sz w:val="28"/>
          <w:szCs w:val="28"/>
        </w:rPr>
        <w:t>—— 试样中的含量，单位为毫克每百克（</w:t>
      </w:r>
      <w:r>
        <w:rPr>
          <w:rFonts w:ascii="Times New Roman" w:eastAsia="Times New Roman" w:hAnsi="Times New Roman" w:cs="Times New Roman"/>
          <w:sz w:val="28"/>
          <w:szCs w:val="28"/>
        </w:rPr>
        <w:t>mg/1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00 g</w:t>
      </w:r>
      <w:r>
        <w:rPr>
          <w:sz w:val="28"/>
          <w:szCs w:val="28"/>
        </w:rPr>
        <w:t>）；</w:t>
      </w:r>
    </w:p>
    <w:p>
      <w:pPr>
        <w:pStyle w:val="BodyText"/>
        <w:spacing w:before="303" w:line="624" w:lineRule="exact"/>
        <w:ind w:left="2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18"/>
          <w:position w:val="2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26"/>
          <w:position w:val="26"/>
          <w:sz w:val="28"/>
          <w:szCs w:val="28"/>
        </w:rPr>
        <w:t xml:space="preserve"> </w:t>
      </w:r>
      <w:r>
        <w:rPr>
          <w:spacing w:val="18"/>
          <w:position w:val="26"/>
          <w:sz w:val="28"/>
          <w:szCs w:val="28"/>
        </w:rPr>
        <w:t>——根据标准曲线查得的番茄红素的浓度，单位为微克每毫升</w:t>
      </w:r>
    </w:p>
    <w:p>
      <w:pPr>
        <w:pStyle w:val="BodyText"/>
        <w:spacing w:before="1" w:line="211" w:lineRule="auto"/>
        <w:ind w:left="173"/>
        <w:rPr>
          <w:sz w:val="28"/>
          <w:szCs w:val="28"/>
        </w:rPr>
      </w:pPr>
      <w:r>
        <w:rPr>
          <w:spacing w:val="-4"/>
          <w:sz w:val="28"/>
          <w:szCs w:val="28"/>
        </w:rPr>
        <w:t>(µ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g/mL</w:t>
      </w:r>
      <w:r>
        <w:rPr>
          <w:spacing w:val="1"/>
          <w:sz w:val="28"/>
          <w:szCs w:val="28"/>
        </w:rPr>
        <w:t>）；</w:t>
      </w:r>
    </w:p>
    <w:p>
      <w:pPr>
        <w:spacing w:line="211" w:lineRule="auto"/>
        <w:rPr>
          <w:sz w:val="28"/>
          <w:szCs w:val="28"/>
        </w:rPr>
        <w:sectPr>
          <w:pgSz w:w="11906" w:h="16839"/>
          <w:pgMar w:top="1431" w:right="1537" w:bottom="0" w:left="1785" w:header="0" w:footer="0" w:gutter="0"/>
          <w:pgNumType w:start="13"/>
          <w:cols w:space="708"/>
        </w:sectPr>
      </w:pPr>
    </w:p>
    <w:p>
      <w:pPr>
        <w:pStyle w:val="BodyText"/>
        <w:spacing w:before="181" w:line="624" w:lineRule="exact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V  </w:t>
      </w:r>
      <w:r>
        <w:rPr>
          <w:spacing w:val="-1"/>
          <w:position w:val="26"/>
          <w:sz w:val="28"/>
          <w:szCs w:val="28"/>
        </w:rPr>
        <w:t>——试样提取液的定容体积，单位为毫升（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>mL</w:t>
      </w:r>
      <w:r>
        <w:rPr>
          <w:spacing w:val="6"/>
          <w:position w:val="26"/>
          <w:sz w:val="28"/>
          <w:szCs w:val="28"/>
        </w:rPr>
        <w:t>）；</w:t>
      </w:r>
    </w:p>
    <w:p>
      <w:pPr>
        <w:pStyle w:val="BodyText"/>
        <w:spacing w:before="1" w:line="219" w:lineRule="auto"/>
        <w:ind w:left="25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</w:t>
      </w:r>
      <w:r>
        <w:rPr>
          <w:spacing w:val="-1"/>
          <w:sz w:val="28"/>
          <w:szCs w:val="28"/>
        </w:rPr>
        <w:t>——提取溶液稀释倍数；</w:t>
      </w:r>
    </w:p>
    <w:p>
      <w:pPr>
        <w:pStyle w:val="BodyText"/>
        <w:spacing w:before="290" w:line="624" w:lineRule="exact"/>
        <w:ind w:left="1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 xml:space="preserve">m  </w:t>
      </w:r>
      <w:r>
        <w:rPr>
          <w:spacing w:val="-1"/>
          <w:position w:val="26"/>
          <w:sz w:val="28"/>
          <w:szCs w:val="28"/>
        </w:rPr>
        <w:t>——试样质量，单位为克（</w:t>
      </w:r>
      <w:r>
        <w:rPr>
          <w:rFonts w:ascii="Times New Roman" w:eastAsia="Times New Roman" w:hAnsi="Times New Roman" w:cs="Times New Roman"/>
          <w:spacing w:val="-1"/>
          <w:position w:val="26"/>
          <w:sz w:val="28"/>
          <w:szCs w:val="28"/>
        </w:rPr>
        <w:t>g</w:t>
      </w:r>
      <w:r>
        <w:rPr>
          <w:spacing w:val="6"/>
          <w:position w:val="26"/>
          <w:sz w:val="28"/>
          <w:szCs w:val="28"/>
        </w:rPr>
        <w:t>）；</w:t>
      </w:r>
    </w:p>
    <w:p>
      <w:pPr>
        <w:pStyle w:val="BodyText"/>
        <w:spacing w:before="1" w:line="219" w:lineRule="auto"/>
        <w:ind w:left="46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100</w:t>
      </w:r>
      <w:r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1000  </w:t>
      </w:r>
      <w:r>
        <w:rPr>
          <w:spacing w:val="-4"/>
          <w:sz w:val="28"/>
          <w:szCs w:val="28"/>
        </w:rPr>
        <w:t>——单位换算系数。</w:t>
      </w:r>
    </w:p>
    <w:p>
      <w:pPr>
        <w:pStyle w:val="BodyText"/>
        <w:spacing w:before="290" w:line="220" w:lineRule="auto"/>
        <w:ind w:left="31"/>
        <w:rPr>
          <w:sz w:val="28"/>
          <w:szCs w:val="28"/>
        </w:rPr>
      </w:pPr>
      <w:r>
        <w:rPr>
          <w:spacing w:val="-2"/>
          <w:sz w:val="28"/>
          <w:szCs w:val="28"/>
        </w:rPr>
        <w:t>结果保留三位有效数字。</w:t>
      </w:r>
    </w:p>
    <w:p>
      <w:pPr>
        <w:pStyle w:val="BodyText"/>
        <w:spacing w:before="290" w:line="624" w:lineRule="exact"/>
        <w:ind w:left="2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6"/>
          <w:position w:val="2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36"/>
          <w:position w:val="26"/>
          <w:sz w:val="28"/>
          <w:szCs w:val="28"/>
        </w:rPr>
        <w:t xml:space="preserve"> </w:t>
      </w:r>
      <w:r>
        <w:rPr>
          <w:b/>
          <w:bCs/>
          <w:spacing w:val="-6"/>
          <w:position w:val="26"/>
          <w:sz w:val="28"/>
          <w:szCs w:val="28"/>
        </w:rPr>
        <w:t>、提取操作步骤说明</w:t>
      </w:r>
    </w:p>
    <w:p>
      <w:pPr>
        <w:pStyle w:val="BodyText"/>
        <w:spacing w:before="1" w:line="220" w:lineRule="auto"/>
        <w:ind w:left="33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</w:t>
      </w:r>
      <w:r>
        <w:rPr>
          <w:b/>
          <w:bCs/>
          <w:spacing w:val="-5"/>
          <w:sz w:val="28"/>
          <w:szCs w:val="28"/>
        </w:rPr>
        <w:t>）标准品要求</w:t>
      </w:r>
    </w:p>
    <w:p>
      <w:pPr>
        <w:pStyle w:val="BodyText"/>
        <w:spacing w:before="294" w:line="411" w:lineRule="auto"/>
        <w:ind w:left="23" w:firstLine="562"/>
        <w:rPr>
          <w:sz w:val="28"/>
          <w:szCs w:val="28"/>
        </w:rPr>
      </w:pPr>
      <w:r>
        <w:rPr>
          <w:spacing w:val="-3"/>
          <w:sz w:val="28"/>
          <w:szCs w:val="28"/>
        </w:rPr>
        <w:t>番茄红素标准品（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CAS</w:t>
      </w:r>
      <w:r>
        <w:rPr>
          <w:rFonts w:ascii="Times New Roman" w:eastAsia="Times New Roman" w:hAnsi="Times New Roman" w:cs="Times New Roman"/>
          <w:spacing w:val="18"/>
          <w:w w:val="10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号：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502-65-8</w:t>
      </w:r>
      <w:r>
        <w:rPr>
          <w:spacing w:val="3"/>
          <w:sz w:val="28"/>
          <w:szCs w:val="28"/>
        </w:rPr>
        <w:t>）：</w:t>
      </w:r>
      <w:r>
        <w:rPr>
          <w:spacing w:val="-3"/>
          <w:sz w:val="28"/>
          <w:szCs w:val="28"/>
        </w:rPr>
        <w:t>市面上番茄红素标准品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虽多标称纯度≥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90%</w:t>
      </w:r>
      <w:r>
        <w:rPr>
          <w:spacing w:val="-2"/>
          <w:sz w:val="28"/>
          <w:szCs w:val="28"/>
        </w:rPr>
        <w:t>甚至更高，试验验证发现，部分标准品并不能达</w:t>
      </w:r>
      <w:r>
        <w:rPr>
          <w:spacing w:val="4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到标称的浓度，这可能是由于部分商家未真空或充氮保存导致。由于</w:t>
      </w:r>
      <w:r>
        <w:rPr>
          <w:spacing w:val="1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番茄红素容易氧化降解，番茄红素标准品在每次使用前均需校正，经</w:t>
      </w:r>
      <w:r>
        <w:rPr>
          <w:spacing w:val="1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起草工作组验证，校正后的标准品与未校准的标准品浓度相差较大，</w:t>
      </w:r>
      <w:r>
        <w:rPr>
          <w:spacing w:val="1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因此，起草工作组参考</w:t>
      </w:r>
      <w:r>
        <w:rPr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GB/T 41133-2022 </w:t>
      </w:r>
      <w:r>
        <w:rPr>
          <w:spacing w:val="-2"/>
          <w:sz w:val="28"/>
          <w:szCs w:val="28"/>
        </w:rPr>
        <w:t>和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GB 28316-2012 </w:t>
      </w:r>
      <w:r>
        <w:rPr>
          <w:spacing w:val="-2"/>
          <w:sz w:val="28"/>
          <w:szCs w:val="28"/>
        </w:rPr>
        <w:t>标准中提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及的标定方法，发现不同定容溶剂对紫外标定结果差异不大，最终在</w:t>
      </w:r>
      <w:r>
        <w:rPr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GB 28316-2012</w:t>
      </w:r>
      <w:r>
        <w:rPr>
          <w:rFonts w:ascii="Times New Roman" w:eastAsia="Times New Roman" w:hAnsi="Times New Roman" w:cs="Times New Roman"/>
          <w:spacing w:val="54"/>
          <w:w w:val="10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的标定基础上，结合</w:t>
      </w:r>
      <w:r>
        <w:rPr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T/CCCMHPIE</w:t>
      </w:r>
      <w:r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1.28</w:t>
      </w:r>
      <w:r>
        <w:rPr>
          <w:spacing w:val="-1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2018</w:t>
      </w:r>
      <w:r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中的</w:t>
      </w:r>
    </w:p>
    <w:p>
      <w:pPr>
        <w:pStyle w:val="BodyText"/>
        <w:spacing w:before="1" w:line="219" w:lineRule="auto"/>
        <w:ind w:left="26"/>
        <w:rPr>
          <w:sz w:val="28"/>
          <w:szCs w:val="28"/>
        </w:rPr>
      </w:pPr>
      <w:r>
        <w:rPr>
          <w:spacing w:val="-1"/>
          <w:sz w:val="28"/>
          <w:szCs w:val="28"/>
        </w:rPr>
        <w:t>面积归一化法，最终确定本标准中对照品标定的最终方案。</w:t>
      </w:r>
    </w:p>
    <w:p>
      <w:pPr>
        <w:pStyle w:val="BodyText"/>
        <w:spacing w:before="292" w:line="411" w:lineRule="auto"/>
        <w:ind w:left="23" w:right="30" w:firstLine="560"/>
        <w:rPr>
          <w:sz w:val="28"/>
          <w:szCs w:val="28"/>
        </w:rPr>
      </w:pPr>
      <w:r>
        <w:rPr>
          <w:spacing w:val="2"/>
          <w:sz w:val="28"/>
          <w:szCs w:val="28"/>
        </w:rPr>
        <w:t>根据标准溶液的性质，选择了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18</w:t>
      </w:r>
      <w:r>
        <w:rPr>
          <w:spacing w:val="2"/>
          <w:sz w:val="28"/>
          <w:szCs w:val="28"/>
        </w:rPr>
        <w:t>℃以下储</w:t>
      </w:r>
      <w:r>
        <w:rPr>
          <w:spacing w:val="1"/>
          <w:sz w:val="28"/>
          <w:szCs w:val="28"/>
        </w:rPr>
        <w:t>存条件和时间间隔，</w:t>
      </w:r>
      <w:r>
        <w:rPr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采用同样的分析方法和分析条件对经放置后的标准溶液进行含量标</w:t>
      </w:r>
    </w:p>
    <w:p>
      <w:pPr>
        <w:pStyle w:val="BodyText"/>
        <w:spacing w:before="2" w:line="219" w:lineRule="auto"/>
        <w:ind w:left="31"/>
        <w:rPr>
          <w:sz w:val="28"/>
          <w:szCs w:val="28"/>
        </w:rPr>
      </w:pPr>
      <w:r>
        <w:rPr>
          <w:spacing w:val="-1"/>
          <w:sz w:val="28"/>
          <w:szCs w:val="28"/>
        </w:rPr>
        <w:t>定，考察对照品溶液的储藏稳定性，稳定性可保存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7 </w:t>
      </w:r>
      <w:r>
        <w:rPr>
          <w:spacing w:val="-1"/>
          <w:sz w:val="28"/>
          <w:szCs w:val="28"/>
        </w:rPr>
        <w:t>天以</w:t>
      </w:r>
      <w:r>
        <w:rPr>
          <w:spacing w:val="-2"/>
          <w:sz w:val="28"/>
          <w:szCs w:val="28"/>
        </w:rPr>
        <w:t>上。</w:t>
      </w:r>
    </w:p>
    <w:p>
      <w:pPr>
        <w:pStyle w:val="BodyText"/>
        <w:spacing w:before="290" w:line="220" w:lineRule="auto"/>
        <w:ind w:left="33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2</w:t>
      </w:r>
      <w:r>
        <w:rPr>
          <w:b/>
          <w:bCs/>
          <w:spacing w:val="-5"/>
          <w:sz w:val="28"/>
          <w:szCs w:val="28"/>
        </w:rPr>
        <w:t>）称样量规定</w:t>
      </w:r>
    </w:p>
    <w:p>
      <w:pPr>
        <w:pStyle w:val="BodyText"/>
        <w:spacing w:before="291" w:line="624" w:lineRule="exact"/>
        <w:ind w:right="30"/>
        <w:jc w:val="right"/>
        <w:rPr>
          <w:sz w:val="28"/>
          <w:szCs w:val="28"/>
        </w:rPr>
      </w:pPr>
      <w:r>
        <w:rPr>
          <w:spacing w:val="1"/>
          <w:position w:val="26"/>
          <w:sz w:val="28"/>
          <w:szCs w:val="28"/>
        </w:rPr>
        <w:t>确保待测样的均一性和代表性，胶囊样品：取样品</w:t>
      </w:r>
      <w:r>
        <w:rPr>
          <w:spacing w:val="-62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26"/>
          <w:sz w:val="28"/>
          <w:szCs w:val="28"/>
        </w:rPr>
        <w:t xml:space="preserve">20 </w:t>
      </w:r>
      <w:r>
        <w:rPr>
          <w:spacing w:val="1"/>
          <w:position w:val="26"/>
          <w:sz w:val="28"/>
          <w:szCs w:val="28"/>
        </w:rPr>
        <w:t>粒，</w:t>
      </w:r>
      <w:r>
        <w:rPr>
          <w:position w:val="26"/>
          <w:sz w:val="28"/>
          <w:szCs w:val="28"/>
        </w:rPr>
        <w:t>取内</w:t>
      </w:r>
    </w:p>
    <w:p>
      <w:pPr>
        <w:pStyle w:val="BodyText"/>
        <w:spacing w:line="211" w:lineRule="auto"/>
        <w:ind w:left="28"/>
        <w:rPr>
          <w:sz w:val="28"/>
          <w:szCs w:val="28"/>
        </w:rPr>
      </w:pPr>
      <w:r>
        <w:rPr>
          <w:spacing w:val="-5"/>
          <w:sz w:val="28"/>
          <w:szCs w:val="28"/>
        </w:rPr>
        <w:t>容物，研细（必要时</w:t>
      </w:r>
      <w:r>
        <w:rPr>
          <w:spacing w:val="-3"/>
          <w:sz w:val="28"/>
          <w:szCs w:val="28"/>
        </w:rPr>
        <w:t>），</w:t>
      </w:r>
      <w:r>
        <w:rPr>
          <w:spacing w:val="-5"/>
          <w:sz w:val="28"/>
          <w:szCs w:val="28"/>
        </w:rPr>
        <w:t>混匀。内容物总量不低于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 g</w:t>
      </w:r>
      <w:r>
        <w:rPr>
          <w:rFonts w:ascii="Times New Roman" w:eastAsia="Times New Roman" w:hAnsi="Times New Roman" w:cs="Times New Roman"/>
          <w:spacing w:val="-3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，若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20 </w:t>
      </w:r>
      <w:r>
        <w:rPr>
          <w:spacing w:val="-5"/>
          <w:sz w:val="28"/>
          <w:szCs w:val="28"/>
        </w:rPr>
        <w:t>粒样品</w:t>
      </w:r>
    </w:p>
    <w:p>
      <w:pPr>
        <w:spacing w:line="211" w:lineRule="auto"/>
        <w:rPr>
          <w:sz w:val="28"/>
          <w:szCs w:val="28"/>
        </w:rPr>
        <w:sectPr>
          <w:pgSz w:w="11906" w:h="16839"/>
          <w:pgMar w:top="1431" w:right="1768" w:bottom="0" w:left="1785" w:header="0" w:footer="0" w:gutter="0"/>
          <w:pgNumType w:start="14"/>
          <w:cols w:space="708"/>
        </w:sectPr>
      </w:pPr>
    </w:p>
    <w:p>
      <w:pPr>
        <w:pStyle w:val="BodyText"/>
        <w:spacing w:before="182" w:line="411" w:lineRule="auto"/>
        <w:ind w:left="48" w:right="239" w:firstLine="10"/>
        <w:rPr>
          <w:sz w:val="28"/>
          <w:szCs w:val="28"/>
        </w:rPr>
      </w:pPr>
      <w:r>
        <w:rPr>
          <w:spacing w:val="-2"/>
          <w:sz w:val="28"/>
          <w:szCs w:val="28"/>
        </w:rPr>
        <w:t>内容物低于</w:t>
      </w:r>
      <w:r>
        <w:rPr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5 g</w:t>
      </w:r>
      <w:r>
        <w:rPr>
          <w:rFonts w:ascii="Times New Roman" w:eastAsia="Times New Roman" w:hAnsi="Times New Roman" w:cs="Times New Roman"/>
          <w:spacing w:val="-3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，则增大取样单元数；片剂、粉剂等能够形成粉末状</w:t>
      </w:r>
      <w:r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的样品：取样品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20 </w:t>
      </w:r>
      <w:r>
        <w:rPr>
          <w:spacing w:val="1"/>
          <w:sz w:val="28"/>
          <w:szCs w:val="28"/>
        </w:rPr>
        <w:t>个单元，研细，混匀。内容物总量不低于</w:t>
      </w:r>
      <w:r>
        <w:rPr>
          <w:spacing w:val="-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10  </w:t>
      </w:r>
      <w:r>
        <w:rPr>
          <w:spacing w:val="1"/>
          <w:sz w:val="28"/>
          <w:szCs w:val="28"/>
        </w:rPr>
        <w:t>，</w:t>
      </w:r>
    </w:p>
    <w:p>
      <w:pPr>
        <w:pStyle w:val="BodyText"/>
        <w:spacing w:line="211" w:lineRule="auto"/>
        <w:ind w:left="26"/>
        <w:rPr>
          <w:sz w:val="28"/>
          <w:szCs w:val="28"/>
        </w:rPr>
      </w:pPr>
      <w:r>
        <w:rPr>
          <w:spacing w:val="-3"/>
          <w:sz w:val="28"/>
          <w:szCs w:val="28"/>
        </w:rPr>
        <w:t>若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20 </w:t>
      </w:r>
      <w:r>
        <w:rPr>
          <w:spacing w:val="-3"/>
          <w:sz w:val="28"/>
          <w:szCs w:val="28"/>
        </w:rPr>
        <w:t>个单元内容物低于</w:t>
      </w:r>
      <w:r>
        <w:rPr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10 g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，则增大取样</w:t>
      </w:r>
      <w:r>
        <w:rPr>
          <w:spacing w:val="-4"/>
          <w:sz w:val="28"/>
          <w:szCs w:val="28"/>
        </w:rPr>
        <w:t>单元数。</w:t>
      </w:r>
    </w:p>
    <w:p>
      <w:pPr>
        <w:pStyle w:val="BodyText"/>
        <w:spacing w:before="304" w:line="411" w:lineRule="auto"/>
        <w:ind w:left="29" w:firstLine="554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考虑到市场上不同产品中番茄红素的含量，确定油溶性液体样品、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 xml:space="preserve">一般性固体样品取样量在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spacing w:val="-3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0.5 g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，基本在检测范围内，可提高实</w:t>
      </w:r>
    </w:p>
    <w:p>
      <w:pPr>
        <w:pStyle w:val="BodyText"/>
        <w:spacing w:line="219" w:lineRule="auto"/>
        <w:ind w:left="44"/>
        <w:rPr>
          <w:sz w:val="28"/>
          <w:szCs w:val="28"/>
        </w:rPr>
      </w:pPr>
      <w:r>
        <w:rPr>
          <w:spacing w:val="-1"/>
          <w:sz w:val="28"/>
          <w:szCs w:val="28"/>
        </w:rPr>
        <w:t>际应用过程中的可操作性，文本中也规定，超过线性范围则应稀释。</w:t>
      </w:r>
    </w:p>
    <w:p>
      <w:pPr>
        <w:pStyle w:val="BodyText"/>
        <w:spacing w:before="292" w:line="411" w:lineRule="auto"/>
        <w:ind w:left="27" w:right="239" w:firstLine="556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微囊化固体样品由于包埋的特殊性，样品中的番茄红素需要破壁</w:t>
      </w:r>
      <w:r>
        <w:rPr>
          <w:spacing w:val="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后才能释放出来，为了确保样品能够实现破壁完全性，经验证称样量</w:t>
      </w:r>
    </w:p>
    <w:p>
      <w:pPr>
        <w:pStyle w:val="BodyText"/>
        <w:spacing w:before="1" w:line="211" w:lineRule="auto"/>
        <w:ind w:left="40"/>
        <w:rPr>
          <w:sz w:val="28"/>
          <w:szCs w:val="28"/>
        </w:rPr>
      </w:pPr>
      <w:r>
        <w:rPr>
          <w:spacing w:val="-5"/>
          <w:sz w:val="28"/>
          <w:szCs w:val="28"/>
        </w:rPr>
        <w:t>需要控制在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1g </w:t>
      </w:r>
      <w:r>
        <w:rPr>
          <w:spacing w:val="-5"/>
          <w:sz w:val="28"/>
          <w:szCs w:val="28"/>
        </w:rPr>
        <w:t>左右。</w:t>
      </w:r>
    </w:p>
    <w:p>
      <w:pPr>
        <w:pStyle w:val="BodyText"/>
        <w:spacing w:before="303" w:line="221" w:lineRule="auto"/>
        <w:ind w:left="33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3</w:t>
      </w:r>
      <w:r>
        <w:rPr>
          <w:b/>
          <w:bCs/>
          <w:spacing w:val="-4"/>
          <w:sz w:val="28"/>
          <w:szCs w:val="28"/>
        </w:rPr>
        <w:t>）提取方法选择</w:t>
      </w:r>
    </w:p>
    <w:p>
      <w:pPr>
        <w:pStyle w:val="BodyText"/>
        <w:spacing w:before="289" w:line="218" w:lineRule="auto"/>
        <w:ind w:left="23"/>
        <w:rPr>
          <w:sz w:val="28"/>
          <w:szCs w:val="28"/>
        </w:rPr>
      </w:pPr>
      <w:r>
        <w:rPr>
          <w:spacing w:val="-2"/>
          <w:sz w:val="28"/>
          <w:szCs w:val="28"/>
        </w:rPr>
        <w:t>① 油溶性样品</w:t>
      </w:r>
    </w:p>
    <w:p>
      <w:pPr>
        <w:pStyle w:val="BodyText"/>
        <w:spacing w:before="295" w:line="411" w:lineRule="auto"/>
        <w:ind w:left="27" w:right="163" w:firstLine="701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软胶囊中番茄红素存在于油溶性液体中，针对番茄</w:t>
      </w:r>
      <w:r>
        <w:rPr>
          <w:spacing w:val="-7"/>
          <w:sz w:val="28"/>
          <w:szCs w:val="28"/>
        </w:rPr>
        <w:t>红素的特性，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直接选取二氯甲烷溶剂溶解即可，即能溶解样品中的油脂成分，又能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1"/>
          <w:sz w:val="28"/>
          <w:szCs w:val="28"/>
        </w:rPr>
        <w:t>对番茄红素产生最佳的溶解性。</w:t>
      </w:r>
    </w:p>
    <w:p>
      <w:pPr>
        <w:pStyle w:val="BodyText"/>
        <w:spacing w:before="291" w:line="218" w:lineRule="auto"/>
        <w:ind w:left="22"/>
        <w:rPr>
          <w:sz w:val="28"/>
          <w:szCs w:val="28"/>
        </w:rPr>
      </w:pPr>
      <w:r>
        <w:rPr>
          <w:spacing w:val="-1"/>
          <w:sz w:val="28"/>
          <w:szCs w:val="28"/>
        </w:rPr>
        <w:t>② 一般性固体样品</w:t>
      </w:r>
    </w:p>
    <w:p>
      <w:pPr>
        <w:pStyle w:val="BodyText"/>
        <w:spacing w:before="298" w:line="411" w:lineRule="auto"/>
        <w:ind w:left="10" w:right="141" w:firstLine="55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-30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N-</w:t>
      </w:r>
      <w:r>
        <w:rPr>
          <w:spacing w:val="-3"/>
          <w:sz w:val="28"/>
          <w:szCs w:val="28"/>
        </w:rPr>
        <w:t xml:space="preserve">二甲基甲酰胺极性较强，可与水、醚、醇、酯、酮、不饱 </w:t>
      </w:r>
      <w:r>
        <w:rPr>
          <w:spacing w:val="-8"/>
          <w:sz w:val="28"/>
          <w:szCs w:val="28"/>
        </w:rPr>
        <w:t>和烃和芳烃等混溶，有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52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万能溶剂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”</w:t>
      </w:r>
      <w:r>
        <w:rPr>
          <w:spacing w:val="-8"/>
          <w:sz w:val="28"/>
          <w:szCs w:val="28"/>
        </w:rPr>
        <w:t>之称，可增加固体样品的提</w:t>
      </w:r>
      <w:r>
        <w:rPr>
          <w:spacing w:val="-9"/>
          <w:sz w:val="28"/>
          <w:szCs w:val="28"/>
        </w:rPr>
        <w:t>取效率。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起草组通过在实际样品（珍奥番茄红素）的测定中发现：不添加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，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N-</w:t>
      </w:r>
      <w:r>
        <w:rPr>
          <w:sz w:val="28"/>
          <w:szCs w:val="28"/>
        </w:rPr>
        <w:t>二甲基甲酰胺，只加入</w:t>
      </w:r>
      <w:r>
        <w:rPr>
          <w:spacing w:val="-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BHT </w:t>
      </w:r>
      <w:r>
        <w:rPr>
          <w:sz w:val="28"/>
          <w:szCs w:val="28"/>
        </w:rPr>
        <w:t xml:space="preserve">溶液时，无法提取出试样中的番茄红 </w:t>
      </w:r>
      <w:r>
        <w:rPr>
          <w:spacing w:val="-4"/>
          <w:sz w:val="28"/>
          <w:szCs w:val="28"/>
        </w:rPr>
        <w:t>素。同时，考察了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N</w:t>
      </w:r>
      <w:r>
        <w:rPr>
          <w:spacing w:val="-4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N-</w:t>
      </w:r>
      <w:r>
        <w:rPr>
          <w:spacing w:val="-4"/>
          <w:sz w:val="28"/>
          <w:szCs w:val="28"/>
        </w:rPr>
        <w:t xml:space="preserve">二甲基甲酰胺添加量对番茄红素提取率的影 </w:t>
      </w:r>
      <w:r>
        <w:rPr>
          <w:spacing w:val="-6"/>
          <w:sz w:val="28"/>
          <w:szCs w:val="28"/>
        </w:rPr>
        <w:t>响，发现分别加入</w:t>
      </w:r>
      <w:r>
        <w:rPr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10</w:t>
      </w:r>
      <w:r>
        <w:rPr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</w:t>
      </w:r>
      <w:r>
        <w:rPr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40</w:t>
      </w:r>
      <w:r>
        <w:rPr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50 mLN</w:t>
      </w:r>
      <w:r>
        <w:rPr>
          <w:spacing w:val="-6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-</w:t>
      </w:r>
      <w:r>
        <w:rPr>
          <w:spacing w:val="-7"/>
          <w:sz w:val="28"/>
          <w:szCs w:val="28"/>
        </w:rPr>
        <w:t>二甲基甲酰胺进行提取，</w:t>
      </w:r>
    </w:p>
    <w:p>
      <w:pPr>
        <w:pStyle w:val="BodyText"/>
        <w:spacing w:before="2" w:line="219" w:lineRule="auto"/>
        <w:ind w:left="31"/>
        <w:rPr>
          <w:sz w:val="28"/>
          <w:szCs w:val="28"/>
        </w:rPr>
      </w:pPr>
      <w:r>
        <w:rPr>
          <w:spacing w:val="-4"/>
          <w:sz w:val="28"/>
          <w:szCs w:val="28"/>
        </w:rPr>
        <w:t>结果无显著差异，但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N</w:t>
      </w:r>
      <w:r>
        <w:rPr>
          <w:spacing w:val="-4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N-</w:t>
      </w:r>
      <w:r>
        <w:rPr>
          <w:spacing w:val="-4"/>
          <w:sz w:val="28"/>
          <w:szCs w:val="28"/>
        </w:rPr>
        <w:t>二甲基甲酰胺具有毒性高、稳定性高、难</w:t>
      </w:r>
    </w:p>
    <w:p>
      <w:pPr>
        <w:spacing w:line="219" w:lineRule="auto"/>
        <w:rPr>
          <w:sz w:val="28"/>
          <w:szCs w:val="28"/>
        </w:rPr>
        <w:sectPr>
          <w:pgSz w:w="11906" w:h="16839"/>
          <w:pgMar w:top="1431" w:right="1559" w:bottom="0" w:left="1785" w:header="0" w:footer="0" w:gutter="0"/>
          <w:pgNumType w:start="15"/>
          <w:cols w:space="708"/>
        </w:sectPr>
      </w:pPr>
    </w:p>
    <w:p>
      <w:pPr>
        <w:pStyle w:val="BodyText"/>
        <w:spacing w:before="183" w:line="411" w:lineRule="auto"/>
        <w:ind w:left="23" w:right="21" w:firstLine="23"/>
        <w:jc w:val="both"/>
        <w:rPr>
          <w:sz w:val="28"/>
          <w:szCs w:val="28"/>
        </w:rPr>
      </w:pPr>
      <w:r>
        <w:rPr>
          <w:spacing w:val="-10"/>
          <w:sz w:val="28"/>
          <w:szCs w:val="28"/>
        </w:rPr>
        <w:t>降解等特点，因此加入体积定为</w:t>
      </w:r>
      <w:r>
        <w:rPr>
          <w:spacing w:val="-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10 mL</w:t>
      </w:r>
      <w:r>
        <w:rPr>
          <w:spacing w:val="-10"/>
          <w:sz w:val="28"/>
          <w:szCs w:val="28"/>
        </w:rPr>
        <w:t>。同时，考虑粉末状固体样品，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加入</w:t>
      </w:r>
      <w:r>
        <w:rPr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10 mLN</w:t>
      </w:r>
      <w:r>
        <w:rPr>
          <w:spacing w:val="-1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N-</w:t>
      </w:r>
      <w:r>
        <w:rPr>
          <w:spacing w:val="-1"/>
          <w:sz w:val="28"/>
          <w:szCs w:val="28"/>
        </w:rPr>
        <w:t>二甲基甲酰胺提取溶剂后，少量</w:t>
      </w:r>
      <w:r>
        <w:rPr>
          <w:spacing w:val="-2"/>
          <w:sz w:val="28"/>
          <w:szCs w:val="28"/>
        </w:rPr>
        <w:t>样品易附着在容量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瓶内壁，造成平行样品间精密度差，因此加入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N</w:t>
      </w:r>
      <w:r>
        <w:rPr>
          <w:spacing w:val="-4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N-</w:t>
      </w:r>
      <w:r>
        <w:rPr>
          <w:spacing w:val="-4"/>
          <w:sz w:val="28"/>
          <w:szCs w:val="28"/>
        </w:rPr>
        <w:t>二甲基甲酰胺后</w:t>
      </w:r>
      <w:r>
        <w:rPr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超声提取</w:t>
      </w:r>
      <w:r>
        <w:rPr>
          <w:spacing w:val="-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20 min</w:t>
      </w:r>
      <w:r>
        <w:rPr>
          <w:spacing w:val="-10"/>
          <w:sz w:val="28"/>
          <w:szCs w:val="28"/>
        </w:rPr>
        <w:t>，再加入</w:t>
      </w:r>
      <w:r>
        <w:rPr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50 mL BHT </w:t>
      </w:r>
      <w:r>
        <w:rPr>
          <w:spacing w:val="-10"/>
          <w:sz w:val="28"/>
          <w:szCs w:val="28"/>
        </w:rPr>
        <w:t>二氯甲烷溶液，继续超声</w:t>
      </w:r>
      <w:r>
        <w:rPr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0min</w:t>
      </w:r>
      <w:r>
        <w:rPr>
          <w:spacing w:val="-11"/>
          <w:sz w:val="28"/>
          <w:szCs w:val="28"/>
        </w:rPr>
        <w:t>，</w:t>
      </w:r>
    </w:p>
    <w:p>
      <w:pPr>
        <w:pStyle w:val="BodyText"/>
        <w:spacing w:before="1" w:line="219" w:lineRule="auto"/>
        <w:ind w:left="27"/>
        <w:rPr>
          <w:sz w:val="28"/>
          <w:szCs w:val="28"/>
        </w:rPr>
      </w:pPr>
      <w:r>
        <w:rPr>
          <w:spacing w:val="-1"/>
          <w:sz w:val="28"/>
          <w:szCs w:val="28"/>
        </w:rPr>
        <w:t>可减小不同样品间的实验误差。</w:t>
      </w:r>
    </w:p>
    <w:p>
      <w:pPr>
        <w:pStyle w:val="BodyText"/>
        <w:spacing w:before="290" w:line="218" w:lineRule="auto"/>
        <w:ind w:left="22"/>
        <w:rPr>
          <w:sz w:val="28"/>
          <w:szCs w:val="28"/>
        </w:rPr>
      </w:pPr>
      <w:r>
        <w:rPr>
          <w:spacing w:val="-1"/>
          <w:sz w:val="28"/>
          <w:szCs w:val="28"/>
        </w:rPr>
        <w:t>③ 微囊化样品</w:t>
      </w:r>
    </w:p>
    <w:p>
      <w:pPr>
        <w:pStyle w:val="BodyText"/>
        <w:spacing w:before="295" w:line="411" w:lineRule="auto"/>
        <w:ind w:left="34" w:right="97" w:firstLine="55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收集了不同厂家和工艺的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7 </w:t>
      </w:r>
      <w:r>
        <w:rPr>
          <w:spacing w:val="-4"/>
          <w:sz w:val="28"/>
          <w:szCs w:val="28"/>
        </w:rPr>
        <w:t>种微囊化样品，</w:t>
      </w:r>
      <w:r>
        <w:rPr>
          <w:spacing w:val="-5"/>
          <w:sz w:val="28"/>
          <w:szCs w:val="28"/>
        </w:rPr>
        <w:t>采用了包括原标准及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收集到的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5 </w:t>
      </w:r>
      <w:r>
        <w:rPr>
          <w:spacing w:val="-4"/>
          <w:sz w:val="28"/>
          <w:szCs w:val="28"/>
        </w:rPr>
        <w:t>家企业提供的前处理方法，经试验验证最终确</w:t>
      </w:r>
      <w:r>
        <w:rPr>
          <w:spacing w:val="-5"/>
          <w:sz w:val="28"/>
          <w:szCs w:val="28"/>
        </w:rPr>
        <w:t>定了收集到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的“企业方法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”前处理方法具有更好的适用性，能够满</w:t>
      </w:r>
      <w:r>
        <w:rPr>
          <w:spacing w:val="-4"/>
          <w:sz w:val="28"/>
          <w:szCs w:val="28"/>
        </w:rPr>
        <w:t>足不同类型</w:t>
      </w:r>
    </w:p>
    <w:p>
      <w:pPr>
        <w:pStyle w:val="BodyText"/>
        <w:spacing w:line="219" w:lineRule="auto"/>
        <w:ind w:left="48"/>
        <w:rPr>
          <w:sz w:val="28"/>
          <w:szCs w:val="28"/>
        </w:rPr>
      </w:pPr>
      <w:r>
        <w:rPr>
          <w:spacing w:val="-2"/>
          <w:sz w:val="28"/>
          <w:szCs w:val="28"/>
        </w:rPr>
        <w:t>的微囊化产品检测，检测结果与商家提供理论值基本一致。</w:t>
      </w:r>
    </w:p>
    <w:p>
      <w:pPr>
        <w:pStyle w:val="BodyText"/>
        <w:spacing w:before="295" w:line="411" w:lineRule="auto"/>
        <w:ind w:left="27" w:firstLine="555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在此方法基础上，进行了检测步骤优化，最</w:t>
      </w:r>
      <w:r>
        <w:rPr>
          <w:spacing w:val="-5"/>
          <w:sz w:val="28"/>
          <w:szCs w:val="28"/>
        </w:rPr>
        <w:t xml:space="preserve">终确定的微囊化前处 </w:t>
      </w:r>
      <w:r>
        <w:rPr>
          <w:spacing w:val="-4"/>
          <w:sz w:val="28"/>
          <w:szCs w:val="28"/>
        </w:rPr>
        <w:t>理方法为：称取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0.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 g</w:t>
      </w:r>
      <w:r>
        <w:rPr>
          <w:spacing w:val="-4"/>
          <w:sz w:val="28"/>
          <w:szCs w:val="28"/>
        </w:rPr>
        <w:t>（精确至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0.001 g</w:t>
      </w:r>
      <w:r>
        <w:rPr>
          <w:spacing w:val="-4"/>
          <w:sz w:val="28"/>
          <w:szCs w:val="28"/>
        </w:rPr>
        <w:t>）样品</w:t>
      </w:r>
      <w:r>
        <w:rPr>
          <w:spacing w:val="-5"/>
          <w:sz w:val="28"/>
          <w:szCs w:val="28"/>
        </w:rPr>
        <w:t>，加</w:t>
      </w:r>
      <w:r>
        <w:rPr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 mL 4%</w:t>
      </w:r>
      <w:r>
        <w:rPr>
          <w:spacing w:val="-5"/>
          <w:sz w:val="28"/>
          <w:szCs w:val="28"/>
        </w:rPr>
        <w:t xml:space="preserve">氨缓冲溶 </w:t>
      </w:r>
      <w:r>
        <w:rPr>
          <w:spacing w:val="-9"/>
          <w:sz w:val="28"/>
          <w:szCs w:val="28"/>
        </w:rPr>
        <w:t>液，于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55</w:t>
      </w:r>
      <w:r>
        <w:rPr>
          <w:spacing w:val="-9"/>
          <w:sz w:val="28"/>
          <w:szCs w:val="28"/>
        </w:rPr>
        <w:t>℃水浴中超声</w:t>
      </w:r>
      <w:r>
        <w:rPr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20 min</w:t>
      </w:r>
      <w:r>
        <w:rPr>
          <w:spacing w:val="-9"/>
          <w:sz w:val="28"/>
          <w:szCs w:val="28"/>
        </w:rPr>
        <w:t>，每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5 min </w:t>
      </w:r>
      <w:r>
        <w:rPr>
          <w:spacing w:val="-9"/>
          <w:sz w:val="28"/>
          <w:szCs w:val="28"/>
        </w:rPr>
        <w:t>手摇一</w:t>
      </w:r>
      <w:r>
        <w:rPr>
          <w:spacing w:val="-10"/>
          <w:sz w:val="28"/>
          <w:szCs w:val="28"/>
        </w:rPr>
        <w:t>次，至样品全部分散。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待溶液冷却至室温后，转移至</w:t>
      </w:r>
      <w:r>
        <w:rPr>
          <w:spacing w:val="-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100 mL </w:t>
      </w:r>
      <w:r>
        <w:rPr>
          <w:spacing w:val="-6"/>
          <w:sz w:val="28"/>
          <w:szCs w:val="28"/>
        </w:rPr>
        <w:t>棕色容量瓶中，用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0.025% BHT  </w:t>
      </w:r>
      <w:r>
        <w:rPr>
          <w:spacing w:val="-2"/>
          <w:sz w:val="28"/>
          <w:szCs w:val="28"/>
        </w:rPr>
        <w:t>四氢呋喃溶液定容至刻度，超声</w:t>
      </w:r>
      <w:r>
        <w:rPr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10 min</w:t>
      </w:r>
      <w:r>
        <w:rPr>
          <w:rFonts w:ascii="Times New Roman" w:eastAsia="Times New Roman" w:hAnsi="Times New Roman" w:cs="Times New Roman"/>
          <w:spacing w:val="-3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，摇匀，静</w:t>
      </w:r>
      <w:r>
        <w:rPr>
          <w:spacing w:val="-3"/>
          <w:sz w:val="28"/>
          <w:szCs w:val="28"/>
        </w:rPr>
        <w:t>置</w:t>
      </w:r>
      <w:r>
        <w:rPr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 min</w:t>
      </w:r>
      <w:r>
        <w:rPr>
          <w:spacing w:val="-3"/>
          <w:sz w:val="28"/>
          <w:szCs w:val="28"/>
        </w:rPr>
        <w:t>待溶液澄</w:t>
      </w:r>
    </w:p>
    <w:p>
      <w:pPr>
        <w:pStyle w:val="BodyText"/>
        <w:spacing w:before="1" w:line="220" w:lineRule="auto"/>
        <w:ind w:left="25"/>
        <w:rPr>
          <w:sz w:val="28"/>
          <w:szCs w:val="28"/>
        </w:rPr>
      </w:pPr>
      <w:r>
        <w:rPr>
          <w:spacing w:val="-1"/>
          <w:sz w:val="28"/>
          <w:szCs w:val="28"/>
        </w:rPr>
        <w:t>清，取上清液过</w:t>
      </w:r>
      <w:r>
        <w:rPr>
          <w:spacing w:val="-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0.45 </w:t>
      </w:r>
      <w:r>
        <w:rPr>
          <w:spacing w:val="-1"/>
          <w:sz w:val="28"/>
          <w:szCs w:val="28"/>
        </w:rPr>
        <w:t>µ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m </w:t>
      </w:r>
      <w:r>
        <w:rPr>
          <w:spacing w:val="-1"/>
          <w:sz w:val="28"/>
          <w:szCs w:val="28"/>
        </w:rPr>
        <w:t>滤膜。滤液备用。</w:t>
      </w:r>
    </w:p>
    <w:p>
      <w:pPr>
        <w:pStyle w:val="BodyText"/>
        <w:spacing w:before="289" w:line="220" w:lineRule="auto"/>
        <w:ind w:left="588"/>
        <w:rPr>
          <w:sz w:val="28"/>
          <w:szCs w:val="28"/>
        </w:rPr>
      </w:pPr>
      <w:r>
        <w:rPr>
          <w:spacing w:val="-1"/>
          <w:sz w:val="28"/>
          <w:szCs w:val="28"/>
        </w:rPr>
        <w:t>不同方法对于不同来源微囊化样品的试验效果见表</w:t>
      </w:r>
      <w:r>
        <w:rPr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spacing w:val="-1"/>
          <w:sz w:val="28"/>
          <w:szCs w:val="28"/>
        </w:rPr>
        <w:t>：</w:t>
      </w:r>
    </w:p>
    <w:p>
      <w:pPr>
        <w:spacing w:line="220" w:lineRule="auto"/>
        <w:rPr>
          <w:sz w:val="28"/>
          <w:szCs w:val="28"/>
        </w:rPr>
        <w:sectPr>
          <w:pgSz w:w="11906" w:h="16839"/>
          <w:pgMar w:top="1431" w:right="1701" w:bottom="0" w:left="1785" w:header="0" w:footer="0" w:gutter="0"/>
          <w:pgNumType w:start="16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4369"/>
        <w:rPr>
          <w:sz w:val="24"/>
          <w:szCs w:val="24"/>
        </w:rPr>
      </w:pPr>
      <w:r>
        <w:rPr>
          <w:spacing w:val="-1"/>
          <w:sz w:val="24"/>
          <w:szCs w:val="24"/>
        </w:rPr>
        <w:t>表</w:t>
      </w:r>
      <w:r>
        <w:rPr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2    </w:t>
      </w:r>
      <w:r>
        <w:rPr>
          <w:spacing w:val="-1"/>
          <w:sz w:val="24"/>
          <w:szCs w:val="24"/>
        </w:rPr>
        <w:t>不同方法对于不同来源微囊化样品的试验效果</w:t>
      </w:r>
    </w:p>
    <w:tbl>
      <w:tblPr>
        <w:tblStyle w:val="TableNormal2"/>
        <w:tblW w:w="1416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6"/>
        <w:gridCol w:w="3352"/>
        <w:gridCol w:w="1053"/>
        <w:gridCol w:w="1605"/>
        <w:gridCol w:w="1005"/>
        <w:gridCol w:w="1005"/>
        <w:gridCol w:w="1291"/>
        <w:gridCol w:w="1575"/>
        <w:gridCol w:w="838"/>
        <w:gridCol w:w="899"/>
      </w:tblGrid>
      <w:tr>
        <w:tblPrEx>
          <w:tblW w:w="1416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9"/>
        </w:trPr>
        <w:tc>
          <w:tcPr>
            <w:tcW w:w="154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11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样品信息情况</w:t>
            </w:r>
          </w:p>
        </w:tc>
        <w:tc>
          <w:tcPr>
            <w:tcW w:w="4405" w:type="dxa"/>
            <w:gridSpan w:val="2"/>
            <w:vAlign w:val="top"/>
          </w:tcPr>
          <w:p>
            <w:pPr>
              <w:spacing w:before="53" w:line="220" w:lineRule="auto"/>
              <w:ind w:left="177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sz w:val="22"/>
                <w:szCs w:val="22"/>
              </w:rPr>
              <w:t>收集样品</w:t>
            </w:r>
          </w:p>
        </w:tc>
        <w:tc>
          <w:tcPr>
            <w:tcW w:w="1605" w:type="dxa"/>
            <w:vAlign w:val="top"/>
          </w:tcPr>
          <w:p>
            <w:pPr>
              <w:pStyle w:val="TableText"/>
              <w:spacing w:before="53" w:line="220" w:lineRule="auto"/>
              <w:ind w:left="502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40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1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53" w:line="220" w:lineRule="auto"/>
              <w:ind w:left="203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50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2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53" w:line="220" w:lineRule="auto"/>
              <w:ind w:left="204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52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3</w:t>
            </w:r>
          </w:p>
        </w:tc>
        <w:tc>
          <w:tcPr>
            <w:tcW w:w="1291" w:type="dxa"/>
            <w:vAlign w:val="top"/>
          </w:tcPr>
          <w:p>
            <w:pPr>
              <w:pStyle w:val="TableText"/>
              <w:spacing w:before="53" w:line="220" w:lineRule="auto"/>
              <w:ind w:left="346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50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4</w:t>
            </w:r>
          </w:p>
        </w:tc>
        <w:tc>
          <w:tcPr>
            <w:tcW w:w="1575" w:type="dxa"/>
            <w:vAlign w:val="top"/>
          </w:tcPr>
          <w:p>
            <w:pPr>
              <w:pStyle w:val="TableText"/>
              <w:spacing w:before="53" w:line="220" w:lineRule="auto"/>
              <w:ind w:left="490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48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5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53" w:line="220" w:lineRule="auto"/>
              <w:ind w:left="122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47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6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53" w:line="220" w:lineRule="auto"/>
              <w:ind w:left="151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</w:t>
            </w:r>
            <w:r>
              <w:rPr>
                <w:rFonts w:ascii="SimSun" w:eastAsia="SimSun" w:hAnsi="SimSun" w:cs="SimSun"/>
                <w:spacing w:val="-48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-4"/>
                <w:sz w:val="22"/>
                <w:szCs w:val="22"/>
              </w:rPr>
              <w:t>7</w:t>
            </w:r>
          </w:p>
        </w:tc>
      </w:tr>
      <w:tr>
        <w:tblPrEx>
          <w:tblW w:w="14169" w:type="dxa"/>
          <w:tblInd w:w="2" w:type="dxa"/>
          <w:tblLayout w:type="fixed"/>
        </w:tblPrEx>
        <w:trPr>
          <w:trHeight w:val="1280"/>
        </w:trPr>
        <w:tc>
          <w:tcPr>
            <w:tcW w:w="15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5" w:type="dxa"/>
            <w:gridSpan w:val="2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176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样品描述</w:t>
            </w:r>
          </w:p>
        </w:tc>
        <w:tc>
          <w:tcPr>
            <w:tcW w:w="160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44" w:lineRule="auto"/>
              <w:ind w:left="272" w:right="139" w:hanging="122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番茄红素微囊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粉</w:t>
            </w:r>
            <w:r>
              <w:rPr>
                <w:rFonts w:ascii="SimSun" w:eastAsia="SimSun" w:hAnsi="SimSun" w:cs="SimSun"/>
                <w:spacing w:val="-44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CGWNF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208" w:line="254" w:lineRule="auto"/>
              <w:ind w:left="172" w:right="162" w:firstLine="7"/>
              <w:jc w:val="both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番茄红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素微囊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CGWN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208" w:line="254" w:lineRule="auto"/>
              <w:ind w:left="178" w:right="169" w:firstLine="2"/>
              <w:jc w:val="both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番茄红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素微囊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FYWN</w:t>
            </w:r>
          </w:p>
        </w:tc>
        <w:tc>
          <w:tcPr>
            <w:tcW w:w="1291" w:type="dxa"/>
            <w:vAlign w:val="top"/>
          </w:tcPr>
          <w:p>
            <w:pPr>
              <w:spacing w:before="208" w:line="220" w:lineRule="auto"/>
              <w:ind w:left="2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番茄红素</w:t>
            </w:r>
          </w:p>
          <w:p>
            <w:pPr>
              <w:spacing w:before="57" w:line="220" w:lineRule="auto"/>
              <w:ind w:left="43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微囊</w:t>
            </w:r>
          </w:p>
          <w:p>
            <w:pPr>
              <w:pStyle w:val="TableText"/>
              <w:spacing w:before="95" w:line="186" w:lineRule="auto"/>
              <w:ind w:left="10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ZZYYWNF</w:t>
            </w:r>
          </w:p>
        </w:tc>
        <w:tc>
          <w:tcPr>
            <w:tcW w:w="157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48" w:lineRule="auto"/>
              <w:ind w:left="458" w:right="141" w:hanging="342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番茄红素微囊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GRWN</w:t>
            </w:r>
          </w:p>
        </w:tc>
        <w:tc>
          <w:tcPr>
            <w:tcW w:w="838" w:type="dxa"/>
            <w:vAlign w:val="top"/>
          </w:tcPr>
          <w:p>
            <w:pPr>
              <w:spacing w:before="47" w:line="320" w:lineRule="exact"/>
              <w:ind w:left="22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4"/>
                <w:position w:val="7"/>
                <w:sz w:val="22"/>
                <w:szCs w:val="22"/>
              </w:rPr>
              <w:t>中科</w:t>
            </w:r>
          </w:p>
          <w:p>
            <w:pPr>
              <w:spacing w:line="222" w:lineRule="auto"/>
              <w:ind w:left="20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番茄</w:t>
            </w:r>
          </w:p>
          <w:p>
            <w:pPr>
              <w:spacing w:before="54" w:line="220" w:lineRule="auto"/>
              <w:ind w:left="21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红素</w:t>
            </w:r>
          </w:p>
          <w:p>
            <w:pPr>
              <w:spacing w:before="57" w:line="220" w:lineRule="auto"/>
              <w:ind w:left="20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胶囊</w:t>
            </w:r>
          </w:p>
        </w:tc>
        <w:tc>
          <w:tcPr>
            <w:tcW w:w="899" w:type="dxa"/>
            <w:vAlign w:val="top"/>
          </w:tcPr>
          <w:p>
            <w:pPr>
              <w:spacing w:before="208" w:line="221" w:lineRule="auto"/>
              <w:ind w:left="12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无限极</w:t>
            </w:r>
          </w:p>
          <w:p>
            <w:pPr>
              <w:spacing w:before="56" w:line="220" w:lineRule="auto"/>
              <w:ind w:left="12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悦扬胶</w:t>
            </w:r>
          </w:p>
          <w:p>
            <w:pPr>
              <w:spacing w:before="57" w:line="220" w:lineRule="auto"/>
              <w:ind w:left="34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囊</w:t>
            </w:r>
          </w:p>
        </w:tc>
      </w:tr>
      <w:tr>
        <w:tblPrEx>
          <w:tblW w:w="14169" w:type="dxa"/>
          <w:tblInd w:w="2" w:type="dxa"/>
          <w:tblLayout w:type="fixed"/>
        </w:tblPrEx>
        <w:trPr>
          <w:trHeight w:val="324"/>
        </w:trPr>
        <w:tc>
          <w:tcPr>
            <w:tcW w:w="15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5" w:type="dxa"/>
            <w:gridSpan w:val="2"/>
            <w:vAlign w:val="top"/>
          </w:tcPr>
          <w:p>
            <w:pPr>
              <w:spacing w:before="49" w:line="220" w:lineRule="auto"/>
              <w:ind w:left="176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标注含量</w:t>
            </w:r>
          </w:p>
        </w:tc>
        <w:tc>
          <w:tcPr>
            <w:tcW w:w="1605" w:type="dxa"/>
            <w:vAlign w:val="top"/>
          </w:tcPr>
          <w:p>
            <w:pPr>
              <w:pStyle w:val="TableText"/>
              <w:spacing w:before="87" w:line="189" w:lineRule="auto"/>
              <w:ind w:left="66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5%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87" w:line="189" w:lineRule="auto"/>
              <w:ind w:left="324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10%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87" w:line="189" w:lineRule="auto"/>
              <w:ind w:left="36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5%</w:t>
            </w:r>
          </w:p>
        </w:tc>
        <w:tc>
          <w:tcPr>
            <w:tcW w:w="1291" w:type="dxa"/>
            <w:vAlign w:val="top"/>
          </w:tcPr>
          <w:p>
            <w:pPr>
              <w:pStyle w:val="TableText"/>
              <w:spacing w:before="87" w:line="189" w:lineRule="auto"/>
              <w:ind w:left="467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10%</w:t>
            </w:r>
          </w:p>
        </w:tc>
        <w:tc>
          <w:tcPr>
            <w:tcW w:w="1575" w:type="dxa"/>
            <w:vAlign w:val="top"/>
          </w:tcPr>
          <w:p>
            <w:pPr>
              <w:pStyle w:val="TableText"/>
              <w:spacing w:before="87" w:line="189" w:lineRule="auto"/>
              <w:ind w:left="609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10%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87" w:line="189" w:lineRule="auto"/>
              <w:ind w:left="2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7%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before="87" w:line="189" w:lineRule="auto"/>
              <w:ind w:left="17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0.40%</w:t>
            </w:r>
          </w:p>
        </w:tc>
      </w:tr>
      <w:tr>
        <w:tblPrEx>
          <w:tblW w:w="14169" w:type="dxa"/>
          <w:tblInd w:w="2" w:type="dxa"/>
          <w:tblLayout w:type="fixed"/>
        </w:tblPrEx>
        <w:trPr>
          <w:trHeight w:val="324"/>
        </w:trPr>
        <w:tc>
          <w:tcPr>
            <w:tcW w:w="1546" w:type="dxa"/>
            <w:vAlign w:val="top"/>
          </w:tcPr>
          <w:p>
            <w:pPr>
              <w:spacing w:before="49" w:line="220" w:lineRule="auto"/>
              <w:ind w:left="33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2"/>
                <w:szCs w:val="22"/>
              </w:rPr>
              <w:t>方法来源</w:t>
            </w:r>
          </w:p>
        </w:tc>
        <w:tc>
          <w:tcPr>
            <w:tcW w:w="12623" w:type="dxa"/>
            <w:gridSpan w:val="9"/>
            <w:vAlign w:val="top"/>
          </w:tcPr>
          <w:p>
            <w:pPr>
              <w:spacing w:before="49" w:line="220" w:lineRule="auto"/>
              <w:ind w:left="510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方法内容及验证效果情况</w:t>
            </w:r>
          </w:p>
        </w:tc>
      </w:tr>
      <w:tr>
        <w:tblPrEx>
          <w:tblW w:w="14169" w:type="dxa"/>
          <w:tblInd w:w="2" w:type="dxa"/>
          <w:tblLayout w:type="fixed"/>
        </w:tblPrEx>
        <w:trPr>
          <w:trHeight w:val="961"/>
        </w:trPr>
        <w:tc>
          <w:tcPr>
            <w:tcW w:w="1546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23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原标准方法</w:t>
            </w:r>
          </w:p>
        </w:tc>
        <w:tc>
          <w:tcPr>
            <w:tcW w:w="3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8" w:line="262" w:lineRule="auto"/>
              <w:ind w:left="110" w:right="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微囊化试样：根据试样中番茄红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素的含量，准确称取混合均匀的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试样</w:t>
            </w:r>
            <w:r>
              <w:rPr>
                <w:rFonts w:ascii="SimSun" w:eastAsia="SimSun" w:hAnsi="SimSun" w:cs="SimSun"/>
                <w:spacing w:val="-48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0.</w:t>
            </w:r>
            <w:r>
              <w:rPr>
                <w:spacing w:val="-29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1 g~0.5 g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（精确至</w:t>
            </w:r>
            <w:r>
              <w:rPr>
                <w:rFonts w:ascii="SimSun" w:eastAsia="SimSun" w:hAnsi="SimSun" w:cs="SimSun"/>
                <w:spacing w:val="-47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0.001 g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）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于</w:t>
            </w:r>
            <w:r>
              <w:rPr>
                <w:rFonts w:ascii="SimSun" w:eastAsia="SimSun" w:hAnsi="SimSun" w:cs="SimSun"/>
                <w:spacing w:val="-28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 xml:space="preserve">100 mL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棕色容量瓶中，加入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  </w:t>
            </w:r>
            <w:r>
              <w:rPr>
                <w:spacing w:val="-4"/>
                <w:sz w:val="22"/>
                <w:szCs w:val="22"/>
              </w:rPr>
              <w:t>0.</w:t>
            </w:r>
            <w:r>
              <w:rPr>
                <w:spacing w:val="-30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 xml:space="preserve">1 g BHT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和</w:t>
            </w:r>
            <w:r>
              <w:rPr>
                <w:rFonts w:ascii="SimSun" w:eastAsia="SimSun" w:hAnsi="SimSun" w:cs="SimSun"/>
                <w:spacing w:val="-29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10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mL N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，</w:t>
            </w:r>
            <w:r>
              <w:rPr>
                <w:spacing w:val="-4"/>
                <w:sz w:val="22"/>
                <w:szCs w:val="22"/>
              </w:rPr>
              <w:t>N-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二甲基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>甲酰胺后超声提取</w:t>
            </w:r>
            <w:r>
              <w:rPr>
                <w:rFonts w:ascii="SimSun" w:eastAsia="SimSun" w:hAnsi="SimSun" w:cs="SimSun"/>
                <w:spacing w:val="-46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30</w:t>
            </w:r>
            <w:r>
              <w:rPr>
                <w:sz w:val="22"/>
                <w:szCs w:val="22"/>
              </w:rPr>
              <w:t>min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>后，再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>用</w:t>
            </w:r>
            <w:r>
              <w:rPr>
                <w:rFonts w:ascii="SimSun" w:eastAsia="SimSun" w:hAnsi="SimSun" w:cs="SimSun"/>
                <w:spacing w:val="-5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BHT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>溶液定容至刻度，摇匀，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过</w:t>
            </w:r>
            <w:r>
              <w:rPr>
                <w:rFonts w:ascii="SimSun" w:eastAsia="SimSun" w:hAnsi="SimSun" w:cs="SimSun"/>
                <w:spacing w:val="-46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 xml:space="preserve">0.45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µ</w:t>
            </w:r>
            <w:r>
              <w:rPr>
                <w:spacing w:val="-1"/>
                <w:sz w:val="22"/>
                <w:szCs w:val="22"/>
              </w:rPr>
              <w:t xml:space="preserve">m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滤膜。滤液备用。</w:t>
            </w:r>
          </w:p>
        </w:tc>
        <w:tc>
          <w:tcPr>
            <w:tcW w:w="1053" w:type="dxa"/>
            <w:vAlign w:val="top"/>
          </w:tcPr>
          <w:p>
            <w:pPr>
              <w:spacing w:before="209" w:line="319" w:lineRule="exact"/>
              <w:ind w:left="11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position w:val="7"/>
                <w:sz w:val="22"/>
                <w:szCs w:val="22"/>
              </w:rPr>
              <w:t>处理状</w:t>
            </w:r>
          </w:p>
          <w:p>
            <w:pPr>
              <w:spacing w:line="222" w:lineRule="auto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2"/>
                <w:szCs w:val="22"/>
              </w:rPr>
              <w:t>态描述</w:t>
            </w:r>
          </w:p>
        </w:tc>
        <w:tc>
          <w:tcPr>
            <w:tcW w:w="1605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36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样品溶解</w:t>
            </w:r>
          </w:p>
        </w:tc>
        <w:tc>
          <w:tcPr>
            <w:tcW w:w="1005" w:type="dxa"/>
            <w:vAlign w:val="top"/>
          </w:tcPr>
          <w:p>
            <w:pPr>
              <w:spacing w:before="209" w:line="220" w:lineRule="auto"/>
              <w:ind w:left="17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样品未</w:t>
            </w:r>
          </w:p>
          <w:p>
            <w:pPr>
              <w:spacing w:before="56" w:line="221" w:lineRule="auto"/>
              <w:ind w:left="29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溶解</w:t>
            </w:r>
          </w:p>
        </w:tc>
        <w:tc>
          <w:tcPr>
            <w:tcW w:w="1005" w:type="dxa"/>
            <w:vAlign w:val="top"/>
          </w:tcPr>
          <w:p>
            <w:pPr>
              <w:spacing w:before="209" w:line="220" w:lineRule="auto"/>
              <w:ind w:left="17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样品未</w:t>
            </w:r>
          </w:p>
          <w:p>
            <w:pPr>
              <w:spacing w:before="56" w:line="221" w:lineRule="auto"/>
              <w:ind w:left="29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溶解</w:t>
            </w:r>
          </w:p>
        </w:tc>
        <w:tc>
          <w:tcPr>
            <w:tcW w:w="1291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21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样品溶解</w:t>
            </w:r>
          </w:p>
        </w:tc>
        <w:tc>
          <w:tcPr>
            <w:tcW w:w="1575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35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样品溶解</w:t>
            </w:r>
          </w:p>
        </w:tc>
        <w:tc>
          <w:tcPr>
            <w:tcW w:w="838" w:type="dxa"/>
            <w:vAlign w:val="top"/>
          </w:tcPr>
          <w:p>
            <w:pPr>
              <w:spacing w:before="49" w:line="220" w:lineRule="auto"/>
              <w:ind w:left="20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样品</w:t>
            </w:r>
          </w:p>
          <w:p>
            <w:pPr>
              <w:spacing w:before="56" w:line="221" w:lineRule="auto"/>
              <w:ind w:left="21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未溶</w:t>
            </w:r>
          </w:p>
          <w:p>
            <w:pPr>
              <w:spacing w:before="55" w:line="221" w:lineRule="auto"/>
              <w:ind w:left="31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解</w:t>
            </w:r>
          </w:p>
        </w:tc>
        <w:tc>
          <w:tcPr>
            <w:tcW w:w="899" w:type="dxa"/>
            <w:vAlign w:val="top"/>
          </w:tcPr>
          <w:p>
            <w:pPr>
              <w:spacing w:before="49" w:line="220" w:lineRule="auto"/>
              <w:ind w:left="12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样品未</w:t>
            </w:r>
          </w:p>
          <w:p>
            <w:pPr>
              <w:spacing w:before="57" w:line="220" w:lineRule="auto"/>
              <w:ind w:left="12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完全溶</w:t>
            </w:r>
          </w:p>
          <w:p>
            <w:pPr>
              <w:spacing w:before="56" w:line="221" w:lineRule="auto"/>
              <w:ind w:left="34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解</w:t>
            </w:r>
          </w:p>
        </w:tc>
      </w:tr>
      <w:tr>
        <w:tblPrEx>
          <w:tblW w:w="14169" w:type="dxa"/>
          <w:tblInd w:w="2" w:type="dxa"/>
          <w:tblLayout w:type="fixed"/>
        </w:tblPrEx>
        <w:trPr>
          <w:trHeight w:val="961"/>
        </w:trPr>
        <w:tc>
          <w:tcPr>
            <w:tcW w:w="15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vAlign w:val="top"/>
          </w:tcPr>
          <w:p>
            <w:pPr>
              <w:spacing w:before="210" w:line="320" w:lineRule="exact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position w:val="7"/>
                <w:sz w:val="22"/>
                <w:szCs w:val="22"/>
              </w:rPr>
              <w:t>检测结</w:t>
            </w:r>
          </w:p>
          <w:p>
            <w:pPr>
              <w:spacing w:before="1" w:line="220" w:lineRule="auto"/>
              <w:ind w:left="11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果</w:t>
            </w:r>
          </w:p>
        </w:tc>
        <w:tc>
          <w:tcPr>
            <w:tcW w:w="160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89" w:lineRule="auto"/>
              <w:ind w:left="527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5.</w:t>
            </w:r>
            <w:r>
              <w:rPr>
                <w:spacing w:val="-30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14%</w:t>
            </w:r>
          </w:p>
        </w:tc>
        <w:tc>
          <w:tcPr>
            <w:tcW w:w="1005" w:type="dxa"/>
            <w:vAlign w:val="top"/>
          </w:tcPr>
          <w:p>
            <w:pPr>
              <w:spacing w:before="210" w:line="245" w:lineRule="auto"/>
              <w:ind w:left="287" w:right="170" w:hanging="10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方法不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适用</w:t>
            </w:r>
          </w:p>
        </w:tc>
        <w:tc>
          <w:tcPr>
            <w:tcW w:w="1005" w:type="dxa"/>
            <w:vAlign w:val="top"/>
          </w:tcPr>
          <w:p>
            <w:pPr>
              <w:spacing w:before="210" w:line="245" w:lineRule="auto"/>
              <w:ind w:left="288" w:right="169" w:hanging="10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方法不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适用</w:t>
            </w:r>
          </w:p>
        </w:tc>
        <w:tc>
          <w:tcPr>
            <w:tcW w:w="1291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89" w:lineRule="auto"/>
              <w:ind w:left="38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10.8%</w:t>
            </w:r>
          </w:p>
        </w:tc>
        <w:tc>
          <w:tcPr>
            <w:tcW w:w="157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89" w:lineRule="auto"/>
              <w:ind w:left="5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9.80%</w:t>
            </w:r>
          </w:p>
        </w:tc>
        <w:tc>
          <w:tcPr>
            <w:tcW w:w="838" w:type="dxa"/>
            <w:vAlign w:val="top"/>
          </w:tcPr>
          <w:p>
            <w:pPr>
              <w:spacing w:before="49" w:line="222" w:lineRule="auto"/>
              <w:ind w:left="20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方法</w:t>
            </w:r>
          </w:p>
          <w:p>
            <w:pPr>
              <w:spacing w:before="55" w:line="223" w:lineRule="auto"/>
              <w:ind w:left="21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不适</w:t>
            </w:r>
          </w:p>
          <w:p>
            <w:pPr>
              <w:spacing w:before="53" w:line="220" w:lineRule="auto"/>
              <w:ind w:left="31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用</w:t>
            </w:r>
          </w:p>
        </w:tc>
        <w:tc>
          <w:tcPr>
            <w:tcW w:w="89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89" w:lineRule="auto"/>
              <w:ind w:left="11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0.</w:t>
            </w:r>
            <w:r>
              <w:rPr>
                <w:spacing w:val="-26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185%</w:t>
            </w:r>
          </w:p>
        </w:tc>
      </w:tr>
      <w:tr>
        <w:tblPrEx>
          <w:tblW w:w="14169" w:type="dxa"/>
          <w:tblInd w:w="2" w:type="dxa"/>
          <w:tblLayout w:type="fixed"/>
        </w:tblPrEx>
        <w:trPr>
          <w:trHeight w:val="642"/>
        </w:trPr>
        <w:tc>
          <w:tcPr>
            <w:tcW w:w="15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vAlign w:val="top"/>
          </w:tcPr>
          <w:p>
            <w:pPr>
              <w:spacing w:before="51" w:line="319" w:lineRule="exact"/>
              <w:ind w:left="11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position w:val="7"/>
                <w:sz w:val="22"/>
                <w:szCs w:val="22"/>
              </w:rPr>
              <w:t>结论说</w:t>
            </w:r>
          </w:p>
          <w:p>
            <w:pPr>
              <w:spacing w:line="219" w:lineRule="auto"/>
              <w:ind w:left="13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明</w:t>
            </w:r>
          </w:p>
        </w:tc>
        <w:tc>
          <w:tcPr>
            <w:tcW w:w="8218" w:type="dxa"/>
            <w:gridSpan w:val="7"/>
            <w:vAlign w:val="top"/>
          </w:tcPr>
          <w:p>
            <w:pPr>
              <w:spacing w:before="212" w:line="221" w:lineRule="auto"/>
              <w:ind w:left="301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方法不适用于所有基质</w:t>
            </w:r>
          </w:p>
        </w:tc>
      </w:tr>
    </w:tbl>
    <w:p>
      <w:pPr>
        <w:sectPr>
          <w:pgSz w:w="16839" w:h="11906"/>
          <w:pgMar w:top="1012" w:right="1336" w:bottom="0" w:left="1327" w:header="0" w:footer="0" w:gutter="0"/>
          <w:pgNumType w:start="17"/>
          <w:cols w:space="708"/>
        </w:sectPr>
      </w:pPr>
    </w:p>
    <w:tbl>
      <w:tblPr>
        <w:tblStyle w:val="TableNormal3"/>
        <w:tblW w:w="1416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6"/>
        <w:gridCol w:w="3352"/>
        <w:gridCol w:w="1053"/>
        <w:gridCol w:w="1605"/>
        <w:gridCol w:w="6613"/>
      </w:tblGrid>
      <w:tr>
        <w:tblPrEx>
          <w:tblW w:w="1416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558"/>
        </w:trPr>
        <w:tc>
          <w:tcPr>
            <w:tcW w:w="1546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48" w:lineRule="auto"/>
              <w:ind w:left="740" w:right="113" w:hanging="616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收集企业方法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3352" w:type="dxa"/>
            <w:vAlign w:val="top"/>
          </w:tcPr>
          <w:p>
            <w:pPr>
              <w:pStyle w:val="TableText"/>
              <w:spacing w:before="50" w:line="250" w:lineRule="auto"/>
              <w:ind w:left="112" w:right="133" w:hanging="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称取</w:t>
            </w:r>
            <w:r>
              <w:rPr>
                <w:rFonts w:ascii="SimSun" w:eastAsia="SimSun" w:hAnsi="SimSun" w:cs="SimSun"/>
                <w:spacing w:val="-32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30mg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（精确至</w:t>
            </w:r>
            <w:r>
              <w:rPr>
                <w:rFonts w:ascii="SimSun" w:eastAsia="SimSun" w:hAnsi="SimSun" w:cs="SimSun"/>
                <w:spacing w:val="-47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0.01mg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）左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右番茄红素微囊粉样品于</w:t>
            </w:r>
            <w:r>
              <w:rPr>
                <w:rFonts w:ascii="SimSun" w:eastAsia="SimSun" w:hAnsi="SimSun" w:cs="SimSun"/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100mL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容量瓶中，加入</w:t>
            </w:r>
            <w:r>
              <w:rPr>
                <w:rFonts w:ascii="SimSun" w:eastAsia="SimSun" w:hAnsi="SimSun" w:cs="SimSun"/>
                <w:spacing w:val="-38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 xml:space="preserve">25 mg BHT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和</w:t>
            </w:r>
          </w:p>
          <w:p>
            <w:pPr>
              <w:pStyle w:val="TableText"/>
              <w:spacing w:before="65" w:line="256" w:lineRule="auto"/>
              <w:ind w:left="110" w:right="105" w:hanging="3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2.5mL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氢氧化铵（</w:t>
            </w:r>
            <w:r>
              <w:rPr>
                <w:spacing w:val="-1"/>
                <w:sz w:val="22"/>
                <w:szCs w:val="22"/>
              </w:rPr>
              <w:t>2 g/100mL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）水</w:t>
            </w:r>
            <w:r>
              <w:rPr>
                <w:rFonts w:ascii="SimSun" w:eastAsia="SimSun" w:hAnsi="SimSun" w:cs="SimSun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溶液，混合，</w:t>
            </w:r>
            <w:r>
              <w:rPr>
                <w:spacing w:val="-3"/>
                <w:sz w:val="22"/>
                <w:szCs w:val="22"/>
              </w:rPr>
              <w:t>50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℃超声</w:t>
            </w:r>
            <w:r>
              <w:rPr>
                <w:rFonts w:ascii="SimSun" w:eastAsia="SimSun" w:hAnsi="SimSun" w:cs="SimSun"/>
                <w:spacing w:val="-46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5min</w:t>
            </w:r>
            <w:r>
              <w:rPr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，期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间摇晃容量瓶，避免物料粘到玻</w:t>
            </w:r>
            <w:r>
              <w:rPr>
                <w:rFonts w:ascii="SimSun" w:eastAsia="SimSun" w:hAnsi="SimSun" w:cs="SimSun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璃表面上，直到物料完全分散，</w:t>
            </w:r>
          </w:p>
          <w:p>
            <w:pPr>
              <w:pStyle w:val="TableText"/>
              <w:spacing w:before="57" w:line="219" w:lineRule="auto"/>
              <w:ind w:left="114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8"/>
                <w:sz w:val="22"/>
                <w:szCs w:val="22"/>
              </w:rPr>
              <w:t>没有团块儿。冷却到室温。加入</w:t>
            </w:r>
            <w:r>
              <w:rPr>
                <w:rFonts w:ascii="SimSun" w:eastAsia="SimSun" w:hAnsi="SimSun" w:cs="SimSun"/>
                <w:spacing w:val="-44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5</w:t>
            </w:r>
          </w:p>
        </w:tc>
        <w:tc>
          <w:tcPr>
            <w:tcW w:w="105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72" w:line="319" w:lineRule="exact"/>
              <w:ind w:left="11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position w:val="7"/>
                <w:sz w:val="22"/>
                <w:szCs w:val="22"/>
              </w:rPr>
              <w:t>处理状</w:t>
            </w:r>
          </w:p>
          <w:p>
            <w:pPr>
              <w:spacing w:line="222" w:lineRule="auto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2"/>
                <w:szCs w:val="22"/>
              </w:rPr>
              <w:t>态描述</w:t>
            </w:r>
          </w:p>
        </w:tc>
        <w:tc>
          <w:tcPr>
            <w:tcW w:w="1605" w:type="dxa"/>
            <w:vAlign w:val="top"/>
          </w:tcPr>
          <w:p>
            <w:pPr>
              <w:pStyle w:val="TableText"/>
              <w:spacing w:before="50" w:line="262" w:lineRule="auto"/>
              <w:ind w:left="146" w:right="125" w:hanging="1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加入</w:t>
            </w:r>
            <w:r>
              <w:rPr>
                <w:rFonts w:ascii="SimSun" w:eastAsia="SimSun" w:hAnsi="SimSun" w:cs="SimSun"/>
                <w:spacing w:val="-51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2.5mL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氢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氧化铵水溶液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超声后物料不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>能完全分散，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有团块，甲基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叔丁基醚不能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萃取完全，存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在带颜色沉淀</w:t>
            </w:r>
          </w:p>
        </w:tc>
        <w:tc>
          <w:tcPr>
            <w:tcW w:w="6613" w:type="dxa"/>
            <w:tcBorders>
              <w:right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0" w:lineRule="auto"/>
              <w:ind w:left="124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方法不能适用于样品</w:t>
            </w:r>
            <w:r>
              <w:rPr>
                <w:rFonts w:ascii="SimSun" w:eastAsia="SimSun" w:hAnsi="SimSun" w:cs="SimSun"/>
                <w:spacing w:val="-14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1</w:t>
            </w:r>
            <w:r>
              <w:rPr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，不再验证其他样品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6839" w:h="11906"/>
          <w:pgMar w:top="1012" w:right="1336" w:bottom="0" w:left="1327" w:header="0" w:footer="0" w:gutter="0"/>
          <w:pgNumType w:start="18"/>
          <w:cols w:space="708"/>
          <w:titlePg w:val="0"/>
        </w:sectPr>
      </w:pPr>
    </w:p>
    <w:p>
      <w:pPr>
        <w:spacing w:before="22"/>
      </w:pPr>
    </w:p>
    <w:p>
      <w:pPr>
        <w:spacing w:before="22"/>
      </w:pPr>
    </w:p>
    <w:tbl>
      <w:tblPr>
        <w:tblStyle w:val="TableNormal4"/>
        <w:tblW w:w="1416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6"/>
        <w:gridCol w:w="3352"/>
        <w:gridCol w:w="1053"/>
        <w:gridCol w:w="1605"/>
        <w:gridCol w:w="1005"/>
        <w:gridCol w:w="1005"/>
        <w:gridCol w:w="1291"/>
        <w:gridCol w:w="1575"/>
        <w:gridCol w:w="838"/>
        <w:gridCol w:w="899"/>
      </w:tblGrid>
      <w:tr>
        <w:tblPrEx>
          <w:tblW w:w="1416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59"/>
        </w:trPr>
        <w:tc>
          <w:tcPr>
            <w:tcW w:w="154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4" w:line="258" w:lineRule="auto"/>
              <w:ind w:left="112" w:right="44" w:hanging="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mL</w:t>
            </w:r>
            <w:r>
              <w:rPr>
                <w:spacing w:val="37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四氢呋喃和</w:t>
            </w:r>
            <w:r>
              <w:rPr>
                <w:rFonts w:ascii="SimSun" w:eastAsia="SimSun" w:hAnsi="SimSun" w:cs="SimSun"/>
                <w:spacing w:val="-56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 xml:space="preserve">40 mL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无水乙醇，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50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℃混合超声</w:t>
            </w:r>
            <w:r>
              <w:rPr>
                <w:rFonts w:ascii="SimSun" w:eastAsia="SimSun" w:hAnsi="SimSun" w:cs="SimSun"/>
                <w:spacing w:val="-22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1 min</w:t>
            </w:r>
            <w:r>
              <w:rPr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，冷却到室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温。加入</w:t>
            </w:r>
            <w:r>
              <w:rPr>
                <w:rFonts w:ascii="SimSun" w:eastAsia="SimSun" w:hAnsi="SimSun" w:cs="SimSun"/>
                <w:spacing w:val="-46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20 mL</w:t>
            </w:r>
            <w:r>
              <w:rPr>
                <w:spacing w:val="39"/>
                <w:w w:val="10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甲基叔丁基醚，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50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℃超声萃取</w:t>
            </w:r>
            <w:r>
              <w:rPr>
                <w:rFonts w:ascii="SimSun" w:eastAsia="SimSun" w:hAnsi="SimSun" w:cs="SimSun"/>
                <w:spacing w:val="-33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5min</w:t>
            </w:r>
            <w:r>
              <w:rPr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，再冷却至室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温用甲基叔丁基醚定容至刻度，</w:t>
            </w:r>
          </w:p>
          <w:p>
            <w:pPr>
              <w:spacing w:before="57" w:line="220" w:lineRule="auto"/>
              <w:ind w:left="11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摇匀得到测试液。</w:t>
            </w:r>
          </w:p>
        </w:tc>
        <w:tc>
          <w:tcPr>
            <w:tcW w:w="1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5" w:type="dxa"/>
            <w:vAlign w:val="top"/>
          </w:tcPr>
          <w:p>
            <w:pPr>
              <w:spacing w:before="54" w:line="222" w:lineRule="auto"/>
              <w:ind w:left="69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物</w:t>
            </w:r>
          </w:p>
        </w:tc>
        <w:tc>
          <w:tcPr>
            <w:tcW w:w="6613" w:type="dxa"/>
            <w:gridSpan w:val="6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69" w:type="dxa"/>
          <w:tblInd w:w="2" w:type="dxa"/>
          <w:tblLayout w:type="fixed"/>
        </w:tblPrEx>
        <w:trPr>
          <w:trHeight w:val="642"/>
        </w:trPr>
        <w:tc>
          <w:tcPr>
            <w:tcW w:w="15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vAlign w:val="top"/>
          </w:tcPr>
          <w:p>
            <w:pPr>
              <w:spacing w:before="49" w:line="319" w:lineRule="exact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position w:val="7"/>
                <w:sz w:val="22"/>
                <w:szCs w:val="22"/>
              </w:rPr>
              <w:t>检测结</w:t>
            </w:r>
          </w:p>
          <w:p>
            <w:pPr>
              <w:spacing w:before="1" w:line="220" w:lineRule="auto"/>
              <w:ind w:left="11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果</w:t>
            </w:r>
          </w:p>
        </w:tc>
        <w:tc>
          <w:tcPr>
            <w:tcW w:w="1605" w:type="dxa"/>
            <w:vAlign w:val="top"/>
          </w:tcPr>
          <w:p>
            <w:pPr>
              <w:pStyle w:val="TableText"/>
              <w:spacing w:before="245" w:line="189" w:lineRule="auto"/>
              <w:ind w:left="52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2.96%</w:t>
            </w:r>
          </w:p>
        </w:tc>
        <w:tc>
          <w:tcPr>
            <w:tcW w:w="6613" w:type="dxa"/>
            <w:gridSpan w:val="6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69" w:type="dxa"/>
          <w:tblInd w:w="2" w:type="dxa"/>
          <w:tblLayout w:type="fixed"/>
        </w:tblPrEx>
        <w:trPr>
          <w:trHeight w:val="2237"/>
        </w:trPr>
        <w:tc>
          <w:tcPr>
            <w:tcW w:w="15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1" w:line="319" w:lineRule="exact"/>
              <w:ind w:left="11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position w:val="7"/>
                <w:sz w:val="22"/>
                <w:szCs w:val="22"/>
              </w:rPr>
              <w:t>结论说</w:t>
            </w:r>
          </w:p>
          <w:p>
            <w:pPr>
              <w:spacing w:line="220" w:lineRule="auto"/>
              <w:ind w:left="13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明</w:t>
            </w:r>
          </w:p>
        </w:tc>
        <w:tc>
          <w:tcPr>
            <w:tcW w:w="1605" w:type="dxa"/>
            <w:vAlign w:val="top"/>
          </w:tcPr>
          <w:p>
            <w:pPr>
              <w:spacing w:before="50" w:line="220" w:lineRule="auto"/>
              <w:ind w:left="14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检测结果不到</w:t>
            </w:r>
          </w:p>
          <w:p>
            <w:pPr>
              <w:spacing w:before="57" w:line="220" w:lineRule="auto"/>
              <w:ind w:left="15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理论值且相差</w:t>
            </w:r>
          </w:p>
          <w:p>
            <w:pPr>
              <w:spacing w:before="56" w:line="221" w:lineRule="auto"/>
              <w:ind w:left="14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较大，甲基叔</w:t>
            </w:r>
          </w:p>
          <w:p>
            <w:pPr>
              <w:spacing w:before="55" w:line="222" w:lineRule="auto"/>
              <w:ind w:left="26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丁基醚沸点</w:t>
            </w:r>
          </w:p>
          <w:p>
            <w:pPr>
              <w:spacing w:before="54" w:line="221" w:lineRule="auto"/>
              <w:ind w:left="14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低、易挥发，</w:t>
            </w:r>
          </w:p>
          <w:p>
            <w:pPr>
              <w:spacing w:before="55" w:line="244" w:lineRule="auto"/>
              <w:ind w:left="589" w:right="247" w:hanging="32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该方法不适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用。</w:t>
            </w:r>
          </w:p>
        </w:tc>
        <w:tc>
          <w:tcPr>
            <w:tcW w:w="6613" w:type="dxa"/>
            <w:gridSpan w:val="6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69" w:type="dxa"/>
          <w:tblInd w:w="2" w:type="dxa"/>
          <w:tblLayout w:type="fixed"/>
        </w:tblPrEx>
        <w:trPr>
          <w:trHeight w:val="3193"/>
        </w:trPr>
        <w:tc>
          <w:tcPr>
            <w:tcW w:w="1546" w:type="dxa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48" w:lineRule="auto"/>
              <w:ind w:left="719" w:right="113" w:hanging="595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收集企业方法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3352" w:type="dxa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52" w:lineRule="auto"/>
              <w:ind w:left="114" w:right="105" w:hanging="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称取</w:t>
            </w:r>
            <w:r>
              <w:rPr>
                <w:rFonts w:ascii="SimSun" w:eastAsia="SimSun" w:hAnsi="SimSun" w:cs="SimSun"/>
                <w:spacing w:val="-58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 xml:space="preserve">0.01 g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左右样品于</w:t>
            </w:r>
            <w:r>
              <w:rPr>
                <w:rFonts w:ascii="SimSun" w:eastAsia="SimSun" w:hAnsi="SimSun" w:cs="SimSun"/>
                <w:spacing w:val="-61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 xml:space="preserve">50ml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塑料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离心管内，加入</w:t>
            </w:r>
            <w:r>
              <w:rPr>
                <w:rFonts w:ascii="SimSun" w:eastAsia="SimSun" w:hAnsi="SimSun" w:cs="SimSun"/>
                <w:spacing w:val="-38"/>
                <w:sz w:val="22"/>
                <w:szCs w:val="22"/>
              </w:rPr>
              <w:t xml:space="preserve"> </w:t>
            </w:r>
            <w:r>
              <w:rPr>
                <w:spacing w:val="-10"/>
                <w:sz w:val="22"/>
                <w:szCs w:val="22"/>
              </w:rPr>
              <w:t>10 ml</w:t>
            </w:r>
            <w:r>
              <w:rPr>
                <w:spacing w:val="-1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温度为</w:t>
            </w:r>
            <w:r>
              <w:rPr>
                <w:rFonts w:ascii="SimSun" w:eastAsia="SimSun" w:hAnsi="SimSun" w:cs="SimSun"/>
                <w:spacing w:val="-66"/>
                <w:sz w:val="22"/>
                <w:szCs w:val="22"/>
              </w:rPr>
              <w:t xml:space="preserve"> </w:t>
            </w:r>
            <w:r>
              <w:rPr>
                <w:spacing w:val="-10"/>
                <w:sz w:val="22"/>
                <w:szCs w:val="22"/>
              </w:rPr>
              <w:t>50</w:t>
            </w: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℃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的温水，盖好盖子超声</w:t>
            </w:r>
            <w:r>
              <w:rPr>
                <w:rFonts w:ascii="SimSun" w:eastAsia="SimSun" w:hAnsi="SimSun" w:cs="SimSun"/>
                <w:spacing w:val="-5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20 min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，</w:t>
            </w:r>
          </w:p>
          <w:p>
            <w:pPr>
              <w:pStyle w:val="TableText"/>
              <w:spacing w:before="56" w:line="258" w:lineRule="auto"/>
              <w:ind w:left="111" w:right="4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每</w:t>
            </w:r>
            <w:r>
              <w:rPr>
                <w:rFonts w:ascii="SimSun" w:eastAsia="SimSun" w:hAnsi="SimSun" w:cs="SimSun"/>
                <w:spacing w:val="-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5 min</w:t>
            </w: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摇匀一次，冷却至室温，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>加入</w:t>
            </w:r>
            <w:r>
              <w:rPr>
                <w:rFonts w:ascii="SimSun" w:eastAsia="SimSun" w:hAnsi="SimSun" w:cs="SimSun"/>
                <w:spacing w:val="-48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 xml:space="preserve">20 </w:t>
            </w:r>
            <w:r>
              <w:rPr>
                <w:sz w:val="22"/>
                <w:szCs w:val="22"/>
              </w:rPr>
              <w:t>mLBHT</w:t>
            </w:r>
            <w:r>
              <w:rPr>
                <w:spacing w:val="1"/>
                <w:sz w:val="22"/>
                <w:szCs w:val="22"/>
              </w:rPr>
              <w:t>-</w:t>
            </w:r>
            <w:r>
              <w:rPr>
                <w:rFonts w:ascii="SimSun" w:eastAsia="SimSun" w:hAnsi="SimSun" w:cs="SimSun"/>
                <w:spacing w:val="1"/>
                <w:sz w:val="22"/>
                <w:szCs w:val="22"/>
              </w:rPr>
              <w:t>二氯甲烷溶液。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涡旋</w:t>
            </w:r>
            <w:r>
              <w:rPr>
                <w:rFonts w:ascii="SimSun" w:eastAsia="SimSun" w:hAnsi="SimSun" w:cs="SimSun"/>
                <w:spacing w:val="-2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 min</w:t>
            </w:r>
            <w:r>
              <w:rPr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，然后</w:t>
            </w:r>
            <w:r>
              <w:rPr>
                <w:rFonts w:ascii="SimSun" w:eastAsia="SimSun" w:hAnsi="SimSun" w:cs="SimSun"/>
                <w:spacing w:val="-5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4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℃、</w:t>
            </w:r>
            <w:r>
              <w:rPr>
                <w:spacing w:val="-3"/>
                <w:sz w:val="22"/>
                <w:szCs w:val="22"/>
              </w:rPr>
              <w:t>2000 r</w:t>
            </w:r>
            <w:r>
              <w:rPr>
                <w:spacing w:val="-4"/>
                <w:sz w:val="22"/>
                <w:szCs w:val="22"/>
              </w:rPr>
              <w:t xml:space="preserve">pm 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离心</w:t>
            </w:r>
            <w:r>
              <w:rPr>
                <w:rFonts w:ascii="SimSun" w:eastAsia="SimSun" w:hAnsi="SimSun" w:cs="SimSun"/>
                <w:spacing w:val="-43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5 min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。去掉水层，取二氯甲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2"/>
                <w:szCs w:val="22"/>
              </w:rPr>
              <w:t>烷层定容，待测。</w:t>
            </w:r>
          </w:p>
        </w:tc>
        <w:tc>
          <w:tcPr>
            <w:tcW w:w="105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2" w:line="319" w:lineRule="exact"/>
              <w:ind w:left="11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6"/>
                <w:position w:val="7"/>
                <w:sz w:val="22"/>
                <w:szCs w:val="22"/>
              </w:rPr>
              <w:t>处理状</w:t>
            </w:r>
          </w:p>
          <w:p>
            <w:pPr>
              <w:spacing w:line="222" w:lineRule="auto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2"/>
                <w:szCs w:val="22"/>
              </w:rPr>
              <w:t>态描述</w:t>
            </w:r>
          </w:p>
        </w:tc>
        <w:tc>
          <w:tcPr>
            <w:tcW w:w="1605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16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需去掉的水层</w:t>
            </w:r>
          </w:p>
          <w:p>
            <w:pPr>
              <w:spacing w:before="57" w:line="220" w:lineRule="auto"/>
              <w:ind w:left="27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中仍要有颜</w:t>
            </w:r>
          </w:p>
          <w:p>
            <w:pPr>
              <w:spacing w:before="54" w:line="220" w:lineRule="auto"/>
              <w:ind w:left="15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色，萃取不完</w:t>
            </w:r>
          </w:p>
          <w:p>
            <w:pPr>
              <w:spacing w:before="57" w:line="220" w:lineRule="auto"/>
              <w:ind w:left="25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全，需使用</w:t>
            </w:r>
          </w:p>
          <w:p>
            <w:pPr>
              <w:pStyle w:val="TableText"/>
              <w:spacing w:before="56" w:line="221" w:lineRule="auto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BHT</w:t>
            </w:r>
            <w:r>
              <w:rPr>
                <w:spacing w:val="16"/>
                <w:w w:val="10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二氯甲烷</w:t>
            </w:r>
          </w:p>
          <w:p>
            <w:pPr>
              <w:pStyle w:val="TableText"/>
              <w:spacing w:before="56" w:line="220" w:lineRule="auto"/>
              <w:ind w:left="27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萃取</w:t>
            </w:r>
            <w:r>
              <w:rPr>
                <w:rFonts w:ascii="SimSun" w:eastAsia="SimSun" w:hAnsi="SimSun" w:cs="SimSun"/>
                <w:spacing w:val="-4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3-4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次</w:t>
            </w:r>
          </w:p>
        </w:tc>
        <w:tc>
          <w:tcPr>
            <w:tcW w:w="1005" w:type="dxa"/>
            <w:vAlign w:val="top"/>
          </w:tcPr>
          <w:p>
            <w:pPr>
              <w:spacing w:before="52" w:line="220" w:lineRule="auto"/>
              <w:ind w:left="19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需去掉</w:t>
            </w:r>
          </w:p>
          <w:p>
            <w:pPr>
              <w:spacing w:before="57" w:line="220" w:lineRule="auto"/>
              <w:ind w:left="19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9"/>
                <w:sz w:val="22"/>
                <w:szCs w:val="22"/>
              </w:rPr>
              <w:t>的水层</w:t>
            </w:r>
          </w:p>
          <w:p>
            <w:pPr>
              <w:spacing w:before="57" w:line="220" w:lineRule="auto"/>
              <w:ind w:left="19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中仍要</w:t>
            </w:r>
          </w:p>
          <w:p>
            <w:pPr>
              <w:spacing w:before="56" w:line="221" w:lineRule="auto"/>
              <w:ind w:right="15"/>
              <w:jc w:val="right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有颜色，</w:t>
            </w:r>
          </w:p>
          <w:p>
            <w:pPr>
              <w:spacing w:before="53" w:line="220" w:lineRule="auto"/>
              <w:ind w:left="17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萃取不</w:t>
            </w:r>
          </w:p>
          <w:p>
            <w:pPr>
              <w:spacing w:before="57" w:line="220" w:lineRule="auto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0"/>
                <w:sz w:val="22"/>
                <w:szCs w:val="22"/>
              </w:rPr>
              <w:t>完全，需</w:t>
            </w:r>
          </w:p>
          <w:p>
            <w:pPr>
              <w:pStyle w:val="TableText"/>
              <w:spacing w:before="56" w:line="222" w:lineRule="auto"/>
              <w:ind w:left="153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用</w:t>
            </w:r>
            <w:r>
              <w:rPr>
                <w:rFonts w:ascii="SimSun" w:eastAsia="SimSun" w:hAnsi="SimSun" w:cs="SimSun"/>
                <w:spacing w:val="-54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BHT</w:t>
            </w:r>
          </w:p>
          <w:p>
            <w:pPr>
              <w:spacing w:before="55" w:line="222" w:lineRule="auto"/>
              <w:ind w:left="18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二氯甲</w:t>
            </w:r>
          </w:p>
          <w:p>
            <w:pPr>
              <w:spacing w:before="55" w:line="220" w:lineRule="auto"/>
              <w:ind w:left="17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烷萃取</w:t>
            </w:r>
          </w:p>
          <w:p>
            <w:pPr>
              <w:pStyle w:val="TableText"/>
              <w:spacing w:before="57" w:line="218" w:lineRule="auto"/>
              <w:ind w:left="22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5-6</w:t>
            </w:r>
            <w:r>
              <w:rPr>
                <w:spacing w:val="14"/>
                <w:w w:val="10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次</w:t>
            </w:r>
          </w:p>
        </w:tc>
        <w:tc>
          <w:tcPr>
            <w:tcW w:w="1005" w:type="dxa"/>
            <w:vAlign w:val="top"/>
          </w:tcPr>
          <w:p>
            <w:pPr>
              <w:spacing w:before="52" w:line="220" w:lineRule="auto"/>
              <w:ind w:left="19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需去掉</w:t>
            </w:r>
          </w:p>
          <w:p>
            <w:pPr>
              <w:spacing w:before="57" w:line="220" w:lineRule="auto"/>
              <w:ind w:left="19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9"/>
                <w:sz w:val="22"/>
                <w:szCs w:val="22"/>
              </w:rPr>
              <w:t>的水层</w:t>
            </w:r>
          </w:p>
          <w:p>
            <w:pPr>
              <w:spacing w:before="57" w:line="220" w:lineRule="auto"/>
              <w:ind w:left="19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中仍要</w:t>
            </w:r>
          </w:p>
          <w:p>
            <w:pPr>
              <w:spacing w:before="56" w:line="221" w:lineRule="auto"/>
              <w:ind w:right="14"/>
              <w:jc w:val="right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有颜色，</w:t>
            </w:r>
          </w:p>
          <w:p>
            <w:pPr>
              <w:spacing w:before="53" w:line="220" w:lineRule="auto"/>
              <w:ind w:left="17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萃取不</w:t>
            </w:r>
          </w:p>
          <w:p>
            <w:pPr>
              <w:spacing w:before="57" w:line="220" w:lineRule="auto"/>
              <w:ind w:left="115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1"/>
                <w:sz w:val="22"/>
                <w:szCs w:val="22"/>
              </w:rPr>
              <w:t>完全，需</w:t>
            </w:r>
          </w:p>
          <w:p>
            <w:pPr>
              <w:pStyle w:val="TableText"/>
              <w:spacing w:before="56" w:line="222" w:lineRule="auto"/>
              <w:ind w:left="153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用</w:t>
            </w:r>
            <w:r>
              <w:rPr>
                <w:rFonts w:ascii="SimSun" w:eastAsia="SimSun" w:hAnsi="SimSun" w:cs="SimSun"/>
                <w:spacing w:val="-52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BHT</w:t>
            </w:r>
          </w:p>
          <w:p>
            <w:pPr>
              <w:spacing w:before="55" w:line="222" w:lineRule="auto"/>
              <w:ind w:left="182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二氯甲</w:t>
            </w:r>
          </w:p>
          <w:p>
            <w:pPr>
              <w:spacing w:before="55" w:line="220" w:lineRule="auto"/>
              <w:ind w:left="17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烷萃取</w:t>
            </w:r>
          </w:p>
          <w:p>
            <w:pPr>
              <w:pStyle w:val="TableText"/>
              <w:spacing w:before="57" w:line="218" w:lineRule="auto"/>
              <w:ind w:left="22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5-6</w:t>
            </w:r>
            <w:r>
              <w:rPr>
                <w:spacing w:val="14"/>
                <w:w w:val="10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次</w:t>
            </w:r>
          </w:p>
        </w:tc>
        <w:tc>
          <w:tcPr>
            <w:tcW w:w="1291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60" w:lineRule="auto"/>
              <w:ind w:left="114" w:right="102" w:firstLine="110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需去掉的</w:t>
            </w:r>
            <w:r>
              <w:rPr>
                <w:rFonts w:ascii="SimSun" w:eastAsia="SimSun" w:hAnsi="SimSun" w:cs="SimSun"/>
                <w:sz w:val="22"/>
                <w:szCs w:val="22"/>
              </w:rPr>
              <w:t xml:space="preserve">  </w:t>
            </w:r>
            <w:r>
              <w:rPr>
                <w:rFonts w:ascii="SimSun" w:eastAsia="SimSun" w:hAnsi="SimSun" w:cs="SimSun"/>
                <w:spacing w:val="19"/>
                <w:sz w:val="22"/>
                <w:szCs w:val="22"/>
              </w:rPr>
              <w:t xml:space="preserve">水层中仍 </w:t>
            </w: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要有颜色，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22"/>
                <w:szCs w:val="22"/>
              </w:rPr>
              <w:t xml:space="preserve">萃取不完 </w:t>
            </w:r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全，需使用</w:t>
            </w:r>
            <w:r>
              <w:rPr>
                <w:rFonts w:ascii="SimSun" w:eastAsia="SimSun" w:hAnsi="SimSun" w:cs="SimSun"/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BHT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2"/>
                <w:szCs w:val="22"/>
              </w:rPr>
              <w:t>二氯</w:t>
            </w:r>
          </w:p>
          <w:p>
            <w:pPr>
              <w:pStyle w:val="TableText"/>
              <w:spacing w:before="55" w:line="244" w:lineRule="auto"/>
              <w:ind w:left="368" w:right="200" w:hanging="12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甲烷萃取</w:t>
            </w:r>
            <w:r>
              <w:rPr>
                <w:rFonts w:ascii="SimSun" w:eastAsia="SimSun" w:hAnsi="SimSun" w:cs="SimSun"/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3-4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次</w:t>
            </w:r>
          </w:p>
        </w:tc>
        <w:tc>
          <w:tcPr>
            <w:tcW w:w="157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14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需去掉的水层</w:t>
            </w:r>
          </w:p>
          <w:p>
            <w:pPr>
              <w:spacing w:before="57" w:line="220" w:lineRule="auto"/>
              <w:ind w:left="26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中仍要有颜</w:t>
            </w:r>
          </w:p>
          <w:p>
            <w:pPr>
              <w:spacing w:before="57" w:line="220" w:lineRule="auto"/>
              <w:ind w:left="13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色，萃取不完</w:t>
            </w:r>
          </w:p>
          <w:p>
            <w:pPr>
              <w:spacing w:before="57" w:line="220" w:lineRule="auto"/>
              <w:ind w:left="13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全，需反复萃</w:t>
            </w:r>
          </w:p>
          <w:p>
            <w:pPr>
              <w:pStyle w:val="TableText"/>
              <w:spacing w:before="57" w:line="220" w:lineRule="auto"/>
              <w:ind w:left="376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取</w:t>
            </w:r>
            <w:r>
              <w:rPr>
                <w:rFonts w:ascii="SimSun" w:eastAsia="SimSun" w:hAnsi="SimSun" w:cs="SimSun"/>
                <w:spacing w:val="-45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6-7</w:t>
            </w:r>
            <w:r>
              <w:rPr>
                <w:spacing w:val="15"/>
                <w:w w:val="101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2"/>
                <w:szCs w:val="22"/>
              </w:rPr>
              <w:t>次</w:t>
            </w:r>
          </w:p>
        </w:tc>
        <w:tc>
          <w:tcPr>
            <w:tcW w:w="83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05" w:lineRule="exact"/>
              <w:ind w:left="39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105" w:lineRule="exact"/>
              <w:ind w:left="418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-</w:t>
            </w:r>
          </w:p>
        </w:tc>
      </w:tr>
    </w:tbl>
    <w:p>
      <w:pPr>
        <w:sectPr>
          <w:pgSz w:w="16839" w:h="11906"/>
          <w:pgMar w:top="1012" w:right="1336" w:bottom="0" w:left="1327" w:header="0" w:footer="0" w:gutter="0"/>
          <w:pgNumType w:start="19"/>
          <w:cols w:space="708"/>
        </w:sectPr>
      </w:pPr>
    </w:p>
    <w:tbl>
      <w:tblPr>
        <w:tblStyle w:val="TableNormal5"/>
        <w:tblW w:w="1416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6"/>
        <w:gridCol w:w="3352"/>
        <w:gridCol w:w="1053"/>
        <w:gridCol w:w="1605"/>
        <w:gridCol w:w="1005"/>
        <w:gridCol w:w="1005"/>
        <w:gridCol w:w="1291"/>
        <w:gridCol w:w="1575"/>
        <w:gridCol w:w="838"/>
        <w:gridCol w:w="899"/>
      </w:tblGrid>
      <w:tr>
        <w:tblPrEx>
          <w:tblW w:w="1416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5"/>
        </w:trPr>
        <w:tc>
          <w:tcPr>
            <w:tcW w:w="1546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2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vAlign w:val="top"/>
          </w:tcPr>
          <w:p>
            <w:pPr>
              <w:spacing w:before="53" w:line="319" w:lineRule="exact"/>
              <w:ind w:left="114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position w:val="7"/>
                <w:sz w:val="22"/>
                <w:szCs w:val="22"/>
              </w:rPr>
              <w:t>检测结</w:t>
            </w:r>
          </w:p>
          <w:p>
            <w:pPr>
              <w:spacing w:before="1" w:line="219" w:lineRule="auto"/>
              <w:ind w:left="11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2"/>
                <w:szCs w:val="22"/>
              </w:rPr>
              <w:t>果</w:t>
            </w:r>
          </w:p>
        </w:tc>
        <w:tc>
          <w:tcPr>
            <w:tcW w:w="1605" w:type="dxa"/>
            <w:vAlign w:val="top"/>
          </w:tcPr>
          <w:p>
            <w:pPr>
              <w:pStyle w:val="TableText"/>
              <w:spacing w:before="53" w:line="244" w:lineRule="auto"/>
              <w:ind w:left="117" w:right="103" w:hanging="9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2.95%</w:t>
            </w: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（萃取</w:t>
            </w:r>
            <w:r>
              <w:rPr>
                <w:rFonts w:ascii="SimSun" w:eastAsia="SimSun" w:hAnsi="SimSun" w:cs="SimSun"/>
                <w:spacing w:val="-26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2"/>
                <w:szCs w:val="22"/>
              </w:rPr>
              <w:t>次）</w:t>
            </w:r>
            <w:r>
              <w:rPr>
                <w:spacing w:val="-16"/>
                <w:sz w:val="22"/>
                <w:szCs w:val="22"/>
              </w:rPr>
              <w:t>/5.</w:t>
            </w:r>
            <w:r>
              <w:rPr>
                <w:spacing w:val="-28"/>
                <w:sz w:val="22"/>
                <w:szCs w:val="22"/>
              </w:rPr>
              <w:t xml:space="preserve"> </w:t>
            </w:r>
            <w:r>
              <w:rPr>
                <w:spacing w:val="-16"/>
                <w:sz w:val="22"/>
                <w:szCs w:val="22"/>
              </w:rPr>
              <w:t>11%</w:t>
            </w:r>
            <w:r>
              <w:rPr>
                <w:rFonts w:ascii="SimSun" w:eastAsia="SimSun" w:hAnsi="SimSun" w:cs="SimSun"/>
                <w:spacing w:val="-16"/>
                <w:sz w:val="22"/>
                <w:szCs w:val="22"/>
              </w:rPr>
              <w:t>（多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250" w:line="189" w:lineRule="auto"/>
              <w:ind w:left="185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11.84%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spacing w:before="250" w:line="189" w:lineRule="auto"/>
              <w:ind w:left="21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4.76%</w:t>
            </w:r>
          </w:p>
        </w:tc>
        <w:tc>
          <w:tcPr>
            <w:tcW w:w="1291" w:type="dxa"/>
            <w:vAlign w:val="top"/>
          </w:tcPr>
          <w:p>
            <w:pPr>
              <w:pStyle w:val="TableText"/>
              <w:spacing w:before="250" w:line="189" w:lineRule="auto"/>
              <w:ind w:left="36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9.44%</w:t>
            </w:r>
          </w:p>
        </w:tc>
        <w:tc>
          <w:tcPr>
            <w:tcW w:w="1575" w:type="dxa"/>
            <w:vAlign w:val="top"/>
          </w:tcPr>
          <w:p>
            <w:pPr>
              <w:pStyle w:val="TableText"/>
              <w:spacing w:before="250" w:line="189" w:lineRule="auto"/>
              <w:ind w:left="51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8.29%</w:t>
            </w:r>
          </w:p>
        </w:tc>
        <w:tc>
          <w:tcPr>
            <w:tcW w:w="83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3" w:line="106" w:lineRule="exact"/>
              <w:ind w:left="39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3" w:line="106" w:lineRule="exact"/>
              <w:ind w:left="418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-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https://d.book118.com/516100102154010034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type w:val="nextPage"/>
      <w:pgSz w:w="16839" w:h="11906"/>
      <w:pgMar w:top="1012" w:right="1336" w:bottom="0" w:left="1327" w:header="0" w:footer="0" w:gutter="0"/>
      <w:pgNumType w:start="2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1610010215401003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2024-01-16T19:19:21Z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2024-01-16T19:19:26Z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65a6663583b9c4001f71b0fewl</vt:lpwstr>
  </property>
</Properties>
</file>