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ffffff">
    <v:background id="_x0000_s1025" w:themeColor="background1" filled="t"/>
  </w:background>
  <w:body>
    <w:p w:rsidR="00451109" w:rsidRPr="00C05B00" w:rsidP="00451109" w14:paraId="58911516" w14:textId="77777777">
      <w:pPr>
        <w:jc w:val="center"/>
        <w:rPr>
          <w:rFonts w:ascii="微软雅黑" w:eastAsia="微软雅黑" w:hAnsi="微软雅黑" w:cs="宋体"/>
          <w:color w:val="000000"/>
          <w:kern w:val="0"/>
          <w:sz w:val="27"/>
          <w:szCs w:val="27"/>
        </w:rPr>
      </w:pPr>
      <w:r w:rsidRPr="00C05B00">
        <w:rPr>
          <w:rFonts w:ascii="微软雅黑" w:eastAsia="微软雅黑" w:hAnsi="微软雅黑" w:cs="宋体"/>
          <w:color w:val="000000"/>
          <w:kern w:val="0"/>
          <w:sz w:val="27"/>
          <w:szCs w:val="27"/>
        </w:rPr>
        <w:t>(中级)个人贷款判断题大全(一)</w:t>
      </w:r>
    </w:p>
    <w:p w:rsidR="00A900F2" w:rsidRPr="00C05B00" w:rsidP="00AD2E26" w14:paraId="76778D48" w14:textId="79A8E512">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总分</w:t>
      </w:r>
      <w:r w:rsidRPr="00C05B00" w:rsidR="00AD2E26">
        <w:rPr>
          <w:rFonts w:ascii="微软雅黑" w:eastAsia="微软雅黑" w:hAnsi="微软雅黑" w:hint="eastAsia"/>
          <w:color w:val="7F7F7F" w:themeColor="text1" w:themeTint="80"/>
          <w:sz w:val="24"/>
          <w:szCs w:val="24"/>
        </w:rPr>
        <w:t>：</w:t>
      </w:r>
      <w:r w:rsidRPr="00C05B00" w:rsidR="00CD0BD1">
        <w:rPr>
          <w:rFonts w:ascii="微软雅黑" w:eastAsia="微软雅黑" w:hAnsi="微软雅黑"/>
          <w:color w:val="7F7F7F" w:themeColor="text1" w:themeTint="80"/>
          <w:sz w:val="24"/>
          <w:szCs w:val="24"/>
        </w:rPr>
        <w:t>100</w:t>
      </w:r>
      <w:r w:rsidRPr="00C05B00" w:rsidR="003C7C42">
        <w:rPr>
          <w:rFonts w:ascii="微软雅黑" w:eastAsia="微软雅黑" w:hAnsi="微软雅黑" w:hint="eastAsia"/>
          <w:color w:val="7F7F7F" w:themeColor="text1" w:themeTint="80"/>
          <w:sz w:val="24"/>
          <w:szCs w:val="24"/>
        </w:rPr>
        <w:t>分</w:t>
      </w:r>
      <w:r w:rsidRPr="00C05B00" w:rsidR="00EC0A6F">
        <w:rPr>
          <w:rFonts w:ascii="微软雅黑" w:eastAsia="微软雅黑" w:hAnsi="微软雅黑"/>
          <w:color w:val="7F7F7F" w:themeColor="text1" w:themeTint="80"/>
          <w:sz w:val="24"/>
          <w:szCs w:val="24"/>
        </w:rPr>
        <w:tab/>
      </w:r>
      <w:r w:rsidRPr="00C05B00" w:rsidR="00457843">
        <w:rPr>
          <w:rFonts w:ascii="微软雅黑" w:eastAsia="微软雅黑" w:hAnsi="微软雅黑"/>
          <w:color w:val="7F7F7F" w:themeColor="text1" w:themeTint="80"/>
          <w:sz w:val="24"/>
          <w:szCs w:val="24"/>
        </w:rPr>
        <w:t xml:space="preserve">      </w:t>
      </w:r>
      <w:r w:rsidRPr="00C05B00" w:rsidR="00457843">
        <w:rPr>
          <w:rFonts w:ascii="微软雅黑" w:eastAsia="微软雅黑" w:hAnsi="微软雅黑" w:hint="eastAsia"/>
          <w:color w:val="7F7F7F" w:themeColor="text1" w:themeTint="80"/>
          <w:sz w:val="24"/>
          <w:szCs w:val="24"/>
        </w:rPr>
        <w:t>考试时间：</w:t>
      </w:r>
      <w:r w:rsidRPr="00C05B00" w:rsidR="00457843">
        <w:rPr>
          <w:rFonts w:ascii="微软雅黑" w:eastAsia="微软雅黑" w:hAnsi="微软雅黑"/>
          <w:color w:val="7F7F7F" w:themeColor="text1" w:themeTint="80"/>
          <w:sz w:val="24"/>
          <w:szCs w:val="24"/>
        </w:rPr>
        <w:t>90</w:t>
      </w:r>
      <w:r w:rsidRPr="00C05B00" w:rsidR="00457843">
        <w:rPr>
          <w:rFonts w:ascii="微软雅黑" w:eastAsia="微软雅黑" w:hAnsi="微软雅黑" w:hint="eastAsia"/>
          <w:color w:val="7F7F7F" w:themeColor="text1" w:themeTint="80"/>
          <w:sz w:val="24"/>
          <w:szCs w:val="24"/>
        </w:rPr>
        <w:t>分钟</w:t>
      </w:r>
    </w:p>
    <w:p w:rsidR="000D00B8" w:rsidRPr="00C05B00" w:rsidP="00AD2E26" w14:paraId="44F6D394" w14:textId="6D0CC4C0">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注意事项：</w:t>
      </w:r>
    </w:p>
    <w:p w:rsidR="001D5875" w:rsidRPr="00C05B00" w:rsidP="00F7033B" w14:paraId="4208D232"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考试前，除必要的直尺、橡皮、圆规、三角板等文具用品外，必须特别准备好0.5毫米的黑色墨水签字笔和2B铅笔。</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不得在答卷纸或答题卡上任意涂画或作标记。</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考试结束后，不要将试卷、草稿纸或其它物品夹在答题卡中。</w:t>
      </w:r>
    </w:p>
    <w:p w:rsidR="00513A70" w:rsidRPr="00C05B00" w:rsidP="00B841D5" w14:paraId="00477ACF" w14:textId="66142440">
      <w:pPr>
        <w:pStyle w:val="Heading2"/>
        <w:spacing w:before="0" w:after="0"/>
        <w:rPr>
          <w:rFonts w:ascii="微软雅黑" w:eastAsia="微软雅黑" w:hAnsi="微软雅黑"/>
          <w:sz w:val="28"/>
          <w:szCs w:val="28"/>
        </w:rPr>
      </w:pPr>
      <w:r w:rsidRPr="00C05B00">
        <w:rPr>
          <w:rFonts w:ascii="微软雅黑" w:eastAsia="微软雅黑" w:hAnsi="微软雅黑" w:hint="eastAsia"/>
          <w:sz w:val="28"/>
          <w:szCs w:val="28"/>
        </w:rPr>
        <w:t>一</w:t>
      </w:r>
      <w:r w:rsidRPr="00C05B00">
        <w:rPr>
          <w:rFonts w:ascii="微软雅黑" w:eastAsia="微软雅黑" w:hAnsi="微软雅黑" w:hint="eastAsia"/>
          <w:sz w:val="28"/>
          <w:szCs w:val="28"/>
        </w:rPr>
        <w:t>、判断题</w:t>
      </w:r>
      <w:r w:rsidRPr="00C05B00">
        <w:rPr>
          <w:rFonts w:ascii="微软雅黑" w:eastAsia="微软雅黑" w:hAnsi="微软雅黑" w:hint="eastAsia"/>
          <w:b w:val="0"/>
          <w:bCs w:val="0"/>
          <w:sz w:val="28"/>
          <w:szCs w:val="28"/>
        </w:rPr>
        <w:t>（每小题</w:t>
      </w:r>
      <w:r w:rsidRPr="00C05B00">
        <w:rPr>
          <w:rFonts w:ascii="微软雅黑" w:eastAsia="微软雅黑" w:hAnsi="微软雅黑"/>
          <w:b w:val="0"/>
          <w:bCs w:val="0"/>
          <w:sz w:val="28"/>
          <w:szCs w:val="28"/>
        </w:rPr>
        <w:t xml:space="preserve">2.5 </w:t>
      </w:r>
      <w:r w:rsidRPr="00C05B00">
        <w:rPr>
          <w:rFonts w:ascii="微软雅黑" w:eastAsia="微软雅黑" w:hAnsi="微软雅黑" w:hint="eastAsia"/>
          <w:b w:val="0"/>
          <w:bCs w:val="0"/>
          <w:sz w:val="28"/>
          <w:szCs w:val="28"/>
        </w:rPr>
        <w:t xml:space="preserve">分，共 </w:t>
      </w:r>
      <w:r w:rsidRPr="00C05B00">
        <w:rPr>
          <w:rFonts w:ascii="微软雅黑" w:eastAsia="微软雅黑" w:hAnsi="微软雅黑"/>
          <w:b w:val="0"/>
          <w:bCs w:val="0"/>
          <w:sz w:val="28"/>
          <w:szCs w:val="28"/>
        </w:rPr>
        <w:t>100</w:t>
      </w:r>
      <w:r w:rsidRPr="00C05B00">
        <w:rPr>
          <w:rFonts w:ascii="微软雅黑" w:eastAsia="微软雅黑" w:hAnsi="微软雅黑" w:hint="eastAsia"/>
          <w:b w:val="0"/>
          <w:bCs w:val="0"/>
          <w:sz w:val="28"/>
          <w:szCs w:val="28"/>
        </w:rPr>
        <w:t>分）</w:t>
      </w:r>
      <w:r w:rsidRPr="00F95114">
        <w:rPr>
          <w:rFonts w:ascii="微软雅黑" w:eastAsia="微软雅黑" w:hAnsi="微软雅黑" w:hint="eastAsia"/>
          <w:sz w:val="24"/>
          <w:szCs w:val="24"/>
        </w:rPr>
        <w:t xml:space="preserve"> </w:t>
      </w:r>
      <w:r w:rsidRPr="00F95114">
        <w:rPr>
          <w:rFonts w:ascii="微软雅黑" w:eastAsia="微软雅黑" w:hAnsi="微软雅黑" w:hint="eastAsia"/>
          <w:sz w:val="24"/>
          <w:szCs w:val="24"/>
        </w:rPr>
        <w:t xml:space="preserve"> </w:t>
      </w:r>
    </w:p>
    <w:p w:rsidR="00513A70" w:rsidRPr="00F95114" w:rsidP="00F95114" w14:paraId="62A9C84F"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在二手房交易中，个人所得税按个人转让住房收入减去房屋原值和转让住房过程中缴纳的税金及有关合理费用后差额的20％计征：不能提供合法扣除凭证的，普通住房按销售额的1％计征，非普通住房按销售额的2％计征。</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paraId="1080037D"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2、借记卡除具备存款、取款、转账汇款、消费等一般功能外，还具有透支功能。</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paraId="77A8598A"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信用卡除具备借记卡的存款、取款、转账汇款、消费等一般功能外，还具有透支功能。“透支”指持卡人使用发卡银行为其核定的信用卡额度进行支付的方式，包括消费透支、分期付款、取现透支、转账透支、透支扣收等。</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3、银行营销渠道是指提供银行服务和方便客户使用银行服务的各种手段，即银行产品和服务从银行流转到客户手中所经过的流通途径。</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cols w:space="425"/>
          <w:docGrid w:type="lines" w:linePitch="312"/>
        </w:sectPr>
      </w:pPr>
      <w:r w:rsidRPr="00F95114">
        <w:rPr>
          <w:rFonts w:ascii="微软雅黑" w:eastAsia="微软雅黑" w:hAnsi="微软雅黑" w:hint="eastAsia"/>
          <w:sz w:val="24"/>
          <w:szCs w:val="24"/>
        </w:rPr>
        <w:t>（ ）</w:t>
      </w:r>
      <w:r w:rsidRPr="00F95114">
        <w:rPr>
          <w:rFonts w:ascii="微软雅黑" w:eastAsia="微软雅黑" w:hAnsi="微软雅黑"/>
          <w:sz w:val="24"/>
          <w:szCs w:val="24"/>
        </w:rPr>
        <w:t>4、个人贷款的对象包括自然人和法人。</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个人贷款的对象仅限于自然人，而不包括法人。合格的个人贷款申请人必须是具有完全民事行为能力的人。</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5、个人贷款不可以展期。</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经贷款人同意，个人贷款可以展期。</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6、根据发展的需要，银行可以有多种市场定位策略，但是竞争定位策略与联盟定位策略存在明显的冲突，不能同时使用。</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根据发展的需要，银行可以有多种市场定位策略，这些定位策略涉及银行经营的不同方面，但它们之间并不矛盾，可以同时并存。</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7、个人住房贷款的借款人可以根据需要选择还款方法，但是一笔借款合同只能选择一种还款方法。</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个人住房贷款的借款人可以根据需要选择还款方法，但是一笔借款合同只能选择一种还款方法，贷款合同签订后，未经贷款银行同意，不得更改还款方式。</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8、原则上，个人经营贷款的抵押手续应完全交由外部中介机构办理。</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原则上，个人经营贷款银行经办人员应直接参与抵押手续的办理，不可完全交由外部中介机构办理。</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
          <w:cols w:space="425"/>
          <w:titlePg w:val="0"/>
          <w:docGrid w:type="lines" w:linePitch="312"/>
        </w:sectPr>
      </w:pPr>
      <w:r w:rsidRPr="00F95114">
        <w:rPr>
          <w:rFonts w:ascii="微软雅黑" w:eastAsia="微软雅黑" w:hAnsi="微软雅黑" w:hint="eastAsia"/>
          <w:sz w:val="24"/>
          <w:szCs w:val="24"/>
        </w:rPr>
        <w:t>（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9、一般来说，贷款期限在1年以内(含1年)的个人贷款实行合同利率，遇法定利率调整不分段计息，执行原合同利率。</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一般来说，贷款期限在1年以内(含1年)的实行合同利率，遇法定利率调整不分段计息，执行原合同利率；贷款期限在1年以上的，合同期内遇法定利率调整时，可由借贷双方按商业原则确定，可在合同期间按月、按季、按年调整，也可采用固定利率的确定方式。</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10、信用卡及其账户除了经发卡银行批准的持卡人本人使用，还可以出租和转借。</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信用卡及其账户只限经发卡银行批准的持卡人本人使用，不得出租和转借。</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11、银行接受的押品具有财产价值，并可依法转让变现。</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具有财产价值，并可依法转让变现是银行接受的押品应符合的基本底线要求。</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12、诚信、自信心、豁达大度、坚韧性和进取心是银行营销人员应具有的品质特征。</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营销人员的基本要求一般包括品质、技能和知识三个方面。品质特征一般包括诚信、自信心、豁达大度、坚韧性和进取心。</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3"/>
          <w:cols w:space="425"/>
          <w:titlePg w:val="0"/>
          <w:docGrid w:type="lines" w:linePitch="312"/>
        </w:sectPr>
      </w:pPr>
      <w:r w:rsidRPr="00F95114">
        <w:rPr>
          <w:rFonts w:ascii="微软雅黑" w:eastAsia="微软雅黑" w:hAnsi="微软雅黑" w:hint="eastAsia"/>
          <w:sz w:val="24"/>
          <w:szCs w:val="24"/>
        </w:rPr>
        <w:t>（ ）</w:t>
      </w:r>
      <w:r w:rsidRPr="00F95114">
        <w:rPr>
          <w:rFonts w:ascii="微软雅黑" w:eastAsia="微软雅黑" w:hAnsi="微软雅黑"/>
          <w:sz w:val="24"/>
          <w:szCs w:val="24"/>
        </w:rPr>
        <w:t>13、采取借款人自主支付的，贷款人应审核支付申请的信息是否与商务合同相符。</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采取贷款人受托支付的，贷款人应审核支付申请的信息是否与商务合同相符；采取借款人自主支付的，贷款人应对借款人提交的贷款支付要素进行确认。</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14、房地产是指土地、建筑物及其他地上定着物，它是实物、权益、区位的综合体：</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房地产是指土地、建筑物及其他地上定着物，它是实物、权益、区位的综合体：实体包括有形的实体、该实体的质量及组合完成的功能；权益包括权利、利益和收益：区位包括地理位置、坐标位置、周围环境和景观、与重要场所(如市中心、机场、车站、政府机关、同行业等)的距离及通达的便捷性等。</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15、如果在同一供求范围内存在较多类似房地产的交易，则可以采用市场法进行房地产估价。</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市场法适用的条件是在同一供求范围内存在较多类似房地产的交易。如在房地产市场发育不良、市场不活跃的地区，则难以采用市场法估价。</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16、我国目前个人住房贷款中的浮动利率制度，使借款人承担了相当大比率的利率风险，这就导致借款人在利率下降周期中出现贷款违约的可能性加大。</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4"/>
          <w:cols w:space="425"/>
          <w:titlePg w:val="0"/>
          <w:docGrid w:type="lines" w:linePitch="312"/>
        </w:sectPr>
      </w:pPr>
      <w:r w:rsidRPr="00F95114">
        <w:rPr>
          <w:rFonts w:ascii="微软雅黑" w:eastAsia="微软雅黑" w:hAnsi="微软雅黑" w:hint="eastAsia"/>
          <w:sz w:val="24"/>
          <w:szCs w:val="24"/>
        </w:rPr>
        <w:t>（ ）</w:t>
      </w:r>
      <w:r w:rsidRPr="00F95114">
        <w:rPr>
          <w:rFonts w:ascii="微软雅黑" w:eastAsia="微软雅黑" w:hAnsi="微软雅黑"/>
          <w:sz w:val="24"/>
          <w:szCs w:val="24"/>
        </w:rPr>
        <w:t>17、商用房贷款回收的原则是先收息、后收本，全部到期、利随本清。</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贷款的回收原则是先收息、后收本，全部到期、利随本清。</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18、个人医疗贷款只能用于贷款申请人本人支付伤病就医费用。</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个人医疗贷款是指银行向个人发放的、用于解决市民及其配偶或直系亲属伤病就医时的资金短缺问题的贷款。</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19、操作风险是指在业务操作过程中，由于违反操作规程或操作中存在疏漏等情况而产生的风险，是一种发生在实务操作中的、内部形成的系统性风险。</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操作风险是指在业务操作过程中，由于违反操作规程或操作中存在疏漏等情况而产生的风险，是一种发生在实务操作中的、内部形成的非系统性风险。</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20、查询用户的用户名及密码除本人使用外，还可以授权他人使用。</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查询用户的用户名及密码仅限本人使用、严禁他人使用或将密码告知他人。</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21、零售行为评分主要包括信用卡行为评分和个贷行为评分。</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22、采用利益定位策略时，银行既强调产品可以给客户带来较大的收益，也考虑到银行的当期收入和长远利益。</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sectPr w:rsidSect="0066030B">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5"/>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利益定位策略要兼顾两个方面的利益：一方面，银行强调产品可以给客户带来较大的收益，吸引客户使用该行的产品；另一方面，应考虑到银行的当期收入和长远利益，这是一种真正“双赢”的定位。</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23、商业助学贷款的贷款对象是在境内高等院校就读的全日制本专科学生、研究生和第二学士学位学生，外籍人和港澳台学生若符合申请条件，也可以申请商业助学贷款。</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商业助学贷款的贷款对象是在境内高等院校就读的全日制本专科生、研究生和第二学士学位学生。贷款银行可根据业务发展需要和风险管理能力，自主确定开办针对境内其他非义务教育阶段全日制学校在校困难学生的商业助学贷款。（借款人申请商业助学贷款，须具有中华人民共和国国籍。）</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24、贷款档案主要包括借款人相关资料和贷后管理相关资料，应为资料的原件。</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根据规定，贷款档案主要包括借款人相关资料和贷后管理相关资料．可以是原件，也可以是具有法律效力的复印件。</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25、个人贷款业务，可以帮助银行增加收入、分散贷款过于集中的风险，也可以满足居民的消费需求。</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26、银行的营销组织职责与银行的组织制度是相互独立的。</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sectPr w:rsidSect="0066030B">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6"/>
          <w:cols w:space="425"/>
          <w:titlePg w:val="0"/>
          <w:docGrid w:type="lines" w:linePitch="312"/>
        </w:sectPr>
      </w:pPr>
      <w:r w:rsidRPr="00F95114">
        <w:rPr>
          <w:rFonts w:ascii="微软雅黑" w:eastAsia="微软雅黑" w:hAnsi="微软雅黑"/>
          <w:b/>
          <w:bCs/>
          <w:sz w:val="24"/>
          <w:szCs w:val="24"/>
          <w:highlight w:val="yellow"/>
        </w:rPr>
        <w:t>【解析】</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在我国银行的营销组织职责与银行采用的总、分行制密不可分，不同级别的银行承担着不同的营销职责。</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27、银行审核通过后就相当于授信成功，在规定额度内消费者可随意用信(非现金交易)，并可享有20～56天不等的免息期，具体视各银行规定，按时全额还款则无利息产生。</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28、银行市场环境分析的主要任务的起点为进行市场细分。</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银行市场环境分析的主要任务为分析购买行为，进行市场细分，选择目标市场,实行市场定位。因此分析购买行为是银行市场环境分析的起点。</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29、借款人的还款意愿是信贷资金安全，特别是个人汽车贷款资金安全的重要前提。</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个人汽车贷款信用风险内容有：①借款人的还款能力风险；②借款人的还款意愿风险，借款人的还款意愿是信贷资金安全，特别是个人汽车贷款资金安全的重要前提。</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30、抵押是指债务人或者第三人转移对法定财产的占有，将该财产作为债权的担保。</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根据抵押定义，抵押是指债务人或者第三人不转移对法定财产的占有,将该财产作为债权的担保．</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31、操作风险是一种发生在实务操作中的、内部形成的系统性风险。</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sectPr w:rsidSect="0066030B">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7"/>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操作风险是指在个人住房贷款业务操作过程中，由于违反操作规程或操作中存在疏漏等情况而产生的风险，是一种发生在实务操作中的、内部形成的非系统性风险。</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32、客户盈利分析模式摒弃了“成本导向”的定价思想，树立了“以客户为中心”的经营理 念。</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33、住房公积金缴存清单是验证工资收入真实性的一项重要证明材料。</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在验证工资收入真实性的工作中，借款人需提供可靠的证明材料，如至少过去3个月的工资单、工资卡或存折入账流水、纳税证明、住房公积金缴存清单等。</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34、未成年人不得申请国家助学贷款。</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未成年人申请国家助学贷款需由其法定监护人书面同意。</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35、银行市场细分策略主要包括集中策略和差异性策略两种。</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银行市场细分的策略，即通过市场细分选择目标市场的具体对策，主要包括集中策略和差异性策略两种。</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36、客户可以通过个人贷款业务服务中心、声讯电话、网上银行、电话银行办理个人贷款业务。</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sectPr w:rsidSect="0066030B">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8"/>
          <w:cols w:space="425"/>
          <w:titlePg w:val="0"/>
          <w:docGrid w:type="lines" w:linePitch="312"/>
        </w:sectPr>
      </w:pPr>
      <w:r w:rsidRPr="00F95114">
        <w:rPr>
          <w:rFonts w:ascii="微软雅黑" w:eastAsia="微软雅黑" w:hAnsi="微软雅黑"/>
          <w:b/>
          <w:bCs/>
          <w:sz w:val="24"/>
          <w:szCs w:val="24"/>
          <w:highlight w:val="yellow"/>
        </w:rPr>
        <w:t>【解析】</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客户可以通过银行营业网点的个人贷款服务中心、网上银行、电话银行等多种方式了解、咨询银行的个人贷款业务；客户可以在银行所辖营业网点、网上银行、个人贷款服务中心、金融超市等办理个人贷款业务。</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37、银行相信贷款期间借款人的收入将增加，所抵押的房产的价值将维持不变或增加，所以更倾向于采用等额本息还款法。</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银行对于个人住房贷款更倾向于采用等额本息还款法。</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38、交叉营销的立足点不是放在争取新客户上，而是把工夫花在挽留老客户上。</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本题考查银行营销的交叉营销策略。交叉营销的立足点不是放在争取新客户上，而是把工夫花在挽留老客户上。</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39、与商用房贷款不同，个人经营贷款的合作机构主要是担保机构。</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此题暂无解析</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40、在个人住房贷款中，政策风险是非系统风险。</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sectPr w:rsidSect="0066030B">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9"/>
          <w:cols w:space="425"/>
          <w:titlePg w:val="0"/>
          <w:docGrid w:type="lines" w:linePitch="312"/>
        </w:sect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政策风险属于个人住房贷款的系统性风险之一，由于这些风险来自外部,因此是单一行业、单一银行所无法避免的。</w:t>
      </w:r>
      <w:r w:rsidRPr="00F95114">
        <w:rPr>
          <w:rFonts w:ascii="微软雅黑" w:eastAsia="微软雅黑" w:hAnsi="微软雅黑"/>
          <w:sz w:val="24"/>
          <w:szCs w:val="24"/>
        </w:rPr>
        <w:t xml:space="preserve">  </w:t>
      </w:r>
    </w:p>
    <w:p w:rsidR="00513A70" w:rsidRPr="00F95114" w:rsidP="00F95114" w14:paraId="066FEEDA" w14:textId="34432532">
      <w:pPr>
        <w:pStyle w:val="NoSpacing"/>
        <w:jc w:val="center"/>
        <w:rPr>
          <w:rFonts w:ascii="微软雅黑" w:eastAsia="微软雅黑" w:hAnsi="微软雅黑" w:cs="宋体"/>
          <w:color w:val="000000"/>
          <w:kern w:val="0"/>
          <w:sz w:val="24"/>
          <w:szCs w:val="24"/>
        </w:rPr>
      </w:pPr>
      <w:r w:rsidRPr="00F95114" w:rsidR="008279EE">
        <w:rPr>
          <w:rFonts w:ascii="微软雅黑" w:eastAsia="微软雅黑" w:hAnsi="微软雅黑" w:cs="宋体"/>
          <w:color w:val="000000"/>
          <w:kern w:val="0"/>
          <w:sz w:val="24"/>
          <w:szCs w:val="24"/>
        </w:rPr>
        <w:t>(中级)个人贷款判断题大全(二)</w:t>
      </w:r>
    </w:p>
    <w:p w:rsidR="00A900F2" w:rsidRPr="00C05B00" w:rsidP="00AD2E26" w14:textId="79A8E512">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总分</w:t>
      </w:r>
      <w:r w:rsidRPr="00C05B00" w:rsidR="00AD2E26">
        <w:rPr>
          <w:rFonts w:ascii="微软雅黑" w:eastAsia="微软雅黑" w:hAnsi="微软雅黑" w:hint="eastAsia"/>
          <w:color w:val="7F7F7F" w:themeColor="text1" w:themeTint="80"/>
          <w:sz w:val="24"/>
          <w:szCs w:val="24"/>
        </w:rPr>
        <w:t>：</w:t>
      </w:r>
      <w:r w:rsidRPr="00C05B00" w:rsidR="00CD0BD1">
        <w:rPr>
          <w:rFonts w:ascii="微软雅黑" w:eastAsia="微软雅黑" w:hAnsi="微软雅黑"/>
          <w:color w:val="7F7F7F" w:themeColor="text1" w:themeTint="80"/>
          <w:sz w:val="24"/>
          <w:szCs w:val="24"/>
        </w:rPr>
        <w:t>100</w:t>
      </w:r>
      <w:r w:rsidRPr="00C05B00" w:rsidR="003C7C42">
        <w:rPr>
          <w:rFonts w:ascii="微软雅黑" w:eastAsia="微软雅黑" w:hAnsi="微软雅黑" w:hint="eastAsia"/>
          <w:color w:val="7F7F7F" w:themeColor="text1" w:themeTint="80"/>
          <w:sz w:val="24"/>
          <w:szCs w:val="24"/>
        </w:rPr>
        <w:t>分</w:t>
      </w:r>
      <w:r w:rsidRPr="00C05B00" w:rsidR="00EC0A6F">
        <w:rPr>
          <w:rFonts w:ascii="微软雅黑" w:eastAsia="微软雅黑" w:hAnsi="微软雅黑"/>
          <w:color w:val="7F7F7F" w:themeColor="text1" w:themeTint="80"/>
          <w:sz w:val="24"/>
          <w:szCs w:val="24"/>
        </w:rPr>
        <w:tab/>
      </w:r>
      <w:r w:rsidRPr="00C05B00" w:rsidR="00457843">
        <w:rPr>
          <w:rFonts w:ascii="微软雅黑" w:eastAsia="微软雅黑" w:hAnsi="微软雅黑"/>
          <w:color w:val="7F7F7F" w:themeColor="text1" w:themeTint="80"/>
          <w:sz w:val="24"/>
          <w:szCs w:val="24"/>
        </w:rPr>
        <w:t xml:space="preserve">      </w:t>
      </w:r>
      <w:r w:rsidRPr="00C05B00" w:rsidR="00457843">
        <w:rPr>
          <w:rFonts w:ascii="微软雅黑" w:eastAsia="微软雅黑" w:hAnsi="微软雅黑" w:hint="eastAsia"/>
          <w:color w:val="7F7F7F" w:themeColor="text1" w:themeTint="80"/>
          <w:sz w:val="24"/>
          <w:szCs w:val="24"/>
        </w:rPr>
        <w:t>考试时间：</w:t>
      </w:r>
      <w:r w:rsidRPr="00C05B00" w:rsidR="00457843">
        <w:rPr>
          <w:rFonts w:ascii="微软雅黑" w:eastAsia="微软雅黑" w:hAnsi="微软雅黑"/>
          <w:color w:val="7F7F7F" w:themeColor="text1" w:themeTint="80"/>
          <w:sz w:val="24"/>
          <w:szCs w:val="24"/>
        </w:rPr>
        <w:t>90</w:t>
      </w:r>
      <w:r w:rsidRPr="00C05B00" w:rsidR="00457843">
        <w:rPr>
          <w:rFonts w:ascii="微软雅黑" w:eastAsia="微软雅黑" w:hAnsi="微软雅黑" w:hint="eastAsia"/>
          <w:color w:val="7F7F7F" w:themeColor="text1" w:themeTint="80"/>
          <w:sz w:val="24"/>
          <w:szCs w:val="24"/>
        </w:rPr>
        <w:t>分钟</w:t>
      </w:r>
    </w:p>
    <w:p w:rsidR="000D00B8" w:rsidRPr="00C05B00" w:rsidP="00AD2E26" w14:textId="6D0CC4C0">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注意事项：</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考试前，除必要的直尺、橡皮、圆规、三角板等文具用品外，必须特别准备好0.5毫米的黑色墨水签字笔和2B铅笔。</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不得在答卷纸或答题卡上任意涂画或作标记。</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考试结束后，不要将试卷、草稿纸或其它物品夹在答题卡中。</w:t>
      </w:r>
    </w:p>
    <w:p w:rsidR="00513A70" w:rsidRPr="00C05B00" w:rsidP="00B841D5" w14:textId="66142440">
      <w:pPr>
        <w:pStyle w:val="Heading2"/>
        <w:spacing w:before="0" w:after="0"/>
        <w:rPr>
          <w:rFonts w:ascii="微软雅黑" w:eastAsia="微软雅黑" w:hAnsi="微软雅黑"/>
          <w:sz w:val="28"/>
          <w:szCs w:val="28"/>
        </w:rPr>
      </w:pPr>
      <w:r w:rsidRPr="00C05B00">
        <w:rPr>
          <w:rFonts w:ascii="微软雅黑" w:eastAsia="微软雅黑" w:hAnsi="微软雅黑" w:hint="eastAsia"/>
          <w:sz w:val="28"/>
          <w:szCs w:val="28"/>
        </w:rPr>
        <w:t>一</w:t>
      </w:r>
      <w:r w:rsidRPr="00C05B00">
        <w:rPr>
          <w:rFonts w:ascii="微软雅黑" w:eastAsia="微软雅黑" w:hAnsi="微软雅黑" w:hint="eastAsia"/>
          <w:sz w:val="28"/>
          <w:szCs w:val="28"/>
        </w:rPr>
        <w:t>、判断题</w:t>
      </w:r>
      <w:r w:rsidRPr="00C05B00">
        <w:rPr>
          <w:rFonts w:ascii="微软雅黑" w:eastAsia="微软雅黑" w:hAnsi="微软雅黑" w:hint="eastAsia"/>
          <w:b w:val="0"/>
          <w:bCs w:val="0"/>
          <w:sz w:val="28"/>
          <w:szCs w:val="28"/>
        </w:rPr>
        <w:t>（每小题</w:t>
      </w:r>
      <w:r w:rsidRPr="00C05B00">
        <w:rPr>
          <w:rFonts w:ascii="微软雅黑" w:eastAsia="微软雅黑" w:hAnsi="微软雅黑"/>
          <w:b w:val="0"/>
          <w:bCs w:val="0"/>
          <w:sz w:val="28"/>
          <w:szCs w:val="28"/>
        </w:rPr>
        <w:t xml:space="preserve">2.5 </w:t>
      </w:r>
      <w:r w:rsidRPr="00C05B00">
        <w:rPr>
          <w:rFonts w:ascii="微软雅黑" w:eastAsia="微软雅黑" w:hAnsi="微软雅黑" w:hint="eastAsia"/>
          <w:b w:val="0"/>
          <w:bCs w:val="0"/>
          <w:sz w:val="28"/>
          <w:szCs w:val="28"/>
        </w:rPr>
        <w:t xml:space="preserve">分，共 </w:t>
      </w:r>
      <w:r w:rsidRPr="00C05B00">
        <w:rPr>
          <w:rFonts w:ascii="微软雅黑" w:eastAsia="微软雅黑" w:hAnsi="微软雅黑"/>
          <w:b w:val="0"/>
          <w:bCs w:val="0"/>
          <w:sz w:val="28"/>
          <w:szCs w:val="28"/>
        </w:rPr>
        <w:t>100</w:t>
      </w:r>
      <w:r w:rsidRPr="00C05B00">
        <w:rPr>
          <w:rFonts w:ascii="微软雅黑" w:eastAsia="微软雅黑" w:hAnsi="微软雅黑" w:hint="eastAsia"/>
          <w:b w:val="0"/>
          <w:bCs w:val="0"/>
          <w:sz w:val="28"/>
          <w:szCs w:val="28"/>
        </w:rPr>
        <w:t>分）</w:t>
      </w:r>
      <w:r w:rsidRPr="00F95114">
        <w:rPr>
          <w:rFonts w:ascii="微软雅黑" w:eastAsia="微软雅黑" w:hAnsi="微软雅黑" w:hint="eastAsia"/>
          <w:sz w:val="24"/>
          <w:szCs w:val="24"/>
        </w:rPr>
        <w:t xml:space="preserve"> </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1、根据最高院颁布《关于人民法院民事执行中查封、扣押、冻结财产的规定》中的司法解释，对被执行人及其所抚养家属生活必需的居住房屋人民法院可以查封．但不得拍卖、变卖或者抵债。</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2、个人贷款业务，可以帮助银行增加收入、分散贷款过于集中的风险，也可以满足居民的消费需求。</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开展个人贷款业务，不但有利于银行增加收入和分散风险，而且有助于满足城乡居民的消费需求、繁荣金融行业、促进国民经济的健康发展。</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3、个人住房贷款的计息、结息方式，由中国人民银行统一规定。</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个人住房贷款的计息、结息方式，由借贷双方协商确定。</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0"/>
          <w:cols w:space="425"/>
          <w:titlePg w:val="0"/>
          <w:docGrid w:type="lines" w:linePitch="312"/>
        </w:sectPr>
      </w:pPr>
      <w:r w:rsidRPr="00F95114">
        <w:rPr>
          <w:rFonts w:ascii="微软雅黑" w:eastAsia="微软雅黑" w:hAnsi="微软雅黑" w:hint="eastAsia"/>
          <w:sz w:val="24"/>
          <w:szCs w:val="24"/>
        </w:rPr>
        <w:t>（ ）</w:t>
      </w:r>
      <w:r w:rsidRPr="00F95114">
        <w:rPr>
          <w:rFonts w:ascii="微软雅黑" w:eastAsia="微软雅黑" w:hAnsi="微软雅黑"/>
          <w:sz w:val="24"/>
          <w:szCs w:val="24"/>
        </w:rPr>
        <w:t>4、信用评分模型是个人信贷管理中先进的技术手段．是商业银行个人授信业务最核心的管理技术之一。</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信用评分模型是个人信贷管理中先进的技术手段，是商业银行个人授信业务最核心的管理技术之一，被广泛应用在信用卡生命周期管理、购车贷款管理、住房贷款管理等领域，在市场营销、风险管理、客户关系管理等各个方面都发挥着十分重要的作用。</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5、个人汽车贷款的借款人与贷款银行签约时。要明确告知在放款时遇法定利率调整时，应执行具体放款日当日利率。因此，当贷款签约后，遇法定贷款利率调整时，业务部门开户放款时，发现“放款通知”贷款利率与贷款账户执行利率不一致，不用通知相关部门，直接重新办理开户放款有关手续。</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当贷款签约后，遏法定贷款利率调整时，业务部门开户放款时，发现“放款通知”贷款利率与贷款账户执行利率不一致．应通知相关部门按最新利率档次重新修改信贷发放信息。并重新办理开户放款有关手续。</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6、商业性助学贷款的贷后管理是指从贷款申请到合同终止前对有关事宜的管理，包括贷款的偿还、贷后检查、不良贷款管理及贷后档案管理四个部分。</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商业助学贷款的贷后管理是指对贷款发放后到合同终止前有关事宜的管理，包括贷后检查、贷款的偿还、贷款质量分类与风险预警、不良贷款管理及贷后档案管理等工作。</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1"/>
          <w:cols w:space="425"/>
          <w:titlePg w:val="0"/>
          <w:docGrid w:type="lines" w:linePitch="312"/>
        </w:sectPr>
      </w:pPr>
      <w:r w:rsidRPr="00F95114">
        <w:rPr>
          <w:rFonts w:ascii="微软雅黑" w:eastAsia="微软雅黑" w:hAnsi="微软雅黑" w:hint="eastAsia"/>
          <w:sz w:val="24"/>
          <w:szCs w:val="24"/>
        </w:rPr>
        <w:t>（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7、个人住房贷款可采取多种还款方式，如一次还本付息法、等额本息还款法、等额本金还款法等，借款人可在一笔贷款合同中与银行约定其中的一种或几种还款方式。</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个人住房贷款可采取多种还款方式进行还款。借款人可以根据需要选择还款方法，但一笔借款合同只能选择一种还款方法，贷款合同签订后，未经贷款银行同意，不得更改还款方式。</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8、贷款发放后，应根据贷款种类分别建立信贷台账，台账应记录借款人的基本信息和贷款信息。贷款台账只能采取电子台账的形式。</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台账应记录借款人的基本信息和贷款信息，贷款信息包括账号、合同金额、期限、放款日期、还款方式、担保方式、贷款利率、贷款余额、拖欠本金、应收利率、催收利息、账户状态、风险状态等要素。贷款台账可以采取电子台账或手工台账的形式。</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9、对借款人的贷后检查不包括住所的变更情况。</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对借款人的贷后检查包括住所的变更情况。</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10、品价值评估有内部评估、外部评估两种方式。</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押品价值评估有内部评估、外部评估和直接评估三种方式。</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11、违约概率模型预测客户对催收方式是否响应的概率。</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sectPr w:rsidSect="0066030B">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2"/>
          <w:cols w:space="425"/>
          <w:titlePg w:val="0"/>
          <w:docGrid w:type="lines" w:linePitch="312"/>
        </w:sect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违约概率模型用于早期逾期的客户，可判断客户最终进入违约(逾期90天以上)的概率；催收响应模型预测客户对催收方式是否响应的概率。</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12、银行对不良个人住房贷款应采取电话催收、信函催收、上门催收、法律手段催收等方 式。</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13、对于二手房个人住房贷款，银行的最主要合作单位是房地产经纪公司。</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对于二手个人住房贷款，商业银行最主要的合作单位是房地产经纪公司,两者之间其实是贷款产品的代理人与被代理人关系。</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14、“直客式”营销模式已成为银行近年来个人贷款业务长足发展的有力“助推器”。</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15、从风险承担的角度上讲，公积金个人住房贷款风险由商业银行本身承担。</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公积金个人住房贷款是一种委托性住房贷款，它是国家住房公积金管理部门利用归集的住房公积金资金．由政府设立的住房置业担保机构提供担保，委托商业银行发放给公积金缴存人的住房贷款。从风险承担的角度上讲，商业银行本身不承担贷款风险。</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16、个人汽车贷款实行“设定担保、分类管理、特定用途”的原则。[2014年11月真 题]</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3"/>
          <w:cols w:space="425"/>
          <w:titlePg w:val="0"/>
          <w:docGrid w:type="lines" w:linePitch="312"/>
        </w:sectPr>
      </w:pPr>
      <w:r w:rsidRPr="00F95114">
        <w:rPr>
          <w:rFonts w:ascii="微软雅黑" w:eastAsia="微软雅黑" w:hAnsi="微软雅黑" w:hint="eastAsia"/>
          <w:sz w:val="24"/>
          <w:szCs w:val="24"/>
        </w:rPr>
        <w:t>（ ）</w:t>
      </w:r>
      <w:r w:rsidRPr="00F95114">
        <w:rPr>
          <w:rFonts w:ascii="微软雅黑" w:eastAsia="微软雅黑" w:hAnsi="微软雅黑"/>
          <w:sz w:val="24"/>
          <w:szCs w:val="24"/>
        </w:rPr>
        <w:t>17、办理分期付款业务的当日可办理提前还款或展期。</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办理分期付款业务的当日不得办理提前还款或展期。</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18、农户贷款贷前调查应当有效借助村委会、德高望重村民、经营共同体带头人等社会力量。</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此题暂无解析</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19、汽车贷款业务最早出现于1996年。</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国内最初的汽车贷款业务是作为促进国内汽车市场发展、支持国内汽车产业的金融手段而出现的，最早出现于1993年。银行业的汽车贷款业务萌芽于1996年。</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20、个人住房贷款的银行在业务合作中不应过分依赖合作机构。</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 xml:space="preserve">其他合作机构风险的防控措施：①深入调查，选择讲信用、重诚信的合作机构； </w:t>
        <w:br/>
        <w:t xml:space="preserve">②业务合作中不过分依赖合作机构； </w:t>
        <w:br/>
        <w:t xml:space="preserve">③严格执行准入退出制度： </w:t>
        <w:br/>
        <w:t xml:space="preserve">④有效利用保证金制度： </w:t>
        <w:br/>
        <w:t>⑤严格执行回访制度。</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21、贷款期限在一年以上的，借款人从发放贷款的次年起偿还贷款本息。</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sectPr w:rsidSect="0066030B">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4"/>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22、信用卡刷卡手续费由客户和商家一起承担。</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23、借款申请人可以以书面形式或口头协商的形式提出个人汽车贷款借款申请。</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借款申请人只能以书面形式提出个人贷款申请。</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24、广义征信管理是指通过人民银行个人征信系统进行信用管理。</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征信管理分为广义征信管理与狭义征信管理。狭义征信管理是指通过人民银行个人征信系统进行信用管理。广义征信管理是指根据个人身份信息，借助更多途径、更大范围了解个人信用情况，即以人民银行个人征信系统与公安机关身份信息管理系统为基础，以商业征信机构的大数据信息为补充，综合判断客户的信用情况。</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25、对承担担保责任的合作机构．银行应要求留存担保保证金．需要开立保证金专户存储。并在担保合作协议中明确保证金用途及担保人使用限制条款。</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对承担担保责任的合作机构，银行应要求留存担保保证金，需要开立保证金专户存储．并在担保合作协议中明确该账户内保证金的用途及担保人使用限制条款，在借款人不履行合同义务时，银行直接扣收担保人的保证金。</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5"/>
          <w:cols w:space="425"/>
          <w:titlePg w:val="0"/>
          <w:docGrid w:type="lines" w:linePitch="312"/>
        </w:sectPr>
      </w:pPr>
      <w:r w:rsidRPr="00F95114">
        <w:rPr>
          <w:rFonts w:ascii="微软雅黑" w:eastAsia="微软雅黑" w:hAnsi="微软雅黑" w:hint="eastAsia"/>
          <w:sz w:val="24"/>
          <w:szCs w:val="24"/>
        </w:rPr>
        <w:t>（ ）</w:t>
      </w:r>
      <w:r w:rsidRPr="00F95114">
        <w:rPr>
          <w:rFonts w:ascii="微软雅黑" w:eastAsia="微软雅黑" w:hAnsi="微软雅黑"/>
          <w:sz w:val="24"/>
          <w:szCs w:val="24"/>
        </w:rPr>
        <w:t>26、目前我国政府规定土地使用权出让年限：居住用地70年，工用地50年，教育、科技、文化卫生、体育用地40年。</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目前我国政府规定土地使用权出让年限：居住用地70年，工业用地50年，教育、科技、文化卫生、体育用地50年，商业、旅游、娱乐用地40年、综合或其他用地50年。</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27、操作风险是一种发生在实务操作中的、内部形成的系统性风险。</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28、对于一手个人住房贷款，商业银行与房地产开发商两者之间其实是贷款产品的代理人和被代理人的关系。</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目前，商业性个人一手住房贷款中较为普遍的贷款营销方式是银行与房地产开发商合作的方式；对于二手个人住房贷款，商业银行和房地产经纪公司间是贷款产品的代理人与被代理人的关系。</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29、对未按期还款的个人汽车贷款，如有担保人，银行可以向担保人通知催收。</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对未按期还款的个人汽车贷款，如有担保人，银行可以向担保人通知催收。</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30、农户贷款中的农户是指长期居住在乡镇和城关镇所辖行政村的住户、国有农场的职工和农村个体工商户。</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sectPr w:rsidSect="0066030B">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6"/>
          <w:cols w:space="425"/>
          <w:titlePg w:val="0"/>
          <w:docGrid w:type="lines" w:linePitch="312"/>
        </w:sectPr>
      </w:pPr>
      <w:r w:rsidRPr="00F95114">
        <w:rPr>
          <w:rFonts w:ascii="微软雅黑" w:eastAsia="微软雅黑" w:hAnsi="微软雅黑"/>
          <w:b/>
          <w:bCs/>
          <w:sz w:val="24"/>
          <w:szCs w:val="24"/>
          <w:highlight w:val="yellow"/>
        </w:rPr>
        <w:t>【解析】</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农户贷款是指银行业金融机构向符合条件的农户发放的用于生产经营、生活消费等用途的本外币贷款。此处农户是指长期居住在乡镇和城关镇所辖行政村的住户、国有农场的职工和农村个体工商户。</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31、士兵证、港澳居民往来内地通行证、台湾居民往来大陆通行证、驾照都是申请个人住房贷款的合法有效身份证明。</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根据规定，申请个人住房贷款的，应提交的合法有效的身份证件，个人有效身份证件包括:身份证、军官证、士兵证、护照、港澳居民来往内地通行证、台湾同胞来往大陆通行证、外国人居留证等。</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32、个体网络借贷是指个体和公司之间通过互联网平台实现的直接借贷。</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个体网络借贷是指个体和个体之间通过互联网平台实现的直接借贷。个体网络借贷要坚持平台功能，为投资方和融资方提供信息交互、撮合、资信评估等中介服务。</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33、合作机构的担保风险主要是保险公司的履约保证保险。</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合作机构的担保风险主要是保险公司的履约保证保险以及汽车经销商和专业担保公司的第三方保证担保。</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34、贷前调查应通过实地调查了解申请人抵押物状况，判断借款人所经营企业的发展前景等。</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此题暂无解析</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7"/>
          <w:cols w:space="425"/>
          <w:titlePg w:val="0"/>
          <w:docGrid w:type="lines" w:linePitch="312"/>
        </w:sectPr>
      </w:pPr>
      <w:r w:rsidRPr="00F95114">
        <w:rPr>
          <w:rFonts w:ascii="微软雅黑" w:eastAsia="微软雅黑" w:hAnsi="微软雅黑" w:hint="eastAsia"/>
          <w:sz w:val="24"/>
          <w:szCs w:val="24"/>
        </w:rPr>
        <w:t>（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35、在个人住房贷款业务中，商业银行作为格式条款的提供方，应当采取合理的方式提请借款人注意免除或限制其责任的条款。</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《合同法》第三十九条第一款的规定，商业银行作为格式条款的提供方，应当采取合理的方式提请借款人注意免除或限制其责任的条款，并按照对方提出的要求，对该条款予以说明。</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36、即使借款人、担保人在贷款期间发生违约事件时。贷款银行也不可以定期在公开报刊及有关媒体上公布违约人姓名、身份证号码及违约行为。</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当借款人、担保人在贷款期间发生违约事件时．贷款银行可以在公开报刊及有关媒体上公布违约人姓名、身份证号码及违约行为。</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37、贷款调查与审批中，审批人员可以将贷款调查的全部事项委托有资信的第三方完 成。</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38、在定向营销时，银行应重点营销优质客户，但在办理业务时应做到公平，不可区别对 待。</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39、低成本策略强调降低银行成本，同时意味着成为一个低价格的竞争者。</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40、个人征信系统的信用信息主要使用者是事业单位。</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sectPr w:rsidSect="0066030B">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8"/>
          <w:cols w:space="425"/>
          <w:titlePg w:val="0"/>
          <w:docGrid w:type="lines" w:linePitch="312"/>
        </w:sect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个人征信系统的信用信息主要使用者是金融机构。</w:t>
      </w:r>
      <w:r w:rsidRPr="00F95114">
        <w:rPr>
          <w:rFonts w:ascii="微软雅黑" w:eastAsia="微软雅黑" w:hAnsi="微软雅黑"/>
          <w:sz w:val="24"/>
          <w:szCs w:val="24"/>
        </w:rPr>
        <w:t xml:space="preserve">  </w:t>
      </w:r>
    </w:p>
    <w:p>
      <w:pPr>
        <w:sectPr w:rsidSect="0066030B">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9"/>
          <w:cols w:space="425"/>
          <w:titlePg w:val="0"/>
          <w:docGrid w:type="lines" w:linePitch="312"/>
        </w:sectPr>
      </w:pPr>
    </w:p>
    <w:p w:rsidR="00513A70" w:rsidRPr="00F95114" w:rsidP="00F95114" w14:textId="34432532">
      <w:pPr>
        <w:pStyle w:val="NoSpacing"/>
        <w:jc w:val="center"/>
        <w:rPr>
          <w:rFonts w:ascii="微软雅黑" w:eastAsia="微软雅黑" w:hAnsi="微软雅黑" w:cs="宋体"/>
          <w:color w:val="000000"/>
          <w:kern w:val="0"/>
          <w:sz w:val="24"/>
          <w:szCs w:val="24"/>
        </w:rPr>
      </w:pPr>
      <w:r w:rsidRPr="00F95114" w:rsidR="008279EE">
        <w:rPr>
          <w:rFonts w:ascii="微软雅黑" w:eastAsia="微软雅黑" w:hAnsi="微软雅黑" w:cs="宋体"/>
          <w:color w:val="000000"/>
          <w:kern w:val="0"/>
          <w:sz w:val="24"/>
          <w:szCs w:val="24"/>
        </w:rPr>
        <w:t>(中级)个人贷款判断题大全(三)</w:t>
      </w:r>
    </w:p>
    <w:p w:rsidR="00A900F2" w:rsidRPr="00C05B00" w:rsidP="00AD2E26" w14:textId="79A8E512">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总分</w:t>
      </w:r>
      <w:r w:rsidRPr="00C05B00" w:rsidR="00AD2E26">
        <w:rPr>
          <w:rFonts w:ascii="微软雅黑" w:eastAsia="微软雅黑" w:hAnsi="微软雅黑" w:hint="eastAsia"/>
          <w:color w:val="7F7F7F" w:themeColor="text1" w:themeTint="80"/>
          <w:sz w:val="24"/>
          <w:szCs w:val="24"/>
        </w:rPr>
        <w:t>：</w:t>
      </w:r>
      <w:r w:rsidRPr="00C05B00" w:rsidR="00CD0BD1">
        <w:rPr>
          <w:rFonts w:ascii="微软雅黑" w:eastAsia="微软雅黑" w:hAnsi="微软雅黑"/>
          <w:color w:val="7F7F7F" w:themeColor="text1" w:themeTint="80"/>
          <w:sz w:val="24"/>
          <w:szCs w:val="24"/>
        </w:rPr>
        <w:t>100</w:t>
      </w:r>
      <w:r w:rsidRPr="00C05B00" w:rsidR="003C7C42">
        <w:rPr>
          <w:rFonts w:ascii="微软雅黑" w:eastAsia="微软雅黑" w:hAnsi="微软雅黑" w:hint="eastAsia"/>
          <w:color w:val="7F7F7F" w:themeColor="text1" w:themeTint="80"/>
          <w:sz w:val="24"/>
          <w:szCs w:val="24"/>
        </w:rPr>
        <w:t>分</w:t>
      </w:r>
      <w:r w:rsidRPr="00C05B00" w:rsidR="00EC0A6F">
        <w:rPr>
          <w:rFonts w:ascii="微软雅黑" w:eastAsia="微软雅黑" w:hAnsi="微软雅黑"/>
          <w:color w:val="7F7F7F" w:themeColor="text1" w:themeTint="80"/>
          <w:sz w:val="24"/>
          <w:szCs w:val="24"/>
        </w:rPr>
        <w:tab/>
      </w:r>
      <w:r w:rsidRPr="00C05B00" w:rsidR="00457843">
        <w:rPr>
          <w:rFonts w:ascii="微软雅黑" w:eastAsia="微软雅黑" w:hAnsi="微软雅黑"/>
          <w:color w:val="7F7F7F" w:themeColor="text1" w:themeTint="80"/>
          <w:sz w:val="24"/>
          <w:szCs w:val="24"/>
        </w:rPr>
        <w:t xml:space="preserve">      </w:t>
      </w:r>
      <w:r w:rsidRPr="00C05B00" w:rsidR="00457843">
        <w:rPr>
          <w:rFonts w:ascii="微软雅黑" w:eastAsia="微软雅黑" w:hAnsi="微软雅黑" w:hint="eastAsia"/>
          <w:color w:val="7F7F7F" w:themeColor="text1" w:themeTint="80"/>
          <w:sz w:val="24"/>
          <w:szCs w:val="24"/>
        </w:rPr>
        <w:t>考试时间：</w:t>
      </w:r>
      <w:r w:rsidRPr="00C05B00" w:rsidR="00457843">
        <w:rPr>
          <w:rFonts w:ascii="微软雅黑" w:eastAsia="微软雅黑" w:hAnsi="微软雅黑"/>
          <w:color w:val="7F7F7F" w:themeColor="text1" w:themeTint="80"/>
          <w:sz w:val="24"/>
          <w:szCs w:val="24"/>
        </w:rPr>
        <w:t>90</w:t>
      </w:r>
      <w:r w:rsidRPr="00C05B00" w:rsidR="00457843">
        <w:rPr>
          <w:rFonts w:ascii="微软雅黑" w:eastAsia="微软雅黑" w:hAnsi="微软雅黑" w:hint="eastAsia"/>
          <w:color w:val="7F7F7F" w:themeColor="text1" w:themeTint="80"/>
          <w:sz w:val="24"/>
          <w:szCs w:val="24"/>
        </w:rPr>
        <w:t>分钟</w:t>
      </w:r>
    </w:p>
    <w:p w:rsidR="000D00B8" w:rsidRPr="00C05B00" w:rsidP="00AD2E26" w14:textId="6D0CC4C0">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注意事项：</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考试前，除必要的直尺、橡皮、圆规、三角板等文具用品外，必须特别准备好0.5毫米的黑色墨水签字笔和2B铅笔。</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不得在答卷纸或答题卡上任意涂画或作标记。</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考试结束后，不要将试卷、草稿纸或其它物品夹在答题卡中。</w:t>
      </w:r>
    </w:p>
    <w:p w:rsidR="00513A70" w:rsidRPr="00C05B00" w:rsidP="00B841D5" w14:textId="66142440">
      <w:pPr>
        <w:pStyle w:val="Heading2"/>
        <w:spacing w:before="0" w:after="0"/>
        <w:rPr>
          <w:rFonts w:ascii="微软雅黑" w:eastAsia="微软雅黑" w:hAnsi="微软雅黑"/>
          <w:sz w:val="28"/>
          <w:szCs w:val="28"/>
        </w:rPr>
      </w:pPr>
      <w:r w:rsidRPr="00C05B00">
        <w:rPr>
          <w:rFonts w:ascii="微软雅黑" w:eastAsia="微软雅黑" w:hAnsi="微软雅黑" w:hint="eastAsia"/>
          <w:sz w:val="28"/>
          <w:szCs w:val="28"/>
        </w:rPr>
        <w:t>一</w:t>
      </w:r>
      <w:r w:rsidRPr="00C05B00">
        <w:rPr>
          <w:rFonts w:ascii="微软雅黑" w:eastAsia="微软雅黑" w:hAnsi="微软雅黑" w:hint="eastAsia"/>
          <w:sz w:val="28"/>
          <w:szCs w:val="28"/>
        </w:rPr>
        <w:t>、判断题</w:t>
      </w:r>
      <w:r w:rsidRPr="00C05B00">
        <w:rPr>
          <w:rFonts w:ascii="微软雅黑" w:eastAsia="微软雅黑" w:hAnsi="微软雅黑" w:hint="eastAsia"/>
          <w:b w:val="0"/>
          <w:bCs w:val="0"/>
          <w:sz w:val="28"/>
          <w:szCs w:val="28"/>
        </w:rPr>
        <w:t>（每小题</w:t>
      </w:r>
      <w:r w:rsidRPr="00C05B00">
        <w:rPr>
          <w:rFonts w:ascii="微软雅黑" w:eastAsia="微软雅黑" w:hAnsi="微软雅黑"/>
          <w:b w:val="0"/>
          <w:bCs w:val="0"/>
          <w:sz w:val="28"/>
          <w:szCs w:val="28"/>
        </w:rPr>
        <w:t xml:space="preserve">2.5 </w:t>
      </w:r>
      <w:r w:rsidRPr="00C05B00">
        <w:rPr>
          <w:rFonts w:ascii="微软雅黑" w:eastAsia="微软雅黑" w:hAnsi="微软雅黑" w:hint="eastAsia"/>
          <w:b w:val="0"/>
          <w:bCs w:val="0"/>
          <w:sz w:val="28"/>
          <w:szCs w:val="28"/>
        </w:rPr>
        <w:t xml:space="preserve">分，共 </w:t>
      </w:r>
      <w:r w:rsidRPr="00C05B00">
        <w:rPr>
          <w:rFonts w:ascii="微软雅黑" w:eastAsia="微软雅黑" w:hAnsi="微软雅黑"/>
          <w:b w:val="0"/>
          <w:bCs w:val="0"/>
          <w:sz w:val="28"/>
          <w:szCs w:val="28"/>
        </w:rPr>
        <w:t>100</w:t>
      </w:r>
      <w:r w:rsidRPr="00C05B00">
        <w:rPr>
          <w:rFonts w:ascii="微软雅黑" w:eastAsia="微软雅黑" w:hAnsi="微软雅黑" w:hint="eastAsia"/>
          <w:b w:val="0"/>
          <w:bCs w:val="0"/>
          <w:sz w:val="28"/>
          <w:szCs w:val="28"/>
        </w:rPr>
        <w:t>分）</w:t>
      </w:r>
      <w:r w:rsidRPr="00F95114">
        <w:rPr>
          <w:rFonts w:ascii="微软雅黑" w:eastAsia="微软雅黑" w:hAnsi="微软雅黑" w:hint="eastAsia"/>
          <w:sz w:val="24"/>
          <w:szCs w:val="24"/>
        </w:rPr>
        <w:t xml:space="preserve"> </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1、一般情况下，公积金个人住房贷款手续费的结算，由公积金管理中心按规定比例将委托 贷款手续费在放款次日划归承办银行。</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2、基准利率加点定价模型又称价格领导模型定价法，是国际银行业广泛采用的贷款定价方法。</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3、个人汽车贷款的放款只可放款至经销商在贷款银行开立的存款账户。</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个人汽车贷款的放款包括放款至经销商在贷款银行开立的存款账户和直接转入借款人在贷款银行开立的存款账户两种方式。</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4、银行对不良个人住房贷款应采取电话催收、信函催收、上门催收、法律手段催收等方式。</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sectPr w:rsidSect="0066030B">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0"/>
          <w:cols w:space="425"/>
          <w:titlePg w:val="0"/>
          <w:docGrid w:type="lines" w:linePitch="312"/>
        </w:sectPr>
      </w:pPr>
      <w:r w:rsidRPr="00F95114">
        <w:rPr>
          <w:rFonts w:ascii="微软雅黑" w:eastAsia="微软雅黑" w:hAnsi="微软雅黑"/>
          <w:b/>
          <w:bCs/>
          <w:sz w:val="24"/>
          <w:szCs w:val="24"/>
          <w:highlight w:val="yellow"/>
        </w:rPr>
        <w:t>【解析】</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对不同拖欠期限的不良个人贷款的催收，可采取不同的方式如电话催收、信函催收、上门催收、通过中介机构催收，以及采取法律手段，如律师函、司法催收等方式督促借款人按期偿还贷款本息，以最大限度降低贷款损失，有担保人的要向担保人通知催收。</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5、个人汽车贷款中，汽车经销商用“甲贷乙用”的欺诈行为套取银行信贷资金．所谓“甲贷乙用”指的是名义借款人取得实际用款人的支持,以实际用款人身份套取购车贷款。</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“甲贷乙用”是指实际用款人取得名义借款人的支持．以名义借款人的身份套取购车贷款。情节较轻的，实际用款人基本能以名义借款人的身份还本付息：情节严重的，名义借款人失踪，实际用款人悬空贷款。</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6、从战略理论来讲，银行营销的起点是确定目标市场。</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从战略理论来讲，银行营销的起点是了解客户需求，进行需求分析．依据需求分析进行市场细分和市场选择．从而确定目标市场．</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7、1年以内(含1年)的商用房贷款，展期期限累计与原贷款期限相加，不得超过银行规定的最长贷款期限。</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延长期限即展期，1年以内(含1年)的商用房贷款，展期期限累计不得超过原贷款期限：1年以上的商用房贷款，展期期限累计与原贷款期限相加，不得超过银行规定的最长贷款期限。</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1"/>
          <w:cols w:space="425"/>
          <w:titlePg w:val="0"/>
          <w:docGrid w:type="lines" w:linePitch="312"/>
        </w:sectPr>
      </w:pPr>
      <w:r w:rsidRPr="00F95114">
        <w:rPr>
          <w:rFonts w:ascii="微软雅黑" w:eastAsia="微软雅黑" w:hAnsi="微软雅黑" w:hint="eastAsia"/>
          <w:sz w:val="24"/>
          <w:szCs w:val="24"/>
        </w:rPr>
        <w:t>（ ）</w:t>
      </w:r>
      <w:r w:rsidRPr="00F95114">
        <w:rPr>
          <w:rFonts w:ascii="微软雅黑" w:eastAsia="微软雅黑" w:hAnsi="微软雅黑"/>
          <w:sz w:val="24"/>
          <w:szCs w:val="24"/>
        </w:rPr>
        <w:t>8、住房贷款的发放对象包括不能提供1年以上当地纳税证明或社会保险缴纳证明的非本地居民。</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借款申请人的主体资格是否符合所申请贷款管理办法的规定包括：是否具有完全民事行为能力：对不能提供1年以上当地纳税证明或社会保险缴纳证明的非本地居民暂停发放购买住房贷款；是否有稳定、合法的收入来源，有按期偿还本息的能力．</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9、个人汽车贷款履约保证保险是财产保险的一种，银行只是保证保险合同中的被保险人 而不是保险合同的一方当事人。[2013年11月真题]</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10、“直客式”运行模式在目前个人汽车贷款市场中占主导地位。</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“间客式”运行模式在目前个人汽车贷款市场中占主导地位。</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11、合同填写并复核无误后，贷款发放人只应负责与借款人签订合同。</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合同填写并复核无误后，贷款发放人应负责与借款人(包括共同借款人)、担保人(抵押人、出质人、保证人)签订合同。</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12、因办理户口迁移等原因需要外借权证的，应提出书面申请，承诺明确的归还日期。</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因办理户口迁移等原因需要外借权证的，应提出书面申请，承诺明确的归还日期。其他情形下，不得将权证外借给客户。</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13、商业银行仅提供人民币个人住房贷款，不提供外币个人住房贷款。</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sectPr w:rsidSect="0066030B">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2"/>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商业银行既提供人民币个人住房贷款，也提供外币个人住房贷款。</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14、异议是个人对自己信用报告中反映的信息持否定或者不同意见。</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此题暂无解析</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15、士兵证、港澳居民往来内地通行证、台湾居民往来大陆通行证、驾照都是申请个人住房贷款的合法有效身份证明。</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根据规定，申请个人住房贷款的，应提交的合法有效的身份证件包括居民身份证、户口本、军官证、警官证、文职干部证、港澳台居民还乡证、居留证件或其他有效身份证件。</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16、贷款风险评价应以分析借款人现金收入为基础，采取定性分析方法。</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17、个人汽车贷款的借款人与贷款银行签约时．要明确告知在放款时遇法定利率调整时，应执行具体放款日当日利率。因此，当贷款签约后，遇法定贷款利率调整时，业务部门开户放款时，发现“放款通知”贷款利率与贷款账户执行利率不一致，不用通知相关部门。直接重新办理开户放款有关手续。</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当贷款签约后，遇法定贷款利率调整时，业务部门开户放款时，发现“放款通知”贷款利率与贷款账户执行利率不一致，应通知相关部门按最新利率档次重新修改信贷发放信息．并重新办理开户放款有关手续。</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3"/>
          <w:cols w:space="425"/>
          <w:titlePg w:val="0"/>
          <w:docGrid w:type="lines" w:linePitch="312"/>
        </w:sectPr>
      </w:pPr>
      <w:r w:rsidRPr="00F95114">
        <w:rPr>
          <w:rFonts w:ascii="微软雅黑" w:eastAsia="微软雅黑" w:hAnsi="微软雅黑" w:hint="eastAsia"/>
          <w:sz w:val="24"/>
          <w:szCs w:val="24"/>
        </w:rPr>
        <w:t>（ ）</w:t>
      </w:r>
      <w:r w:rsidRPr="00F95114">
        <w:rPr>
          <w:rFonts w:ascii="微软雅黑" w:eastAsia="微软雅黑" w:hAnsi="微软雅黑"/>
          <w:sz w:val="24"/>
          <w:szCs w:val="24"/>
        </w:rPr>
        <w:t>18、违约风险贴水是指向长期借款人征收的风险补偿费用。</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违约风险贴水是指向优质客户以外的借款人收取的风险补偿费用；期限风险贴水是向长期借款人征收的风险补偿费用。</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19、资信等级是企业信用程度的形象标识。</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资信等级是企业信用程度的形象标识，它表明了企业守约或履约的主观愿望与客观能力。</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20、个人汽车贷款的贷款期限(含展期)不得超过5年，其中二手车辆贷款期限(含展期)不得超过3年。</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个人汽车贷款的贷款期限(含展期)不得超过5年，其中，二手车贷款的贷款期限(含展期)不得超过3年。每笔贷款只可以展期一次，展期期限不得超过1年，展期之后全部贷款期限不得超过贷款银行规定的最长期限，同时对展期的贷款应重新落实担保。</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21、一般档案材料需要退还借款人的，档案管理员将材料复印后退还借款人或委托人，复印件归档进行有关信息登记。</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一般档案材料需要退还借款人的，档案管理员将材料复印后退还借款人或委托人，复印件归档进行有关信息登记。</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22、当产品的每个不同分市场有不同偏好的消费群体时。银行可以采用市场型营销组织结构。</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sectPr w:rsidSect="0066030B">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4"/>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当产品的市场可加以划分，即每个不同分市场有不同偏好的消费群体时，可以采用市场型营销组织结构。</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23、贷款调查与审批中，审批人员可以将贷款调查的全部事项委托有资信的第三方完成。</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审批人员将贷款调查的全部事项委托第三方完成是贷款审查与审批中的主要风险点之一。其他风险点还包括：①业务不合规，业务风险与效益不匹配；②未按权限审批贷款，使得贷款超授权发放；③审批人员对应审查的内容审查不严，导致向不具备贷款发放条件的借款人发放贷款。</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24、下岗失业小额担保贷款可以向港、澳、台地区的下岗失业人员发放。</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下岗失业小额担保贷款是指银行在政府指定的贷款担保机构提供担保的前提下，向中华人民共和国境内(不含港、澳、台地区)的下岗失业人员发放的人民币贷款。</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25、凡向银行申请办理抵质押授信业务的客户，所提供的押品都应进行初次评估。</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26、对于实施“限购”措施的城市，贷款购买首套普通自主房的家庭．个人住房贷款最低首付比例为25％。</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p>
    <w:p w:rsidR="001C6934" w:rsidRPr="00F95114" w:rsidP="00F95114" w14:textId="05ADB07A">
      <w:pPr>
        <w:pStyle w:val="NoSpacing"/>
        <w:jc w:val="left"/>
        <w:rPr>
          <w:rFonts w:ascii="微软雅黑" w:eastAsia="微软雅黑" w:hAnsi="微软雅黑"/>
          <w:sz w:val="24"/>
          <w:szCs w:val="24"/>
        </w:rPr>
        <w:sectPr w:rsidSect="0066030B">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5"/>
          <w:cols w:space="425"/>
          <w:titlePg w:val="0"/>
          <w:docGrid w:type="lines" w:linePitch="312"/>
        </w:sectPr>
      </w:pPr>
      <w:r w:rsidRPr="00F95114">
        <w:rPr>
          <w:rFonts w:ascii="微软雅黑" w:eastAsia="微软雅黑" w:hAnsi="微软雅黑"/>
          <w:b/>
          <w:bCs/>
          <w:sz w:val="24"/>
          <w:szCs w:val="24"/>
          <w:highlight w:val="yellow"/>
        </w:rPr>
        <w:t>【解析】</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在不实施“限购”措施的城市，居民家庭首次购买普通住房的商业性个人住房贷款,原则上最低首付款比例为25％，各地可向下浮动5个百分点。对于实施“限购”措施的城市，贷款购买首套普通自主房的家庭，个人住房贷款最低首付比例为30％。</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27、押品信息的录入及数据维护涉及押品管理的整个流程。我们在押品现场检查中要关注录入相关系统的押品信息是否准确．从而防范因押品实物与系统信息不一致而带来的风险。</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28、公积金个人住房贷款资金一般不得由借款人提取现金。</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除当地公积金管理中心有特殊规定外，公积金个人住房贷款资金必须以转账的方式划入售房人账户，不得由借款人提取现金。</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29、客户盈利分析模式摒弃了“成本导向”的定价思想，树立了“以客户为中心”的经营理念。</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正确</w:t>
      </w:r>
    </w:p>
    <w:p w:rsidR="001C6934" w:rsidRPr="00F95114" w:rsidP="00F95114" w14:textId="05ADB07A">
      <w:pPr>
        <w:pStyle w:val="NoSpacing"/>
        <w:jc w:val="left"/>
        <w:rPr>
          <w:rFonts w:ascii="微软雅黑" w:eastAsia="微软雅黑" w:hAnsi="微软雅黑"/>
          <w:sz w:val="24"/>
          <w:szCs w:val="24"/>
        </w:rPr>
      </w:pPr>
      <w:r w:rsidRPr="00F95114">
        <w:rPr>
          <w:rFonts w:ascii="微软雅黑" w:eastAsia="微软雅黑" w:hAnsi="微软雅黑"/>
          <w:b/>
          <w:bCs/>
          <w:sz w:val="24"/>
          <w:szCs w:val="24"/>
          <w:highlight w:val="yellow"/>
        </w:rPr>
        <w:t>【解析】</w:t>
      </w:r>
      <w:r w:rsidRPr="00F95114">
        <w:rPr>
          <w:rFonts w:ascii="微软雅黑" w:eastAsia="微软雅黑" w:hAnsi="微软雅黑"/>
          <w:sz w:val="24"/>
          <w:szCs w:val="24"/>
          <w:highlight w:val="yellow"/>
        </w:rPr>
        <w:t>客户盈利分析模型的基本思想是综合衡量客户与银行各种业务往来的成本和收益，根据客户对银行的贡献来制定差别化的个人贷款价格，对大客户、重要客户的贷。款在价格上给予一定的优惠。客户盈利分析模式摒弃了传统的“成本导向”定价思想，树立了“以客户为中心”的经营理念，体现了客户的地位和重要性。</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rPr>
        <w:t>（ ）</w:t>
      </w:r>
      <w:r w:rsidRPr="00F95114">
        <w:rPr>
          <w:rFonts w:ascii="微软雅黑" w:eastAsia="微软雅黑" w:hAnsi="微软雅黑"/>
          <w:sz w:val="24"/>
          <w:szCs w:val="24"/>
        </w:rPr>
        <w:t>30、自营性个人住房贷款，是指银行运用信贷资金向在域镇或农村购买、建造或大修理各类住房的个人发放的贷款：</w:t>
      </w:r>
      <w:r w:rsidRPr="00F95114">
        <w:rPr>
          <w:rFonts w:ascii="微软雅黑" w:eastAsia="微软雅黑" w:hAnsi="微软雅黑" w:hint="eastAsia"/>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错误</w:t>
      </w:r>
      <w:r w:rsidRPr="00F95114">
        <w:rPr>
          <w:rFonts w:ascii="微软雅黑" w:eastAsia="微软雅黑" w:hAnsi="微软雅黑"/>
          <w:sz w:val="24"/>
          <w:szCs w:val="24"/>
        </w:rPr>
        <w:br/>
      </w:r>
      <w:r w:rsidRPr="00F95114">
        <w:rPr>
          <w:rFonts w:ascii="微软雅黑" w:eastAsia="微软雅黑" w:hAnsi="微软雅黑"/>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rPr>
          <w:t>https://d.book118.com/516104112210010102</w:t>
        </w:r>
      </w:hyperlink>
    </w:p>
    <w:p w:rsidR="001C6934" w:rsidRPr="00F95114" w:rsidP="00F95114">
      <w:pPr>
        <w:pStyle w:val="NoSpacing"/>
        <w:jc w:val="left"/>
        <w:rPr>
          <w:rFonts w:ascii="微软雅黑" w:eastAsia="微软雅黑" w:hAnsi="微软雅黑"/>
          <w:sz w:val="24"/>
          <w:szCs w:val="24"/>
        </w:rPr>
      </w:pPr>
    </w:p>
    <w:sectPr w:rsidSect="0066030B">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69935B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1583165"/>
      <w:docPartObj>
        <w:docPartGallery w:val="Page Numbers (Bottom of Page)"/>
        <w:docPartUnique/>
      </w:docPartObj>
    </w:sdtPr>
    <w:sdtContent>
      <w:sdt>
        <w:sdtPr>
          <w:id w:val="-1705238520"/>
          <w:docPartObj>
            <w:docPartGallery w:val="Page Numbers (Top of Page)"/>
            <w:docPartUnique/>
          </w:docPartObj>
        </w:sdtPr>
        <w:sdtContent>
          <w:p w:rsidR="000D00B8" w14:paraId="050E1FBB"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paraId="04C8AA9F" w14:textId="2E155F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186E0F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4117111"/>
      <w:docPartObj>
        <w:docPartGallery w:val="Page Numbers (Bottom of Page)"/>
        <w:docPartUnique/>
      </w:docPartObj>
    </w:sdtPr>
    <w:sdtContent>
      <w:sdt>
        <w:sdtPr>
          <w:id w:val="140991119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8677882"/>
      <w:docPartObj>
        <w:docPartGallery w:val="Page Numbers (Bottom of Page)"/>
        <w:docPartUnique/>
      </w:docPartObj>
    </w:sdtPr>
    <w:sdtContent>
      <w:sdt>
        <w:sdtPr>
          <w:id w:val="205981284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4292447"/>
      <w:docPartObj>
        <w:docPartGallery w:val="Page Numbers (Bottom of Page)"/>
        <w:docPartUnique/>
      </w:docPartObj>
    </w:sdtPr>
    <w:sdtContent>
      <w:sdt>
        <w:sdtPr>
          <w:id w:val="588176158"/>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4579377"/>
      <w:docPartObj>
        <w:docPartGallery w:val="Page Numbers (Bottom of Page)"/>
        <w:docPartUnique/>
      </w:docPartObj>
    </w:sdtPr>
    <w:sdtContent>
      <w:sdt>
        <w:sdtPr>
          <w:id w:val="39499247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6393043"/>
      <w:docPartObj>
        <w:docPartGallery w:val="Page Numbers (Bottom of Page)"/>
        <w:docPartUnique/>
      </w:docPartObj>
    </w:sdtPr>
    <w:sdtContent>
      <w:sdt>
        <w:sdtPr>
          <w:id w:val="90009717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9280347"/>
      <w:docPartObj>
        <w:docPartGallery w:val="Page Numbers (Bottom of Page)"/>
        <w:docPartUnique/>
      </w:docPartObj>
    </w:sdtPr>
    <w:sdtContent>
      <w:sdt>
        <w:sdtPr>
          <w:id w:val="1061591059"/>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7677587"/>
      <w:docPartObj>
        <w:docPartGallery w:val="Page Numbers (Bottom of Page)"/>
        <w:docPartUnique/>
      </w:docPartObj>
    </w:sdtPr>
    <w:sdtContent>
      <w:sdt>
        <w:sdtPr>
          <w:id w:val="1119831291"/>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8878602"/>
      <w:docPartObj>
        <w:docPartGallery w:val="Page Numbers (Bottom of Page)"/>
        <w:docPartUnique/>
      </w:docPartObj>
    </w:sdtPr>
    <w:sdtContent>
      <w:sdt>
        <w:sdtPr>
          <w:id w:val="87367072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1999981"/>
      <w:docPartObj>
        <w:docPartGallery w:val="Page Numbers (Bottom of Page)"/>
        <w:docPartUnique/>
      </w:docPartObj>
    </w:sdtPr>
    <w:sdtContent>
      <w:sdt>
        <w:sdtPr>
          <w:id w:val="101488852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3463745"/>
      <w:docPartObj>
        <w:docPartGallery w:val="Page Numbers (Bottom of Page)"/>
        <w:docPartUnique/>
      </w:docPartObj>
    </w:sdtPr>
    <w:sdtContent>
      <w:sdt>
        <w:sdtPr>
          <w:id w:val="75001101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114588"/>
      <w:docPartObj>
        <w:docPartGallery w:val="Page Numbers (Bottom of Page)"/>
        <w:docPartUnique/>
      </w:docPartObj>
    </w:sdtPr>
    <w:sdtContent>
      <w:sdt>
        <w:sdtPr>
          <w:id w:val="364615528"/>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5936228"/>
      <w:docPartObj>
        <w:docPartGallery w:val="Page Numbers (Bottom of Page)"/>
        <w:docPartUnique/>
      </w:docPartObj>
    </w:sdtPr>
    <w:sdtContent>
      <w:sdt>
        <w:sdtPr>
          <w:id w:val="674407898"/>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3823820"/>
      <w:docPartObj>
        <w:docPartGallery w:val="Page Numbers (Bottom of Page)"/>
        <w:docPartUnique/>
      </w:docPartObj>
    </w:sdtPr>
    <w:sdtContent>
      <w:sdt>
        <w:sdtPr>
          <w:id w:val="177984115"/>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9352060"/>
      <w:docPartObj>
        <w:docPartGallery w:val="Page Numbers (Bottom of Page)"/>
        <w:docPartUnique/>
      </w:docPartObj>
    </w:sdtPr>
    <w:sdtContent>
      <w:sdt>
        <w:sdtPr>
          <w:id w:val="19705038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8467773"/>
      <w:docPartObj>
        <w:docPartGallery w:val="Page Numbers (Bottom of Page)"/>
        <w:docPartUnique/>
      </w:docPartObj>
    </w:sdtPr>
    <w:sdtContent>
      <w:sdt>
        <w:sdtPr>
          <w:id w:val="62046400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0281343"/>
      <w:docPartObj>
        <w:docPartGallery w:val="Page Numbers (Bottom of Page)"/>
        <w:docPartUnique/>
      </w:docPartObj>
    </w:sdtPr>
    <w:sdtContent>
      <w:sdt>
        <w:sdtPr>
          <w:id w:val="1222995221"/>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4462037"/>
      <w:docPartObj>
        <w:docPartGallery w:val="Page Numbers (Bottom of Page)"/>
        <w:docPartUnique/>
      </w:docPartObj>
    </w:sdtPr>
    <w:sdtContent>
      <w:sdt>
        <w:sdtPr>
          <w:id w:val="36940778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4815999"/>
      <w:docPartObj>
        <w:docPartGallery w:val="Page Numbers (Bottom of Page)"/>
        <w:docPartUnique/>
      </w:docPartObj>
    </w:sdtPr>
    <w:sdtContent>
      <w:sdt>
        <w:sdtPr>
          <w:id w:val="1433909752"/>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2950136"/>
      <w:docPartObj>
        <w:docPartGallery w:val="Page Numbers (Bottom of Page)"/>
        <w:docPartUnique/>
      </w:docPartObj>
    </w:sdtPr>
    <w:sdtContent>
      <w:sdt>
        <w:sdtPr>
          <w:id w:val="1159613568"/>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0171927"/>
      <w:docPartObj>
        <w:docPartGallery w:val="Page Numbers (Bottom of Page)"/>
        <w:docPartUnique/>
      </w:docPartObj>
    </w:sdtPr>
    <w:sdtContent>
      <w:sdt>
        <w:sdtPr>
          <w:id w:val="1515192862"/>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7671247"/>
      <w:docPartObj>
        <w:docPartGallery w:val="Page Numbers (Bottom of Page)"/>
        <w:docPartUnique/>
      </w:docPartObj>
    </w:sdtPr>
    <w:sdtContent>
      <w:sdt>
        <w:sdtPr>
          <w:id w:val="34722740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5987353"/>
      <w:docPartObj>
        <w:docPartGallery w:val="Page Numbers (Bottom of Page)"/>
        <w:docPartUnique/>
      </w:docPartObj>
    </w:sdtPr>
    <w:sdtContent>
      <w:sdt>
        <w:sdtPr>
          <w:id w:val="1437824839"/>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714473"/>
      <w:docPartObj>
        <w:docPartGallery w:val="Page Numbers (Bottom of Page)"/>
        <w:docPartUnique/>
      </w:docPartObj>
    </w:sdtPr>
    <w:sdtContent>
      <w:sdt>
        <w:sdtPr>
          <w:id w:val="95447219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2795805"/>
      <w:docPartObj>
        <w:docPartGallery w:val="Page Numbers (Bottom of Page)"/>
        <w:docPartUnique/>
      </w:docPartObj>
    </w:sdtPr>
    <w:sdtContent>
      <w:sdt>
        <w:sdtPr>
          <w:id w:val="1304738875"/>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5507295"/>
      <w:docPartObj>
        <w:docPartGallery w:val="Page Numbers (Bottom of Page)"/>
        <w:docPartUnique/>
      </w:docPartObj>
    </w:sdtPr>
    <w:sdtContent>
      <w:sdt>
        <w:sdtPr>
          <w:id w:val="693105444"/>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33</w:t>
            </w:r>
            <w:r>
              <w:rPr>
                <w:b/>
                <w:bCs/>
                <w:sz w:val="24"/>
                <w:szCs w:val="24"/>
              </w:rPr>
              <w:fldChar w:fldCharType="end"/>
            </w:r>
          </w:p>
        </w:sdtContent>
      </w:sdt>
    </w:sdtContent>
  </w:sdt>
  <w:p w:rsidR="00250606" w14:textId="2E155FEF">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7CA87A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5A391C8D" w14:textId="426301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22626C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240B57"/>
    <w:multiLevelType w:val="hybridMultilevel"/>
    <w:tmpl w:val="56F42D5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021C2DD8"/>
    <w:multiLevelType w:val="hybridMultilevel"/>
    <w:tmpl w:val="C9647AE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30634CB"/>
    <w:multiLevelType w:val="hybridMultilevel"/>
    <w:tmpl w:val="FBC2E318"/>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
    <w:nsid w:val="050A7F7D"/>
    <w:multiLevelType w:val="hybridMultilevel"/>
    <w:tmpl w:val="6E72A4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4">
    <w:nsid w:val="17890991"/>
    <w:multiLevelType w:val="hybridMultilevel"/>
    <w:tmpl w:val="5854254E"/>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5">
    <w:nsid w:val="199A6372"/>
    <w:multiLevelType w:val="hybridMultilevel"/>
    <w:tmpl w:val="8BA6FF8C"/>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6">
    <w:nsid w:val="1C4E0EB2"/>
    <w:multiLevelType w:val="hybridMultilevel"/>
    <w:tmpl w:val="E17E3DC8"/>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CAF2778"/>
    <w:multiLevelType w:val="hybridMultilevel"/>
    <w:tmpl w:val="C8C823A2"/>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8">
    <w:nsid w:val="244F2626"/>
    <w:multiLevelType w:val="hybridMultilevel"/>
    <w:tmpl w:val="E01E5D04"/>
    <w:lvl w:ilvl="0">
      <w:start w:val="1"/>
      <w:numFmt w:val="upperLetter"/>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9">
    <w:nsid w:val="29F0082D"/>
    <w:multiLevelType w:val="hybridMultilevel"/>
    <w:tmpl w:val="8C74AD46"/>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0">
    <w:nsid w:val="29F13B1E"/>
    <w:multiLevelType w:val="hybridMultilevel"/>
    <w:tmpl w:val="470A978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1">
    <w:nsid w:val="3CE71C68"/>
    <w:multiLevelType w:val="hybridMultilevel"/>
    <w:tmpl w:val="1272FD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2">
    <w:nsid w:val="3E404E42"/>
    <w:multiLevelType w:val="hybridMultilevel"/>
    <w:tmpl w:val="21FC1F82"/>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45620C60"/>
    <w:multiLevelType w:val="hybridMultilevel"/>
    <w:tmpl w:val="CFD6D29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4">
    <w:nsid w:val="46CB1E3F"/>
    <w:multiLevelType w:val="hybridMultilevel"/>
    <w:tmpl w:val="2B280B1A"/>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
    <w:nsid w:val="48AE6D74"/>
    <w:multiLevelType w:val="hybridMultilevel"/>
    <w:tmpl w:val="8EE2DD0C"/>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6">
    <w:nsid w:val="4B5B300C"/>
    <w:multiLevelType w:val="hybridMultilevel"/>
    <w:tmpl w:val="F62EEE12"/>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7">
    <w:nsid w:val="50477467"/>
    <w:multiLevelType w:val="hybridMultilevel"/>
    <w:tmpl w:val="B0FC4348"/>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6B773A3"/>
    <w:multiLevelType w:val="hybridMultilevel"/>
    <w:tmpl w:val="7DA6B73E"/>
    <w:lvl w:ilvl="0">
      <w:start w:val="1"/>
      <w:numFmt w:val="upperLetter"/>
      <w:lvlText w:val="%1)"/>
      <w:lvlJc w:val="left"/>
      <w:pPr>
        <w:ind w:left="-225" w:hanging="360"/>
      </w:pPr>
      <w:rPr>
        <w:rFonts w:hint="default"/>
      </w:rPr>
    </w:lvl>
    <w:lvl w:ilvl="1" w:tentative="1">
      <w:start w:val="1"/>
      <w:numFmt w:val="lowerLetter"/>
      <w:lvlText w:val="%2)"/>
      <w:lvlJc w:val="left"/>
      <w:pPr>
        <w:ind w:left="255" w:hanging="420"/>
      </w:pPr>
    </w:lvl>
    <w:lvl w:ilvl="2" w:tentative="1">
      <w:start w:val="1"/>
      <w:numFmt w:val="lowerRoman"/>
      <w:lvlText w:val="%3."/>
      <w:lvlJc w:val="right"/>
      <w:pPr>
        <w:ind w:left="675" w:hanging="420"/>
      </w:pPr>
    </w:lvl>
    <w:lvl w:ilvl="3" w:tentative="1">
      <w:start w:val="1"/>
      <w:numFmt w:val="decimal"/>
      <w:lvlText w:val="%4."/>
      <w:lvlJc w:val="left"/>
      <w:pPr>
        <w:ind w:left="1095" w:hanging="420"/>
      </w:pPr>
    </w:lvl>
    <w:lvl w:ilvl="4" w:tentative="1">
      <w:start w:val="1"/>
      <w:numFmt w:val="lowerLetter"/>
      <w:lvlText w:val="%5)"/>
      <w:lvlJc w:val="left"/>
      <w:pPr>
        <w:ind w:left="1515" w:hanging="420"/>
      </w:pPr>
    </w:lvl>
    <w:lvl w:ilvl="5" w:tentative="1">
      <w:start w:val="1"/>
      <w:numFmt w:val="lowerRoman"/>
      <w:lvlText w:val="%6."/>
      <w:lvlJc w:val="right"/>
      <w:pPr>
        <w:ind w:left="1935" w:hanging="420"/>
      </w:pPr>
    </w:lvl>
    <w:lvl w:ilvl="6" w:tentative="1">
      <w:start w:val="1"/>
      <w:numFmt w:val="decimal"/>
      <w:lvlText w:val="%7."/>
      <w:lvlJc w:val="left"/>
      <w:pPr>
        <w:ind w:left="2355" w:hanging="420"/>
      </w:pPr>
    </w:lvl>
    <w:lvl w:ilvl="7" w:tentative="1">
      <w:start w:val="1"/>
      <w:numFmt w:val="lowerLetter"/>
      <w:lvlText w:val="%8)"/>
      <w:lvlJc w:val="left"/>
      <w:pPr>
        <w:ind w:left="2775" w:hanging="420"/>
      </w:pPr>
    </w:lvl>
    <w:lvl w:ilvl="8" w:tentative="1">
      <w:start w:val="1"/>
      <w:numFmt w:val="lowerRoman"/>
      <w:lvlText w:val="%9."/>
      <w:lvlJc w:val="right"/>
      <w:pPr>
        <w:ind w:left="3195" w:hanging="420"/>
      </w:pPr>
    </w:lvl>
  </w:abstractNum>
  <w:abstractNum w:abstractNumId="19">
    <w:nsid w:val="614B4C5A"/>
    <w:multiLevelType w:val="hybridMultilevel"/>
    <w:tmpl w:val="D366737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0">
    <w:nsid w:val="69506332"/>
    <w:multiLevelType w:val="hybridMultilevel"/>
    <w:tmpl w:val="5EB23778"/>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1">
    <w:nsid w:val="6DA46D6B"/>
    <w:multiLevelType w:val="hybridMultilevel"/>
    <w:tmpl w:val="EAE05C8A"/>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6DBE4F4F"/>
    <w:multiLevelType w:val="hybridMultilevel"/>
    <w:tmpl w:val="C6123874"/>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23">
    <w:nsid w:val="6EAF0DB0"/>
    <w:multiLevelType w:val="hybridMultilevel"/>
    <w:tmpl w:val="A3F800C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72C41317"/>
    <w:multiLevelType w:val="hybridMultilevel"/>
    <w:tmpl w:val="FE0E17B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5">
    <w:nsid w:val="736833D6"/>
    <w:multiLevelType w:val="hybridMultilevel"/>
    <w:tmpl w:val="D2C8CA4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6">
    <w:nsid w:val="75B45112"/>
    <w:multiLevelType w:val="hybridMultilevel"/>
    <w:tmpl w:val="B11E5434"/>
    <w:lvl w:ilvl="0">
      <w:start w:val="1"/>
      <w:numFmt w:val="decimal"/>
      <w:lvlText w:val="%1."/>
      <w:lvlJc w:val="left"/>
      <w:pPr>
        <w:ind w:left="420" w:hanging="420"/>
      </w:p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7875681E"/>
    <w:multiLevelType w:val="hybridMultilevel"/>
    <w:tmpl w:val="22CC3B0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8">
    <w:nsid w:val="7C9A6EF3"/>
    <w:multiLevelType w:val="hybridMultilevel"/>
    <w:tmpl w:val="7904F02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16cid:durableId="1237017193">
    <w:abstractNumId w:val="1"/>
  </w:num>
  <w:num w:numId="2" w16cid:durableId="1990674642">
    <w:abstractNumId w:val="17"/>
  </w:num>
  <w:num w:numId="3" w16cid:durableId="398552210">
    <w:abstractNumId w:val="18"/>
  </w:num>
  <w:num w:numId="4" w16cid:durableId="1633290822">
    <w:abstractNumId w:val="26"/>
  </w:num>
  <w:num w:numId="5" w16cid:durableId="464809240">
    <w:abstractNumId w:val="8"/>
  </w:num>
  <w:num w:numId="6" w16cid:durableId="48386365">
    <w:abstractNumId w:val="0"/>
  </w:num>
  <w:num w:numId="7" w16cid:durableId="1956789373">
    <w:abstractNumId w:val="22"/>
  </w:num>
  <w:num w:numId="8" w16cid:durableId="1678193480">
    <w:abstractNumId w:val="6"/>
  </w:num>
  <w:num w:numId="9" w16cid:durableId="23555093">
    <w:abstractNumId w:val="23"/>
  </w:num>
  <w:num w:numId="10" w16cid:durableId="775633407">
    <w:abstractNumId w:val="9"/>
  </w:num>
  <w:num w:numId="11" w16cid:durableId="316342430">
    <w:abstractNumId w:val="7"/>
  </w:num>
  <w:num w:numId="12" w16cid:durableId="505828143">
    <w:abstractNumId w:val="11"/>
  </w:num>
  <w:num w:numId="13" w16cid:durableId="978615114">
    <w:abstractNumId w:val="27"/>
  </w:num>
  <w:num w:numId="14" w16cid:durableId="1703552593">
    <w:abstractNumId w:val="12"/>
  </w:num>
  <w:num w:numId="15" w16cid:durableId="2005467824">
    <w:abstractNumId w:val="16"/>
  </w:num>
  <w:num w:numId="16" w16cid:durableId="521211827">
    <w:abstractNumId w:val="20"/>
  </w:num>
  <w:num w:numId="17" w16cid:durableId="440682958">
    <w:abstractNumId w:val="4"/>
  </w:num>
  <w:num w:numId="18" w16cid:durableId="1216700490">
    <w:abstractNumId w:val="14"/>
  </w:num>
  <w:num w:numId="19" w16cid:durableId="1347900645">
    <w:abstractNumId w:val="15"/>
  </w:num>
  <w:num w:numId="20" w16cid:durableId="1342470147">
    <w:abstractNumId w:val="3"/>
  </w:num>
  <w:num w:numId="21" w16cid:durableId="1635599725">
    <w:abstractNumId w:val="2"/>
  </w:num>
  <w:num w:numId="22" w16cid:durableId="1495797416">
    <w:abstractNumId w:val="28"/>
  </w:num>
  <w:num w:numId="23" w16cid:durableId="925069389">
    <w:abstractNumId w:val="13"/>
  </w:num>
  <w:num w:numId="24" w16cid:durableId="10957594">
    <w:abstractNumId w:val="21"/>
  </w:num>
  <w:num w:numId="25" w16cid:durableId="1139030762">
    <w:abstractNumId w:val="25"/>
  </w:num>
  <w:num w:numId="26" w16cid:durableId="261230349">
    <w:abstractNumId w:val="10"/>
  </w:num>
  <w:num w:numId="27" w16cid:durableId="1980649658">
    <w:abstractNumId w:val="19"/>
  </w:num>
  <w:num w:numId="28" w16cid:durableId="2053528581">
    <w:abstractNumId w:val="5"/>
  </w:num>
  <w:num w:numId="29" w16cid:durableId="127278015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DB8"/>
    <w:rsid w:val="00022984"/>
    <w:rsid w:val="000352AA"/>
    <w:rsid w:val="00044F9C"/>
    <w:rsid w:val="00046117"/>
    <w:rsid w:val="00046776"/>
    <w:rsid w:val="000553BA"/>
    <w:rsid w:val="00055762"/>
    <w:rsid w:val="000D00B8"/>
    <w:rsid w:val="000F504C"/>
    <w:rsid w:val="0010736A"/>
    <w:rsid w:val="0011261D"/>
    <w:rsid w:val="00122761"/>
    <w:rsid w:val="0014009E"/>
    <w:rsid w:val="00143C51"/>
    <w:rsid w:val="00145D7C"/>
    <w:rsid w:val="00167DA2"/>
    <w:rsid w:val="001B150B"/>
    <w:rsid w:val="001C6934"/>
    <w:rsid w:val="001D5875"/>
    <w:rsid w:val="001E42FD"/>
    <w:rsid w:val="0021111D"/>
    <w:rsid w:val="00234AAF"/>
    <w:rsid w:val="00250606"/>
    <w:rsid w:val="00260D6E"/>
    <w:rsid w:val="002A77C1"/>
    <w:rsid w:val="002B0666"/>
    <w:rsid w:val="002F1864"/>
    <w:rsid w:val="00314A71"/>
    <w:rsid w:val="00316A17"/>
    <w:rsid w:val="00326919"/>
    <w:rsid w:val="003303AF"/>
    <w:rsid w:val="00354481"/>
    <w:rsid w:val="00375E57"/>
    <w:rsid w:val="00390954"/>
    <w:rsid w:val="003C6C85"/>
    <w:rsid w:val="003C7C42"/>
    <w:rsid w:val="003F000F"/>
    <w:rsid w:val="003F2834"/>
    <w:rsid w:val="003F7C1D"/>
    <w:rsid w:val="00440F48"/>
    <w:rsid w:val="00451109"/>
    <w:rsid w:val="00454405"/>
    <w:rsid w:val="00457843"/>
    <w:rsid w:val="004B0EF8"/>
    <w:rsid w:val="004C1EDC"/>
    <w:rsid w:val="004C270A"/>
    <w:rsid w:val="004C3D1C"/>
    <w:rsid w:val="00505907"/>
    <w:rsid w:val="005123C7"/>
    <w:rsid w:val="00513A70"/>
    <w:rsid w:val="005421DC"/>
    <w:rsid w:val="00560AD8"/>
    <w:rsid w:val="00571177"/>
    <w:rsid w:val="005D0B95"/>
    <w:rsid w:val="005D54AB"/>
    <w:rsid w:val="005D6335"/>
    <w:rsid w:val="005D6700"/>
    <w:rsid w:val="00614FBC"/>
    <w:rsid w:val="00624903"/>
    <w:rsid w:val="006500CE"/>
    <w:rsid w:val="0066030B"/>
    <w:rsid w:val="006658A5"/>
    <w:rsid w:val="006711F4"/>
    <w:rsid w:val="00684D34"/>
    <w:rsid w:val="006A3950"/>
    <w:rsid w:val="006C632C"/>
    <w:rsid w:val="006D6D4D"/>
    <w:rsid w:val="00710AE0"/>
    <w:rsid w:val="00721340"/>
    <w:rsid w:val="0077637A"/>
    <w:rsid w:val="007C3840"/>
    <w:rsid w:val="00825F29"/>
    <w:rsid w:val="008279EE"/>
    <w:rsid w:val="00835844"/>
    <w:rsid w:val="008544B3"/>
    <w:rsid w:val="00893E51"/>
    <w:rsid w:val="008A6CEB"/>
    <w:rsid w:val="008B7176"/>
    <w:rsid w:val="008C2F17"/>
    <w:rsid w:val="008E030A"/>
    <w:rsid w:val="008E0515"/>
    <w:rsid w:val="008E4B3F"/>
    <w:rsid w:val="0093489E"/>
    <w:rsid w:val="0095276C"/>
    <w:rsid w:val="009748F9"/>
    <w:rsid w:val="009C436C"/>
    <w:rsid w:val="00A0324B"/>
    <w:rsid w:val="00A05F1B"/>
    <w:rsid w:val="00A16AAA"/>
    <w:rsid w:val="00A26DBE"/>
    <w:rsid w:val="00A349D3"/>
    <w:rsid w:val="00A459EE"/>
    <w:rsid w:val="00A50FD0"/>
    <w:rsid w:val="00A57FAC"/>
    <w:rsid w:val="00A80113"/>
    <w:rsid w:val="00A8677D"/>
    <w:rsid w:val="00A900F2"/>
    <w:rsid w:val="00AD2E26"/>
    <w:rsid w:val="00AF66A2"/>
    <w:rsid w:val="00B05324"/>
    <w:rsid w:val="00B326D0"/>
    <w:rsid w:val="00B33799"/>
    <w:rsid w:val="00B60604"/>
    <w:rsid w:val="00B60719"/>
    <w:rsid w:val="00B62CE2"/>
    <w:rsid w:val="00B742C1"/>
    <w:rsid w:val="00B816BF"/>
    <w:rsid w:val="00B841D5"/>
    <w:rsid w:val="00B95272"/>
    <w:rsid w:val="00B976CC"/>
    <w:rsid w:val="00BC26C6"/>
    <w:rsid w:val="00BD2569"/>
    <w:rsid w:val="00BD59F0"/>
    <w:rsid w:val="00BD6A29"/>
    <w:rsid w:val="00C05B00"/>
    <w:rsid w:val="00C153BE"/>
    <w:rsid w:val="00C34403"/>
    <w:rsid w:val="00C51FCB"/>
    <w:rsid w:val="00C550A1"/>
    <w:rsid w:val="00C6314B"/>
    <w:rsid w:val="00C66BFE"/>
    <w:rsid w:val="00C93FEB"/>
    <w:rsid w:val="00CA061C"/>
    <w:rsid w:val="00CA0C7F"/>
    <w:rsid w:val="00CA2ED2"/>
    <w:rsid w:val="00CD0BD1"/>
    <w:rsid w:val="00CF742C"/>
    <w:rsid w:val="00D11ABE"/>
    <w:rsid w:val="00D40A34"/>
    <w:rsid w:val="00E00DB8"/>
    <w:rsid w:val="00E130E5"/>
    <w:rsid w:val="00E25C7C"/>
    <w:rsid w:val="00E318C8"/>
    <w:rsid w:val="00E33B41"/>
    <w:rsid w:val="00E42BC7"/>
    <w:rsid w:val="00E457C7"/>
    <w:rsid w:val="00E5645D"/>
    <w:rsid w:val="00E5793C"/>
    <w:rsid w:val="00E85CA0"/>
    <w:rsid w:val="00E924D9"/>
    <w:rsid w:val="00EA5B94"/>
    <w:rsid w:val="00EB0881"/>
    <w:rsid w:val="00EB14D1"/>
    <w:rsid w:val="00EC0A6F"/>
    <w:rsid w:val="00ED031F"/>
    <w:rsid w:val="00EE4700"/>
    <w:rsid w:val="00EF0083"/>
    <w:rsid w:val="00F30C90"/>
    <w:rsid w:val="00F32540"/>
    <w:rsid w:val="00F365EB"/>
    <w:rsid w:val="00F500CE"/>
    <w:rsid w:val="00F7033B"/>
    <w:rsid w:val="00F74547"/>
    <w:rsid w:val="00F927C1"/>
    <w:rsid w:val="00F93560"/>
    <w:rsid w:val="00F95114"/>
    <w:rsid w:val="00FA2859"/>
    <w:rsid w:val="00FB2C4D"/>
    <w:rsid w:val="00FB3511"/>
    <w:rsid w:val="00FC77D3"/>
    <w:rsid w:val="00FD0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66DA72"/>
  <w15:chartTrackingRefBased/>
  <w15:docId w15:val="{28740C0A-1AC4-4B4B-A010-739BD4C49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66A2"/>
    <w:pPr>
      <w:widowControl w:val="0"/>
      <w:jc w:val="both"/>
    </w:pPr>
  </w:style>
  <w:style w:type="paragraph" w:styleId="Heading1">
    <w:name w:val="heading 1"/>
    <w:basedOn w:val="Normal"/>
    <w:next w:val="Normal"/>
    <w:link w:val="1"/>
    <w:uiPriority w:val="9"/>
    <w:qFormat/>
    <w:rsid w:val="00AF66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841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66A2"/>
    <w:rPr>
      <w:color w:val="808080"/>
    </w:rPr>
  </w:style>
  <w:style w:type="character" w:customStyle="1" w:styleId="1">
    <w:name w:val="标题 1 字符"/>
    <w:basedOn w:val="DefaultParagraphFont"/>
    <w:link w:val="Heading1"/>
    <w:uiPriority w:val="9"/>
    <w:rsid w:val="00AF66A2"/>
    <w:rPr>
      <w:b/>
      <w:bCs/>
      <w:kern w:val="44"/>
      <w:sz w:val="44"/>
      <w:szCs w:val="44"/>
    </w:rPr>
  </w:style>
  <w:style w:type="paragraph" w:styleId="TOCHeading">
    <w:name w:val="TOC Heading"/>
    <w:basedOn w:val="Heading1"/>
    <w:next w:val="Normal"/>
    <w:uiPriority w:val="39"/>
    <w:unhideWhenUsed/>
    <w:qFormat/>
    <w:rsid w:val="00AF66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styleId="TableGrid">
    <w:name w:val="Table Grid"/>
    <w:basedOn w:val="TableNormal"/>
    <w:uiPriority w:val="39"/>
    <w:rsid w:val="00AD2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2F17"/>
    <w:pPr>
      <w:ind w:firstLine="420" w:firstLineChars="200"/>
    </w:pPr>
  </w:style>
  <w:style w:type="paragraph" w:styleId="Header">
    <w:name w:val="header"/>
    <w:basedOn w:val="Normal"/>
    <w:link w:val="a"/>
    <w:uiPriority w:val="99"/>
    <w:unhideWhenUsed/>
    <w:rsid w:val="00B05324"/>
    <w:pPr>
      <w:tabs>
        <w:tab w:val="center" w:pos="4680"/>
        <w:tab w:val="right" w:pos="9360"/>
      </w:tabs>
    </w:pPr>
  </w:style>
  <w:style w:type="character" w:customStyle="1" w:styleId="a">
    <w:name w:val="页眉 字符"/>
    <w:basedOn w:val="DefaultParagraphFont"/>
    <w:link w:val="Header"/>
    <w:uiPriority w:val="99"/>
    <w:rsid w:val="00B05324"/>
  </w:style>
  <w:style w:type="paragraph" w:styleId="Footer">
    <w:name w:val="footer"/>
    <w:basedOn w:val="Normal"/>
    <w:link w:val="a0"/>
    <w:uiPriority w:val="99"/>
    <w:unhideWhenUsed/>
    <w:rsid w:val="00B05324"/>
    <w:pPr>
      <w:tabs>
        <w:tab w:val="center" w:pos="4680"/>
        <w:tab w:val="right" w:pos="9360"/>
      </w:tabs>
    </w:pPr>
  </w:style>
  <w:style w:type="character" w:customStyle="1" w:styleId="a0">
    <w:name w:val="页脚 字符"/>
    <w:basedOn w:val="DefaultParagraphFont"/>
    <w:link w:val="Footer"/>
    <w:uiPriority w:val="99"/>
    <w:rsid w:val="00B05324"/>
  </w:style>
  <w:style w:type="character" w:customStyle="1" w:styleId="2">
    <w:name w:val="标题 2 字符"/>
    <w:basedOn w:val="DefaultParagraphFont"/>
    <w:link w:val="Heading2"/>
    <w:uiPriority w:val="9"/>
    <w:rsid w:val="00B841D5"/>
    <w:rPr>
      <w:rFonts w:asciiTheme="majorHAnsi" w:eastAsiaTheme="majorEastAsia" w:hAnsiTheme="majorHAnsi" w:cstheme="majorBidi"/>
      <w:b/>
      <w:bCs/>
      <w:sz w:val="32"/>
      <w:szCs w:val="32"/>
    </w:rPr>
  </w:style>
  <w:style w:type="paragraph" w:styleId="NoSpacing">
    <w:name w:val="No Spacing"/>
    <w:uiPriority w:val="1"/>
    <w:qFormat/>
    <w:rsid w:val="00F95114"/>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51610411221001010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numbering" Target="numbering.xml" /><Relationship Id="rId163"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283</TotalTime>
  <Pages>33</Pages>
  <Words>281</Words>
  <Characters>1608</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 峰</cp:lastModifiedBy>
  <cp:revision>94</cp:revision>
  <dcterms:created xsi:type="dcterms:W3CDTF">2021-03-09T15:13:00Z</dcterms:created>
  <dcterms:modified xsi:type="dcterms:W3CDTF">2023-03-16T12:24:00Z</dcterms:modified>
</cp:coreProperties>
</file>