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9" w:lineRule="auto"/>
        <w:rPr>
          <w:rFonts w:ascii="Arial"/>
          <w:sz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6.15pt;height:12.6pt;margin-top:61.35pt;margin-left:65.1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7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14:textOutline w14:w="3265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证券研究报告</w:t>
                  </w:r>
                </w:p>
              </w:txbxContent>
            </v:textbox>
          </v:shape>
        </w:pict>
      </w:r>
      <w:r>
        <w:pict>
          <v:shape id="_x0000_s1026" type="#_x0000_t202" style="width:38pt;height:83.6pt;margin-top:99.18pt;margin-left:65.06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50" w:lineRule="auto"/>
                    <w:ind w:left="21" w:right="142" w:firstLine="4"/>
                    <w:rPr>
                      <w:sz w:val="18"/>
                      <w:szCs w:val="18"/>
                    </w:rPr>
                  </w:pPr>
                  <w:r>
                    <w:rPr>
                      <w:spacing w:val="6"/>
                      <w:sz w:val="19"/>
                      <w:szCs w:val="19"/>
                    </w:rPr>
                    <w:t>分析师</w:t>
                  </w:r>
                  <w:r>
                    <w:rPr>
                      <w:spacing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段超</w:t>
                  </w:r>
                </w:p>
                <w:p>
                  <w:pPr>
                    <w:pStyle w:val="BodyText"/>
                    <w:spacing w:before="66" w:line="227" w:lineRule="auto"/>
                    <w:ind w:left="28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王轶君</w:t>
                  </w: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59" w:line="253" w:lineRule="auto"/>
                    <w:ind w:left="22" w:right="20" w:hanging="2"/>
                    <w:rPr>
                      <w:sz w:val="18"/>
                      <w:szCs w:val="18"/>
                    </w:rPr>
                  </w:pPr>
                  <w:r>
                    <w:rPr>
                      <w:spacing w:val="-1"/>
                      <w:sz w:val="18"/>
                      <w:szCs w:val="18"/>
                    </w:rPr>
                    <w:t>研究助理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谢智勇</w:t>
                  </w:r>
                </w:p>
              </w:txbxContent>
            </v:textbox>
          </v:shape>
        </w:pict>
      </w:r>
      <w:r>
        <w:pict>
          <v:shape id="_x0000_s1027" type="#_x0000_t202" style="width:64.95pt;height:24.3pt;margin-top:115pt;margin-left:118.27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before="20" w:line="283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0"/>
                      <w:sz w:val="18"/>
                      <w:szCs w:val="18"/>
                    </w:rPr>
                    <w:t>S0190516070004</w:t>
                  </w:r>
                </w:p>
                <w:p>
                  <w:pPr>
                    <w:spacing w:line="188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S0190513070008</w:t>
                  </w:r>
                </w:p>
              </w:txbxContent>
            </v:textbox>
          </v:shape>
        </w:pict>
      </w:r>
      <w:r>
        <w:pict>
          <v:shape id="_x0000_s1028" type="#_x0000_t202" style="width:275.9pt;height:25pt;margin-top:119.21pt;margin-left:236.77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2" w:lineRule="auto"/>
                    <w:jc w:val="right"/>
                    <w:rPr>
                      <w:sz w:val="40"/>
                      <w:szCs w:val="40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4"/>
                      <w:sz w:val="40"/>
                      <w:szCs w:val="40"/>
                    </w:rPr>
                    <w:t xml:space="preserve">2024 </w:t>
                  </w:r>
                  <w:r>
                    <w:rPr>
                      <w:spacing w:val="-14"/>
                      <w:sz w:val="40"/>
                      <w:szCs w:val="40"/>
                      <w14:textOutline w14:w="727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年中国通胀有哪些关注点？</w:t>
                  </w:r>
                </w:p>
              </w:txbxContent>
            </v:textbox>
          </v:shape>
        </w:pict>
      </w:r>
      <w:r>
        <w:pict>
          <v:shape id="_x0000_s1029" type="#_x0000_t202" style="width:186.15pt;height:62.5pt;margin-top:152.47pt;margin-left:372.03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1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spacing w:val="7"/>
                      <w:sz w:val="31"/>
                      <w:szCs w:val="31"/>
                    </w:rPr>
                    <w:t>——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31"/>
                      <w:szCs w:val="31"/>
                    </w:rPr>
                    <w:t xml:space="preserve">2024 </w:t>
                  </w:r>
                  <w:r>
                    <w:rPr>
                      <w:spacing w:val="7"/>
                      <w:sz w:val="31"/>
                      <w:szCs w:val="31"/>
                    </w:rPr>
                    <w:t>年中国通胀展望</w:t>
                  </w:r>
                </w:p>
                <w:p>
                  <w:pPr>
                    <w:spacing w:line="4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78" w:line="217" w:lineRule="auto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CE1300"/>
                      <w:spacing w:val="-11"/>
                      <w:sz w:val="24"/>
                      <w:szCs w:val="24"/>
                    </w:rPr>
                    <w:t xml:space="preserve">2024 </w:t>
                  </w:r>
                  <w:r>
                    <w:rPr>
                      <w:color w:val="CE1300"/>
                      <w:spacing w:val="-11"/>
                      <w:sz w:val="24"/>
                      <w:szCs w:val="24"/>
                      <w14:textOutline w14:w="4354">
                        <w14:solidFill>
                          <w14:srgbClr w14:val="CE1300"/>
                        </w14:solidFill>
                        <w14:prstDash w14:val="solid"/>
                        <w14:miter w14:lim="10"/>
                      </w14:textOutline>
                    </w:rPr>
                    <w:t>年</w:t>
                  </w:r>
                  <w:r>
                    <w:rPr>
                      <w:color w:val="CE1300"/>
                      <w:spacing w:val="-5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CE1300"/>
                      <w:spacing w:val="-11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CE1300"/>
                      <w:spacing w:val="22"/>
                      <w:w w:val="101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CE1300"/>
                      <w:spacing w:val="-11"/>
                      <w:sz w:val="24"/>
                      <w:szCs w:val="24"/>
                      <w14:textOutline w14:w="4354">
                        <w14:solidFill>
                          <w14:srgbClr w14:val="CE1300"/>
                        </w14:solidFill>
                        <w14:prstDash w14:val="solid"/>
                        <w14:miter w14:lim="10"/>
                      </w14:textOutline>
                    </w:rPr>
                    <w:t>月</w:t>
                  </w:r>
                  <w:r>
                    <w:rPr>
                      <w:color w:val="CE1300"/>
                      <w:spacing w:val="-4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CE1300"/>
                      <w:spacing w:val="-11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CE1300"/>
                      <w:spacing w:val="58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CE1300"/>
                      <w:spacing w:val="-11"/>
                      <w:sz w:val="24"/>
                      <w:szCs w:val="24"/>
                      <w14:textOutline w14:w="4354">
                        <w14:solidFill>
                          <w14:srgbClr w14:val="CE1300"/>
                        </w14:solidFill>
                        <w14:prstDash w14:val="solid"/>
                        <w14:miter w14:lim="10"/>
                      </w14:textOutline>
                    </w:rPr>
                    <w:t>日</w:t>
                  </w:r>
                </w:p>
              </w:txbxContent>
            </v:textbox>
          </v:shape>
        </w:pict>
      </w:r>
      <w:r>
        <w:pict>
          <v:shape id="_x0000_s1030" type="#_x0000_t202" style="width:43.15pt;height:843.95pt;margin-top:-1pt;margin-left:-0.77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807" w:type="dxa"/>
                    <w:tblInd w:w="27" w:type="dxa"/>
                    <w:tblBorders>
                      <w:top w:val="single" w:sz="2" w:space="0" w:color="9DA3D3"/>
                      <w:left w:val="single" w:sz="2" w:space="0" w:color="9DA3D3"/>
                      <w:bottom w:val="single" w:sz="2" w:space="0" w:color="9DA3D3"/>
                      <w:right w:val="single" w:sz="2" w:space="0" w:color="9DA3D3"/>
                      <w:insideH w:val="single" w:sz="2" w:space="0" w:color="9DA3D3"/>
                      <w:insideV w:val="single" w:sz="2" w:space="0" w:color="9DA3D3"/>
                    </w:tblBorders>
                    <w:tblLayout w:type="fixed"/>
                  </w:tblPr>
                  <w:tblGrid>
                    <w:gridCol w:w="807"/>
                  </w:tblGrid>
                  <w:tr>
                    <w:tblPrEx>
                      <w:tblW w:w="807" w:type="dxa"/>
                      <w:tblInd w:w="27" w:type="dxa"/>
                      <w:tblBorders>
                        <w:top w:val="single" w:sz="2" w:space="0" w:color="9DA3D3"/>
                        <w:left w:val="single" w:sz="2" w:space="0" w:color="9DA3D3"/>
                        <w:bottom w:val="single" w:sz="2" w:space="0" w:color="9DA3D3"/>
                        <w:right w:val="single" w:sz="2" w:space="0" w:color="9DA3D3"/>
                        <w:insideH w:val="single" w:sz="2" w:space="0" w:color="9DA3D3"/>
                        <w:insideV w:val="single" w:sz="2" w:space="0" w:color="9DA3D3"/>
                      </w:tblBorders>
                      <w:tblLayout w:type="fixed"/>
                    </w:tblPrEx>
                    <w:trPr>
                      <w:trHeight w:val="2234"/>
                    </w:trPr>
                    <w:tc>
                      <w:tcPr>
                        <w:tcW w:w="807" w:type="dxa"/>
                        <w:tcBorders>
                          <w:bottom w:val="single" w:sz="6" w:space="0" w:color="9DA3D3"/>
                        </w:tcBorders>
                        <w:shd w:val="clear" w:color="auto" w:fill="9DA3D3"/>
                        <w:textDirection w:val="tbRlV"/>
                        <w:vAlign w:val="top"/>
                      </w:tcPr>
                      <w:p>
                        <w:pPr>
                          <w:pStyle w:val="TableText"/>
                          <w:spacing w:before="254" w:line="211" w:lineRule="auto"/>
                          <w:ind w:left="32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FFFFFF"/>
                            <w:spacing w:val="62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宏观经</w:t>
                        </w:r>
                        <w:r>
                          <w:rPr>
                            <w:color w:val="FFFFFF"/>
                            <w:spacing w:val="62"/>
                            <w:sz w:val="28"/>
                            <w:szCs w:val="28"/>
                            <w14:textOutline w14:w="5103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济</w:t>
                        </w:r>
                      </w:p>
                    </w:tc>
                  </w:tr>
                  <w:tr>
                    <w:tblPrEx>
                      <w:tblW w:w="807" w:type="dxa"/>
                      <w:tblInd w:w="27" w:type="dxa"/>
                      <w:tblLayout w:type="fixed"/>
                    </w:tblPrEx>
                    <w:trPr>
                      <w:trHeight w:val="5292"/>
                    </w:trPr>
                    <w:tc>
                      <w:tcPr>
                        <w:tcW w:w="807" w:type="dxa"/>
                        <w:tcBorders>
                          <w:top w:val="single" w:sz="6" w:space="0" w:color="020181"/>
                          <w:left w:val="single" w:sz="2" w:space="0" w:color="020181"/>
                          <w:bottom w:val="single" w:sz="6" w:space="0" w:color="020181"/>
                          <w:right w:val="single" w:sz="2" w:space="0" w:color="020181"/>
                        </w:tcBorders>
                        <w:shd w:val="clear" w:color="auto" w:fill="020181"/>
                        <w:textDirection w:val="tbRlV"/>
                        <w:vAlign w:val="top"/>
                      </w:tcPr>
                      <w:p>
                        <w:pPr>
                          <w:pStyle w:val="TableText"/>
                          <w:spacing w:before="257" w:line="211" w:lineRule="auto"/>
                          <w:ind w:left="1587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FFFFFF"/>
                            <w:spacing w:val="69"/>
                            <w:sz w:val="28"/>
                            <w:szCs w:val="28"/>
                            <w14:textOutline w14:w="5094">
                              <w14:solidFill>
                                <w14:srgbClr w14:val="FFFFFF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中国宏观经济</w:t>
                        </w:r>
                      </w:p>
                    </w:tc>
                  </w:tr>
                  <w:tr>
                    <w:tblPrEx>
                      <w:tblW w:w="807" w:type="dxa"/>
                      <w:tblInd w:w="27" w:type="dxa"/>
                      <w:tblLayout w:type="fixed"/>
                    </w:tblPrEx>
                    <w:trPr>
                      <w:trHeight w:val="9272"/>
                    </w:trPr>
                    <w:tc>
                      <w:tcPr>
                        <w:tcW w:w="807" w:type="dxa"/>
                        <w:tcBorders>
                          <w:top w:val="single" w:sz="6" w:space="0" w:color="D8D5EB"/>
                          <w:left w:val="single" w:sz="6" w:space="0" w:color="D8D5EB"/>
                          <w:bottom w:val="single" w:sz="2" w:space="0" w:color="D8D5EB"/>
                          <w:right w:val="single" w:sz="6" w:space="0" w:color="D8D5EB"/>
                        </w:tcBorders>
                        <w:shd w:val="clear" w:color="auto" w:fill="E1E0FF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1" style="width:127.6pt;height:1.45pt;margin-top:97.22pt;margin-left:60.62pt;mso-position-horizontal-relative:page;mso-position-vertical-relative:page;position:absolute;z-index:251664384" coordorigin="0,0" coordsize="2551,29" o:allowincell="f" path="m,28l1053,28l1053,l,l,28xem1053,28l1082,28l1082,l1053,l1053,28xem1082,28l2551,28l2551,l1082,l1082,28xe" filled="t" fillcolor="black" stroked="f"/>
        </w:pic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547" w:lineRule="exact"/>
        <w:ind w:firstLine="8741"/>
      </w:pPr>
      <w:r>
        <w:rPr>
          <w:position w:val="-10"/>
        </w:rPr>
        <w:drawing>
          <wp:inline distT="0" distB="0" distL="0" distR="0">
            <wp:extent cx="1496555" cy="34769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6555" cy="347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9" w:line="29" w:lineRule="exact"/>
        <w:ind w:firstLine="3956"/>
      </w:pPr>
      <w:r>
        <w:drawing>
          <wp:inline distT="0" distB="0" distL="0" distR="0">
            <wp:extent cx="4592447" cy="1828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2447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9" w:lineRule="exact"/>
        <w:ind w:firstLine="1193"/>
      </w:pPr>
      <w:r>
        <w:pict>
          <v:shape id="_x0000_i1032" style="width:128.35pt;height:1.45pt;mso-position-horizontal-relative:char;mso-position-vertical-relative:line" coordorigin="0,0" coordsize="2567,29" path="m,28l2566,28l2566,l,l,28xe" filled="t" fillcolor="#336" stroked="f">
            <w10:wrap type="none"/>
          </v:shape>
        </w:pic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9" w:lineRule="exact"/>
        <w:ind w:firstLine="3956"/>
      </w:pPr>
      <w:r>
        <w:drawing>
          <wp:inline distT="0" distB="0" distL="0" distR="0">
            <wp:extent cx="4592447" cy="1828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92447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3" w:lineRule="exact"/>
      </w:pPr>
    </w:p>
    <w:p>
      <w:pPr>
        <w:spacing w:line="63" w:lineRule="exact"/>
        <w:sectPr>
          <w:pgSz w:w="11907" w:h="16839"/>
          <w:pgMar w:top="0" w:right="699" w:bottom="0" w:left="4" w:header="0" w:footer="0" w:gutter="0"/>
          <w:cols w:num="1" w:space="708" w:equalWidth="0">
            <w:col w:w="11203" w:space="0"/>
          </w:cols>
        </w:sectPr>
      </w:pPr>
    </w:p>
    <w:p>
      <w:pPr>
        <w:spacing w:line="93" w:lineRule="exact"/>
      </w:pPr>
    </w:p>
    <w:tbl>
      <w:tblPr>
        <w:tblStyle w:val="TableNormal"/>
        <w:tblW w:w="2654" w:type="dxa"/>
        <w:tblInd w:w="119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654"/>
      </w:tblGrid>
      <w:tr>
        <w:tblPrEx>
          <w:tblW w:w="2654" w:type="dxa"/>
          <w:tblInd w:w="119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0"/>
        </w:trPr>
        <w:tc>
          <w:tcPr>
            <w:tcW w:w="265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222" w:lineRule="auto"/>
              <w:ind w:left="123"/>
              <w:rPr>
                <w:sz w:val="21"/>
                <w:szCs w:val="21"/>
              </w:rPr>
            </w:pPr>
            <w:r>
              <w:rPr>
                <w:color w:val="CE1300"/>
                <w:sz w:val="21"/>
                <w:szCs w:val="21"/>
                <w14:textOutline w14:w="3831">
                  <w14:solidFill>
                    <w14:srgbClr w14:val="CE1300"/>
                  </w14:solidFill>
                  <w14:prstDash w14:val="solid"/>
                  <w14:miter w14:lim="10"/>
                </w14:textOutline>
              </w:rPr>
              <w:t>相关报告</w:t>
            </w:r>
          </w:p>
        </w:tc>
      </w:tr>
      <w:tr>
        <w:tblPrEx>
          <w:tblW w:w="2654" w:type="dxa"/>
          <w:tblInd w:w="1193" w:type="dxa"/>
          <w:tblLayout w:type="fixed"/>
        </w:tblPrEx>
        <w:trPr>
          <w:trHeight w:val="4064"/>
        </w:trPr>
        <w:tc>
          <w:tcPr>
            <w:tcW w:w="26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2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20240222</w:t>
            </w:r>
          </w:p>
          <w:p>
            <w:pPr>
              <w:pStyle w:val="TableText"/>
              <w:spacing w:before="119" w:line="272" w:lineRule="auto"/>
              <w:ind w:left="127" w:right="191" w:firstLine="3"/>
            </w:pPr>
            <w:r>
              <w:rPr>
                <w:spacing w:val="-1"/>
              </w:rPr>
              <w:t>开年以来政策部署与落地情况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如何</w:t>
            </w:r>
          </w:p>
          <w:p>
            <w:pPr>
              <w:spacing w:before="125" w:line="188" w:lineRule="auto"/>
              <w:ind w:left="12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20240111</w:t>
            </w:r>
          </w:p>
          <w:p>
            <w:pPr>
              <w:pStyle w:val="TableText"/>
              <w:spacing w:before="117" w:line="268" w:lineRule="auto"/>
              <w:ind w:left="136" w:right="191" w:hanging="11"/>
            </w:pPr>
            <w:r>
              <w:rPr>
                <w:spacing w:val="-1"/>
              </w:rPr>
              <w:t>居民存款高增的资产配置启示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——经济模式转变系列</w:t>
            </w:r>
          </w:p>
          <w:p>
            <w:pPr>
              <w:spacing w:before="133" w:line="188" w:lineRule="auto"/>
              <w:ind w:left="12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20240117</w:t>
            </w:r>
          </w:p>
          <w:p>
            <w:pPr>
              <w:pStyle w:val="TableText"/>
              <w:spacing w:before="118" w:line="336" w:lineRule="auto"/>
              <w:ind w:left="125" w:right="371"/>
              <w:jc w:val="both"/>
            </w:pPr>
            <w:r>
              <w:rPr>
                <w:spacing w:val="-1"/>
              </w:rPr>
              <w:t>政策落地效果开始显现——</w:t>
            </w:r>
            <w:r>
              <w:rPr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2023 </w:t>
            </w:r>
            <w:r>
              <w:rPr>
                <w:spacing w:val="-3"/>
              </w:rPr>
              <w:t>年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3"/>
              </w:rPr>
              <w:t>月经济数据点评</w:t>
            </w:r>
          </w:p>
          <w:p>
            <w:pPr>
              <w:spacing w:line="188" w:lineRule="auto"/>
              <w:ind w:left="12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20231204</w:t>
            </w:r>
          </w:p>
          <w:p>
            <w:pPr>
              <w:pStyle w:val="TableText"/>
              <w:spacing w:before="119" w:line="287" w:lineRule="auto"/>
              <w:ind w:left="124" w:right="143"/>
              <w:jc w:val="both"/>
            </w:pPr>
            <w:r>
              <w:rPr>
                <w:spacing w:val="-1"/>
              </w:rPr>
              <w:t>修复信心：切换，恢复，再平</w:t>
            </w:r>
            <w:r>
              <w:rPr>
                <w:spacing w:val="9"/>
              </w:rPr>
              <w:t xml:space="preserve"> </w:t>
            </w:r>
            <w:r>
              <w:t>衡——</w:t>
            </w:r>
            <w:r>
              <w:rPr>
                <w:rFonts w:ascii="Times New Roman" w:eastAsia="Times New Roman" w:hAnsi="Times New Roman" w:cs="Times New Roman"/>
              </w:rPr>
              <w:t xml:space="preserve">2024 </w:t>
            </w:r>
            <w:r>
              <w:t>年中国宏观经济报</w:t>
            </w:r>
            <w:r>
              <w:t xml:space="preserve"> </w:t>
            </w:r>
            <w:r>
              <w:t>告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" w:line="217" w:lineRule="auto"/>
      </w:pPr>
      <w:r>
        <w:rPr>
          <w:color w:val="CE1300"/>
          <w:spacing w:val="1"/>
          <w14:textOutline w14:w="3831">
            <w14:solidFill>
              <w14:srgbClr w14:val="CE1300"/>
            </w14:solidFill>
            <w14:prstDash w14:val="solid"/>
            <w14:miter w14:lim="10"/>
          </w14:textOutline>
        </w:rPr>
        <w:t>投资要点</w:t>
      </w:r>
    </w:p>
    <w:p>
      <w:pPr>
        <w:pStyle w:val="BodyText"/>
        <w:spacing w:before="204" w:line="224" w:lineRule="auto"/>
        <w:ind w:left="2" w:right="171" w:firstLine="2"/>
        <w:jc w:val="both"/>
      </w:pPr>
      <w:r>
        <w:rPr>
          <w:rFonts w:ascii="Times New Roman" w:eastAsia="Times New Roman" w:hAnsi="Times New Roman" w:cs="Times New Roman"/>
          <w:b/>
          <w:bCs/>
          <w:color w:val="4F81BD"/>
          <w:spacing w:val="-1"/>
        </w:rPr>
        <w:t xml:space="preserve">2023 </w:t>
      </w:r>
      <w:r>
        <w:rPr>
          <w:color w:val="4F81BD"/>
          <w:spacing w:val="-1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年中国通胀持续低位运行，市场和政府对通胀的关注度也在不断抬升。</w:t>
      </w:r>
      <w:r>
        <w:rPr>
          <w:color w:val="4F81BD"/>
          <w:spacing w:val="14"/>
        </w:rPr>
        <w:t xml:space="preserve"> </w:t>
      </w:r>
      <w:r>
        <w:rPr>
          <w:color w:val="4F81BD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在此背景下，本篇报告对</w:t>
      </w:r>
      <w:r>
        <w:rPr>
          <w:color w:val="4F81BD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81BD"/>
        </w:rPr>
        <w:t>2024</w:t>
      </w:r>
      <w:r>
        <w:rPr>
          <w:rFonts w:ascii="Times New Roman" w:eastAsia="Times New Roman" w:hAnsi="Times New Roman" w:cs="Times New Roman"/>
          <w:b/>
          <w:bCs/>
          <w:color w:val="4F81BD"/>
          <w:spacing w:val="56"/>
        </w:rPr>
        <w:t xml:space="preserve"> </w:t>
      </w:r>
      <w:r>
        <w:rPr>
          <w:color w:val="4F81BD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年中国通胀的各项潜在影响因素进行深入分</w:t>
      </w:r>
      <w:r>
        <w:rPr>
          <w:color w:val="4F81BD"/>
        </w:rPr>
        <w:t xml:space="preserve"> </w:t>
      </w:r>
      <w:r>
        <w:rPr>
          <w:color w:val="4F81BD"/>
          <w:spacing w:val="-3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析，</w:t>
      </w:r>
      <w:r>
        <w:rPr>
          <w:color w:val="4F81BD"/>
          <w:spacing w:val="-3"/>
        </w:rPr>
        <w:t xml:space="preserve"> </w:t>
      </w:r>
      <w:r>
        <w:rPr>
          <w:color w:val="4F81BD"/>
          <w:spacing w:val="-3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并定性定量地给出通胀走势判断和后续核心关注方向，</w:t>
      </w:r>
      <w:r>
        <w:rPr>
          <w:color w:val="4F81BD"/>
          <w:spacing w:val="-4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以供市场参考：</w:t>
      </w:r>
    </w:p>
    <w:p>
      <w:pPr>
        <w:pStyle w:val="BodyText"/>
        <w:spacing w:before="103" w:line="255" w:lineRule="auto"/>
        <w:ind w:left="359" w:right="59" w:hanging="349"/>
      </w:pPr>
      <w:r>
        <w:rPr>
          <w:rFonts w:ascii="Arial" w:eastAsia="Arial" w:hAnsi="Arial" w:cs="Arial"/>
          <w:spacing w:val="-1"/>
        </w:rPr>
        <w:t xml:space="preserve">•    </w:t>
      </w:r>
      <w:r>
        <w:rPr>
          <w:rFonts w:ascii="Times New Roman" w:eastAsia="Times New Roman" w:hAnsi="Times New Roman" w:cs="Times New Roman"/>
          <w:b/>
          <w:bCs/>
          <w:spacing w:val="-1"/>
        </w:rPr>
        <w:t>2023</w:t>
      </w:r>
      <w:r>
        <w:rPr>
          <w:rFonts w:ascii="Times New Roman" w:eastAsia="Times New Roman" w:hAnsi="Times New Roman" w:cs="Times New Roman"/>
          <w:b/>
          <w:bCs/>
          <w:spacing w:val="33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年中国通胀低位运行，较市场预期有一定差距。</w:t>
      </w:r>
      <w:r>
        <w:rPr>
          <w:spacing w:val="-1"/>
        </w:rPr>
        <w:t>“猪</w:t>
      </w:r>
      <w:r>
        <w:rPr>
          <w:spacing w:val="-2"/>
        </w:rPr>
        <w:t>油共振下行”和</w:t>
      </w:r>
      <w:r>
        <w:t xml:space="preserve"> </w:t>
      </w:r>
      <w:r>
        <w:rPr>
          <w:spacing w:val="-1"/>
        </w:rPr>
        <w:t>消费修复动能偏弱是</w:t>
      </w:r>
      <w:r>
        <w:rPr>
          <w:spacing w:val="-1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2023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-1"/>
        </w:rPr>
        <w:t>年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CPI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-1"/>
        </w:rPr>
        <w:t>低通胀的核心原因；外需和大宗商品价</w:t>
      </w:r>
      <w:r>
        <w:t xml:space="preserve"> </w:t>
      </w:r>
      <w:r>
        <w:t>格下行、内需弱复苏和结构转型主导中国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PPI </w:t>
      </w:r>
      <w:r>
        <w:t>收缩。</w:t>
      </w:r>
    </w:p>
    <w:p>
      <w:pPr>
        <w:pStyle w:val="BodyText"/>
        <w:spacing w:before="125" w:line="231" w:lineRule="auto"/>
        <w:ind w:left="10"/>
      </w:pPr>
      <w:r>
        <w:rPr>
          <w:rFonts w:ascii="Arial" w:eastAsia="Arial" w:hAnsi="Arial" w:cs="Arial"/>
        </w:rPr>
        <w:t>•</w:t>
      </w:r>
      <w:r>
        <w:rPr>
          <w:rFonts w:ascii="Arial" w:eastAsia="Arial" w:hAnsi="Arial" w:cs="Arial"/>
          <w:spacing w:val="9"/>
        </w:rPr>
        <w:t xml:space="preserve">    </w:t>
      </w:r>
      <w:r>
        <w:rPr>
          <w:rFonts w:ascii="Times New Roman" w:eastAsia="Times New Roman" w:hAnsi="Times New Roman" w:cs="Times New Roman"/>
          <w:b/>
          <w:bCs/>
        </w:rPr>
        <w:t xml:space="preserve">2024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年中国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CPI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展望：</w:t>
      </w:r>
    </w:p>
    <w:p>
      <w:pPr>
        <w:pStyle w:val="BodyText"/>
        <w:spacing w:before="109" w:line="244" w:lineRule="auto"/>
        <w:ind w:left="862" w:right="10" w:hanging="425"/>
      </w:pPr>
      <w:r>
        <w:drawing>
          <wp:inline distT="0" distB="0" distL="0" distR="0">
            <wp:extent cx="95219" cy="9843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3"/>
        </w:rPr>
        <w:t xml:space="preserve"> 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食品能源</w:t>
      </w:r>
      <w:r>
        <w:rPr>
          <w:spacing w:val="-8"/>
        </w:rPr>
        <w:t>：猪周期产能去化或于二季度结束，猪价有望在下半年反弹；</w:t>
      </w:r>
      <w:r>
        <w:rPr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2024 </w:t>
      </w:r>
      <w:r>
        <w:rPr>
          <w:spacing w:val="-1"/>
        </w:rPr>
        <w:t>年国际原油或呈现供需平衡格局，油价中枢有望持平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2023 </w:t>
      </w:r>
      <w:r>
        <w:rPr>
          <w:spacing w:val="-1"/>
        </w:rPr>
        <w:t>年。</w:t>
      </w:r>
    </w:p>
    <w:p>
      <w:pPr>
        <w:pStyle w:val="BodyText"/>
        <w:spacing w:before="129" w:line="244" w:lineRule="auto"/>
        <w:ind w:left="860" w:right="16" w:hanging="423"/>
      </w:pPr>
      <w:r>
        <w:drawing>
          <wp:inline distT="0" distB="0" distL="0" distR="0">
            <wp:extent cx="95219" cy="9843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5"/>
        </w:rPr>
        <w:t xml:space="preserve"> 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核心通胀：</w:t>
      </w:r>
      <w:r>
        <w:rPr>
          <w:spacing w:val="62"/>
        </w:rPr>
        <w:t xml:space="preserve"> </w:t>
      </w:r>
      <w:r>
        <w:rPr>
          <w:spacing w:val="-10"/>
        </w:rPr>
        <w:t>部分耐用品的供需过剩或将延续，</w:t>
      </w:r>
      <w:r>
        <w:rPr>
          <w:spacing w:val="-27"/>
        </w:rPr>
        <w:t xml:space="preserve"> </w:t>
      </w:r>
      <w:r>
        <w:rPr>
          <w:spacing w:val="-10"/>
        </w:rPr>
        <w:t>对通胀回升形成制约；</w:t>
      </w:r>
      <w:r>
        <w:t xml:space="preserve"> </w:t>
      </w:r>
      <w:r>
        <w:rPr>
          <w:spacing w:val="-5"/>
        </w:rPr>
        <w:t>但服务消费仍存较大修复缺口，</w:t>
      </w:r>
      <w:r>
        <w:rPr>
          <w:spacing w:val="-5"/>
        </w:rPr>
        <w:t xml:space="preserve"> </w:t>
      </w:r>
      <w:r>
        <w:rPr>
          <w:spacing w:val="-5"/>
        </w:rPr>
        <w:t>开年旅游高景气有望支撑后续通胀。</w:t>
      </w:r>
    </w:p>
    <w:p>
      <w:pPr>
        <w:pStyle w:val="BodyText"/>
        <w:spacing w:before="131" w:line="260" w:lineRule="auto"/>
        <w:ind w:left="860" w:right="21" w:hanging="423"/>
      </w:pPr>
      <w:r>
        <w:rPr>
          <w:rFonts w:ascii="Times New Roman" w:eastAsia="Times New Roman" w:hAnsi="Times New Roman" w:cs="Times New Roman"/>
        </w:rPr>
        <w:drawing>
          <wp:inline distT="0" distB="0" distL="0" distR="0">
            <wp:extent cx="95219" cy="9843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   </w:t>
      </w:r>
      <w:r>
        <w:rPr>
          <w:rFonts w:ascii="Times New Roman" w:eastAsia="Times New Roman" w:hAnsi="Times New Roman" w:cs="Times New Roman"/>
          <w:b/>
          <w:bCs/>
        </w:rPr>
        <w:t>CPI</w:t>
      </w:r>
      <w:r>
        <w:rPr>
          <w:rFonts w:ascii="Times New Roman" w:eastAsia="Times New Roman" w:hAnsi="Times New Roman" w:cs="Times New Roman"/>
          <w:b/>
          <w:bCs/>
          <w:spacing w:val="2"/>
        </w:rPr>
        <w:t xml:space="preserve">  </w:t>
      </w:r>
      <w:r>
        <w:rPr>
          <w:spacing w:val="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回升幅度的决定因素在于稳增长政策落地效果和消费者信心修</w:t>
      </w:r>
      <w: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复的强度。</w:t>
      </w:r>
      <w:r>
        <w:rPr>
          <w:spacing w:val="55"/>
        </w:rPr>
        <w:t xml:space="preserve"> </w:t>
      </w:r>
      <w:r>
        <w:rPr>
          <w:spacing w:val="-5"/>
        </w:rPr>
        <w:t>一是经济修复强度和地产政策优化效果决</w:t>
      </w:r>
      <w:r>
        <w:rPr>
          <w:spacing w:val="-6"/>
        </w:rPr>
        <w:t>定了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2024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6"/>
        </w:rPr>
        <w:t>年中</w:t>
      </w:r>
      <w:r>
        <w:t xml:space="preserve"> </w:t>
      </w:r>
      <w:r>
        <w:rPr>
          <w:spacing w:val="-5"/>
        </w:rPr>
        <w:t>国住房价格的反弹空间；</w:t>
      </w:r>
      <w:r>
        <w:rPr>
          <w:spacing w:val="-2"/>
        </w:rPr>
        <w:t xml:space="preserve"> </w:t>
      </w:r>
      <w:r>
        <w:rPr>
          <w:spacing w:val="-5"/>
        </w:rPr>
        <w:t>二是超额储蓄是中国未来消费的潜在动能，</w:t>
      </w:r>
      <w:r>
        <w:t xml:space="preserve"> </w:t>
      </w:r>
      <w:r>
        <w:t>但释放动能取决于消费者信心的修复强度。</w:t>
      </w:r>
    </w:p>
    <w:p>
      <w:pPr>
        <w:pStyle w:val="BodyText"/>
        <w:spacing w:before="124" w:line="231" w:lineRule="auto"/>
        <w:ind w:left="10"/>
      </w:pPr>
      <w:r>
        <w:rPr>
          <w:rFonts w:ascii="Arial" w:eastAsia="Arial" w:hAnsi="Arial" w:cs="Arial"/>
        </w:rPr>
        <w:t>•</w:t>
      </w:r>
      <w:r>
        <w:rPr>
          <w:rFonts w:ascii="Arial" w:eastAsia="Arial" w:hAnsi="Arial" w:cs="Arial"/>
          <w:spacing w:val="10"/>
        </w:rPr>
        <w:t xml:space="preserve">    </w:t>
      </w:r>
      <w:r>
        <w:rPr>
          <w:rFonts w:ascii="Times New Roman" w:eastAsia="Times New Roman" w:hAnsi="Times New Roman" w:cs="Times New Roman"/>
          <w:b/>
          <w:bCs/>
        </w:rPr>
        <w:t xml:space="preserve">2024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年中国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PPI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展望：</w:t>
      </w:r>
    </w:p>
    <w:p>
      <w:pPr>
        <w:pStyle w:val="BodyText"/>
        <w:spacing w:before="108" w:line="244" w:lineRule="auto"/>
        <w:ind w:left="887" w:hanging="450"/>
      </w:pPr>
      <w:r>
        <w:drawing>
          <wp:inline distT="0" distB="0" distL="0" distR="0">
            <wp:extent cx="95219" cy="9843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5"/>
        </w:rPr>
        <w:t xml:space="preserve"> 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外部因素</w:t>
      </w:r>
      <w:r>
        <w:rPr>
          <w:spacing w:val="-3"/>
        </w:rPr>
        <w:t>：主要大宗商品供给大于需求，价格较难出现反弹可能；但</w:t>
      </w:r>
      <w:r>
        <w:t xml:space="preserve"> </w:t>
      </w:r>
      <w:r>
        <w:rPr>
          <w:spacing w:val="-5"/>
        </w:rPr>
        <w:t>高利率对全球贸易的压制有望减弱，外需修复有望带动提振中国</w:t>
      </w:r>
      <w:r>
        <w:rPr>
          <w:rFonts w:ascii="Times New Roman" w:eastAsia="Times New Roman" w:hAnsi="Times New Roman" w:cs="Times New Roman"/>
          <w:spacing w:val="-5"/>
        </w:rPr>
        <w:t>PPI</w:t>
      </w:r>
      <w:r>
        <w:rPr>
          <w:spacing w:val="-5"/>
        </w:rPr>
        <w:t>。</w:t>
      </w:r>
    </w:p>
    <w:p>
      <w:pPr>
        <w:pStyle w:val="BodyText"/>
        <w:spacing w:before="130" w:line="255" w:lineRule="auto"/>
        <w:ind w:left="867" w:right="59" w:hanging="430"/>
      </w:pPr>
      <w:r>
        <w:drawing>
          <wp:inline distT="0" distB="0" distL="0" distR="0">
            <wp:extent cx="95219" cy="9843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8"/>
        </w:rPr>
        <w:t xml:space="preserve"> 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内部因素：</w:t>
      </w:r>
      <w:r>
        <w:rPr>
          <w:spacing w:val="30"/>
        </w:rPr>
        <w:t xml:space="preserve"> </w:t>
      </w:r>
      <w:r>
        <w:rPr>
          <w:spacing w:val="-5"/>
        </w:rPr>
        <w:t>开年稳增长政策加码，货币宽松</w:t>
      </w:r>
      <w:r>
        <w:rPr>
          <w:rFonts w:ascii="Times New Roman" w:eastAsia="Times New Roman" w:hAnsi="Times New Roman" w:cs="Times New Roman"/>
          <w:spacing w:val="-5"/>
        </w:rPr>
        <w:t>+</w:t>
      </w:r>
      <w:r>
        <w:rPr>
          <w:spacing w:val="-6"/>
        </w:rPr>
        <w:t>财政宽松的政策组合有</w:t>
      </w:r>
      <w:r>
        <w:t xml:space="preserve"> </w:t>
      </w:r>
      <w:r>
        <w:rPr>
          <w:spacing w:val="-5"/>
        </w:rPr>
        <w:t>望带动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PPI </w:t>
      </w:r>
      <w:r>
        <w:rPr>
          <w:spacing w:val="-5"/>
        </w:rPr>
        <w:t>走出通缩；</w:t>
      </w:r>
      <w:r>
        <w:rPr>
          <w:spacing w:val="-33"/>
        </w:rPr>
        <w:t xml:space="preserve"> </w:t>
      </w:r>
      <w:r>
        <w:rPr>
          <w:spacing w:val="-5"/>
        </w:rPr>
        <w:t>企业盈利出现持续改善趋势，有望驱动补库周</w:t>
      </w:r>
      <w:r>
        <w:t xml:space="preserve"> </w:t>
      </w:r>
      <w:r>
        <w:rPr>
          <w:spacing w:val="-1"/>
        </w:rPr>
        <w:t>期开启支撑生产价格回升。</w:t>
      </w:r>
    </w:p>
    <w:p>
      <w:pPr>
        <w:pStyle w:val="BodyText"/>
        <w:spacing w:before="128" w:line="260" w:lineRule="auto"/>
        <w:ind w:left="859" w:right="59" w:hanging="422"/>
        <w:sectPr>
          <w:type w:val="continuous"/>
          <w:pgSz w:w="11907" w:h="16839"/>
          <w:pgMar w:top="0" w:right="699" w:bottom="0" w:left="4" w:header="0" w:footer="0" w:gutter="0"/>
          <w:pgNumType w:start="2"/>
          <w:cols w:num="2" w:space="708" w:equalWidth="0">
            <w:col w:w="3965" w:space="100"/>
            <w:col w:w="7139" w:space="0"/>
          </w:cols>
        </w:sectPr>
      </w:pPr>
      <w:r>
        <w:rPr>
          <w:rFonts w:ascii="Times New Roman" w:eastAsia="Times New Roman" w:hAnsi="Times New Roman" w:cs="Times New Roman"/>
        </w:rPr>
        <w:drawing>
          <wp:inline distT="0" distB="0" distL="0" distR="0">
            <wp:extent cx="95219" cy="9843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pacing w:val="6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pacing w:val="-3"/>
        </w:rPr>
        <w:t>PPI</w:t>
      </w:r>
      <w:r>
        <w:rPr>
          <w:rFonts w:ascii="Times New Roman" w:eastAsia="Times New Roman" w:hAnsi="Times New Roman" w:cs="Times New Roman"/>
          <w:b/>
          <w:bCs/>
          <w:spacing w:val="19"/>
          <w:w w:val="101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回升幅度需关注供需格局的改善情况，价格修复或呈现行业分化</w:t>
      </w:r>
      <w: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格局。</w:t>
      </w:r>
      <w:r>
        <w:rPr>
          <w:spacing w:val="-3"/>
        </w:rPr>
        <w:t>现阶段中国面临的部分行业产能过剩压力，是经济回升向好的</w:t>
      </w:r>
      <w:r>
        <w:rPr>
          <w:spacing w:val="5"/>
        </w:rPr>
        <w:t xml:space="preserve"> </w:t>
      </w:r>
      <w:r>
        <w:rPr>
          <w:spacing w:val="-3"/>
        </w:rPr>
        <w:t>主要挑战。同时行业间产能过剩引发原因的差异，或导致部分新兴产</w:t>
      </w:r>
      <w:r>
        <w:rPr>
          <w:spacing w:val="7"/>
        </w:rPr>
        <w:t xml:space="preserve"> </w:t>
      </w:r>
      <w:r>
        <w:rPr>
          <w:spacing w:val="-1"/>
        </w:rPr>
        <w:t>业的价格修复弱于上游原材料行业和非耐用品消费行业。</w:t>
      </w:r>
    </w:p>
    <w:p>
      <w:pPr>
        <w:pStyle w:val="BodyText"/>
        <w:spacing w:before="124" w:line="262" w:lineRule="auto"/>
        <w:ind w:left="361" w:hanging="351"/>
      </w:pPr>
      <w:r>
        <w:rPr>
          <w:rFonts w:ascii="Arial" w:eastAsia="Arial" w:hAnsi="Arial" w:cs="Arial"/>
          <w:spacing w:val="-2"/>
        </w:rPr>
        <w:t xml:space="preserve">•   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2024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年通胀有望向常态化修复，</w:t>
      </w:r>
      <w:r>
        <w:rPr>
          <w:spacing w:val="-38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全年较大可能处于低通胀环境。</w:t>
      </w:r>
      <w:r>
        <w:rPr>
          <w:spacing w:val="-2"/>
        </w:rPr>
        <w:t>在经济结</w:t>
      </w:r>
      <w:r>
        <w:t xml:space="preserve"> </w:t>
      </w:r>
      <w:r>
        <w:rPr>
          <w:spacing w:val="-5"/>
        </w:rPr>
        <w:t>构转型、新旧动能切换的宏观背景下，价格修复大概率呈现为渐进式过程。</w:t>
      </w:r>
      <w:r>
        <w:rPr>
          <w:spacing w:val="9"/>
        </w:rPr>
        <w:t xml:space="preserve"> </w:t>
      </w:r>
      <w:r>
        <w:t>对政策端而言，随着促通胀成为政策重心而非制约因素，以及</w:t>
      </w:r>
      <w:r>
        <w:rPr>
          <w:spacing w:val="-1"/>
        </w:rPr>
        <w:t>外部制约因</w:t>
      </w:r>
      <w:r>
        <w:t xml:space="preserve"> </w:t>
      </w:r>
      <w:r>
        <w:rPr>
          <w:spacing w:val="-2"/>
        </w:rPr>
        <w:t>素减弱，</w:t>
      </w:r>
      <w:r>
        <w:rPr>
          <w:rFonts w:ascii="Times New Roman" w:eastAsia="Times New Roman" w:hAnsi="Times New Roman" w:cs="Times New Roman"/>
          <w:spacing w:val="-2"/>
        </w:rPr>
        <w:t xml:space="preserve">2024 </w:t>
      </w:r>
      <w:r>
        <w:rPr>
          <w:spacing w:val="-2"/>
        </w:rPr>
        <w:t>年货币政策空间将进一步打开，货币与财政的协调配合有望</w:t>
      </w:r>
      <w:r>
        <w:rPr>
          <w:spacing w:val="10"/>
        </w:rPr>
        <w:t xml:space="preserve"> </w:t>
      </w:r>
      <w:r>
        <w:rPr>
          <w:spacing w:val="-6"/>
        </w:rPr>
        <w:t>增强，</w:t>
      </w:r>
      <w:r>
        <w:rPr>
          <w:spacing w:val="-6"/>
        </w:rPr>
        <w:t xml:space="preserve"> </w:t>
      </w:r>
      <w:r>
        <w:rPr>
          <w:spacing w:val="-6"/>
        </w:rPr>
        <w:t>加快促进宏观政策的调控效果。</w:t>
      </w:r>
    </w:p>
    <w:p>
      <w:pPr>
        <w:pStyle w:val="BodyText"/>
        <w:spacing w:before="129" w:line="200" w:lineRule="auto"/>
        <w:ind w:left="10"/>
      </w:pPr>
      <w:r>
        <w:rPr>
          <w:rFonts w:ascii="Arial" w:eastAsia="Arial" w:hAnsi="Arial" w:cs="Arial"/>
          <w:spacing w:val="2"/>
        </w:rPr>
        <w:t xml:space="preserve">•    </w:t>
      </w:r>
      <w:r>
        <w:rPr>
          <w:spacing w:val="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风险提示：全球地缘政治冲击，国内外经济政策不确定性。</w:t>
      </w:r>
    </w:p>
    <w:p>
      <w:pPr>
        <w:spacing w:line="200" w:lineRule="auto"/>
        <w:sectPr>
          <w:type w:val="nextPage"/>
          <w:pgSz w:w="11907" w:h="16839"/>
          <w:pgMar w:top="0" w:right="699" w:bottom="0" w:left="4" w:header="0" w:footer="0" w:gutter="0"/>
          <w:pgNumType w:start="3"/>
          <w:cols w:num="2" w:space="708" w:equalWidth="0">
            <w:col w:w="3965" w:space="100"/>
            <w:col w:w="7139" w:space="0"/>
          </w:cols>
          <w:titlePg w:val="0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" w:line="28" w:lineRule="exact"/>
        <w:ind w:firstLine="849"/>
      </w:pPr>
      <w:r>
        <w:pict>
          <v:shape id="_x0000_i1033" style="width:508.1pt;height:1.45pt;mso-position-horizontal-relative:char;mso-position-vertical-relative:line" coordorigin="0,0" coordsize="10162,29" path="m,28l10161,28l10161,l,l,28xe" filled="t" fillcolor="#336" stroked="f">
            <w10:wrap type="none"/>
          </v:shape>
        </w:pict>
      </w:r>
    </w:p>
    <w:p>
      <w:pPr>
        <w:spacing w:before="47" w:line="185" w:lineRule="auto"/>
        <w:ind w:left="4218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color w:val="333366"/>
          <w:sz w:val="18"/>
          <w:szCs w:val="18"/>
          <w14:textOutline w14:w="3265">
            <w14:solidFill>
              <w14:srgbClr w14:val="333366"/>
            </w14:solidFill>
            <w14:prstDash w14:val="solid"/>
            <w14:miter w14:lim="10"/>
          </w14:textOutline>
        </w:rPr>
        <w:t>请务必阅读正文之后的信息披露和重要声明</w:t>
      </w:r>
    </w:p>
    <w:p>
      <w:pPr>
        <w:spacing w:line="185" w:lineRule="auto"/>
        <w:rPr>
          <w:rFonts w:ascii="SimSun" w:eastAsia="SimSun" w:hAnsi="SimSun" w:cs="SimSun"/>
          <w:sz w:val="18"/>
          <w:szCs w:val="18"/>
        </w:rPr>
        <w:sectPr>
          <w:type w:val="continuous"/>
          <w:pgSz w:w="11907" w:h="16839"/>
          <w:pgMar w:top="0" w:right="699" w:bottom="0" w:left="4" w:header="0" w:footer="0" w:gutter="0"/>
          <w:pgNumType w:start="4"/>
          <w:cols w:num="1" w:space="708" w:equalWidth="0">
            <w:col w:w="11203" w:space="0"/>
          </w:cols>
        </w:sectPr>
      </w:pPr>
    </w:p>
    <w:p>
      <w:pPr>
        <w:pStyle w:val="BodyText"/>
        <w:spacing w:before="209" w:line="223" w:lineRule="auto"/>
        <w:ind w:left="2559"/>
      </w:pPr>
      <w:r>
        <w:pict>
          <v:shape id="_x0000_s1034" style="width:382.4pt;height:0.5pt;margin-top:361.73pt;margin-left:170.66pt;mso-position-horizontal-relative:page;mso-position-vertical-relative:page;position:absolute;z-index:251666432" coordorigin="0,0" coordsize="7647,10" o:allowincell="f" path="m,9l7647,9l7647,l,l,9xe" filled="t" fillcolor="black" stroked="f"/>
        </w:pict>
      </w:r>
      <w:r>
        <w:pict>
          <v:shape id="_x0000_s1035" style="width:2.95pt;height:133.3pt;margin-top:385.8pt;margin-left:514.18pt;mso-position-horizontal-relative:page;mso-position-vertical-relative:page;position:absolute;z-index:-251651072" coordorigin="0,0" coordsize="59,2666" o:allowincell="f" path="m7,2657l7,7m7,2657l58,2657m7,2128l58,2128m7,1598l58,1598m7,1068l58,1068m7,537l58,537m7,7l58,7m7,1429l7,1479e" filled="f" strokecolor="#868686" strokeweight="0.75pt"/>
        </w:pict>
      </w:r>
      <w:r>
        <w:pict>
          <v:shape id="_x0000_s1036" style="width:382.4pt;height:0.5pt;margin-top:540.43pt;margin-left:170.66pt;mso-position-horizontal-relative:page;mso-position-vertical-relative:page;position:absolute;z-index:251667456" coordorigin="0,0" coordsize="7647,10" o:allowincell="f" path="m,9l7647,9l7647,l,l,9xe" filled="t" fillcolor="black" stroked="f"/>
        </w:pict>
      </w:r>
      <w:r>
        <w:rPr>
          <w:color w:val="CE1300"/>
          <w14:textOutline w14:w="3831">
            <w14:solidFill>
              <w14:srgbClr w14:val="CE1300"/>
            </w14:solidFill>
            <w14:prstDash w14:val="solid"/>
            <w14:miter w14:lim="10"/>
          </w14:textOutline>
        </w:rPr>
        <w:t>报告正文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1" w:line="217" w:lineRule="auto"/>
        <w:ind w:left="2577"/>
        <w:rPr>
          <w:sz w:val="28"/>
          <w:szCs w:val="28"/>
        </w:rPr>
      </w:pPr>
      <w:r>
        <w:rPr>
          <w:color w:val="333366"/>
          <w:spacing w:val="-9"/>
          <w:sz w:val="28"/>
          <w:szCs w:val="28"/>
          <w14:textOutline w14:w="5094">
            <w14:solidFill>
              <w14:srgbClr w14:val="333366"/>
            </w14:solidFill>
            <w14:prstDash w14:val="solid"/>
            <w14:miter w14:lim="10"/>
          </w14:textOutline>
        </w:rPr>
        <w:t>第一部分：</w:t>
      </w:r>
      <w:r>
        <w:rPr>
          <w:color w:val="333366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33366"/>
          <w:spacing w:val="-9"/>
          <w:sz w:val="28"/>
          <w:szCs w:val="28"/>
        </w:rPr>
        <w:t xml:space="preserve">2023 </w:t>
      </w:r>
      <w:r>
        <w:rPr>
          <w:color w:val="333366"/>
          <w:spacing w:val="-9"/>
          <w:sz w:val="28"/>
          <w:szCs w:val="28"/>
          <w14:textOutline w14:w="5094">
            <w14:solidFill>
              <w14:srgbClr w14:val="333366"/>
            </w14:solidFill>
            <w14:prstDash w14:val="solid"/>
            <w14:miter w14:lim="10"/>
          </w14:textOutline>
        </w:rPr>
        <w:t>年中国通胀回顾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69" w:line="260" w:lineRule="auto"/>
        <w:ind w:left="2565" w:right="142" w:firstLine="3"/>
        <w:jc w:val="both"/>
      </w:pPr>
      <w:r>
        <w:rPr>
          <w:color w:val="4F81BD"/>
          <w:spacing w:val="-6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无论是消费端还是生产端，</w:t>
      </w:r>
      <w:r>
        <w:rPr>
          <w:color w:val="4F81BD"/>
          <w:spacing w:val="6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81BD"/>
          <w:spacing w:val="-6"/>
        </w:rPr>
        <w:t xml:space="preserve">2023  </w:t>
      </w:r>
      <w:r>
        <w:rPr>
          <w:color w:val="4F81BD"/>
          <w:spacing w:val="-6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年通胀表现均处于历史低位水平，</w:t>
      </w:r>
      <w:r>
        <w:rPr>
          <w:color w:val="4F81BD"/>
          <w:spacing w:val="-6"/>
        </w:rPr>
        <w:t xml:space="preserve"> </w:t>
      </w:r>
      <w:r>
        <w:rPr>
          <w:color w:val="4F81BD"/>
          <w:spacing w:val="-6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较市场预期有</w:t>
      </w:r>
      <w:r>
        <w:rPr>
          <w:color w:val="4F81BD"/>
        </w:rPr>
        <w:t xml:space="preserve"> </w:t>
      </w:r>
      <w:r>
        <w:rPr>
          <w:color w:val="4F81BD"/>
          <w:spacing w:val="-3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一定差距。对</w:t>
      </w:r>
      <w:r>
        <w:rPr>
          <w:color w:val="4F81BD"/>
          <w:spacing w:val="-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81BD"/>
          <w:spacing w:val="-3"/>
        </w:rPr>
        <w:t>CPI</w:t>
      </w:r>
      <w:r>
        <w:rPr>
          <w:rFonts w:ascii="Times New Roman" w:eastAsia="Times New Roman" w:hAnsi="Times New Roman" w:cs="Times New Roman"/>
          <w:b/>
          <w:bCs/>
          <w:color w:val="4F81BD"/>
          <w:spacing w:val="27"/>
        </w:rPr>
        <w:t xml:space="preserve"> </w:t>
      </w:r>
      <w:r>
        <w:rPr>
          <w:color w:val="4F81BD"/>
          <w:spacing w:val="-3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而言，“猪油共振下行”和消费修复动能偏弱是</w:t>
      </w:r>
      <w:r>
        <w:rPr>
          <w:color w:val="4F81BD"/>
          <w:spacing w:val="-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81BD"/>
          <w:spacing w:val="-3"/>
        </w:rPr>
        <w:t xml:space="preserve">2023 </w:t>
      </w:r>
      <w:r>
        <w:rPr>
          <w:color w:val="4F81BD"/>
          <w:spacing w:val="-4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年</w:t>
      </w:r>
      <w:r>
        <w:rPr>
          <w:color w:val="4F81BD"/>
          <w:spacing w:val="-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81BD"/>
          <w:spacing w:val="-4"/>
        </w:rPr>
        <w:t xml:space="preserve">CPI </w:t>
      </w:r>
      <w:r>
        <w:rPr>
          <w:color w:val="4F81BD"/>
          <w:spacing w:val="-4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低</w:t>
      </w:r>
      <w:r>
        <w:rPr>
          <w:color w:val="4F81BD"/>
        </w:rPr>
        <w:t xml:space="preserve"> </w:t>
      </w:r>
      <w:r>
        <w:rPr>
          <w:color w:val="4F81BD"/>
          <w:spacing w:val="-5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通胀的核心原因。对</w:t>
      </w:r>
      <w:r>
        <w:rPr>
          <w:color w:val="4F81BD"/>
          <w:spacing w:val="-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81BD"/>
          <w:spacing w:val="-5"/>
        </w:rPr>
        <w:t>PPI</w:t>
      </w:r>
      <w:r>
        <w:rPr>
          <w:rFonts w:ascii="Times New Roman" w:eastAsia="Times New Roman" w:hAnsi="Times New Roman" w:cs="Times New Roman"/>
          <w:b/>
          <w:bCs/>
          <w:color w:val="4F81BD"/>
          <w:spacing w:val="20"/>
        </w:rPr>
        <w:t xml:space="preserve"> </w:t>
      </w:r>
      <w:r>
        <w:rPr>
          <w:color w:val="4F81BD"/>
          <w:spacing w:val="-5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而言，</w:t>
      </w:r>
      <w:r>
        <w:rPr>
          <w:color w:val="4F81BD"/>
          <w:spacing w:val="-36"/>
        </w:rPr>
        <w:t xml:space="preserve"> </w:t>
      </w:r>
      <w:r>
        <w:rPr>
          <w:color w:val="4F81BD"/>
          <w:spacing w:val="-5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外需和大宗商品价格下行、内需弱复苏和结构转型</w:t>
      </w:r>
      <w:r>
        <w:rPr>
          <w:color w:val="4F81BD"/>
        </w:rPr>
        <w:t xml:space="preserve"> </w:t>
      </w:r>
      <w:r>
        <w:rPr>
          <w:color w:val="4F81BD"/>
          <w:spacing w:val="-5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主导中国</w:t>
      </w:r>
      <w:r>
        <w:rPr>
          <w:color w:val="4F81BD"/>
          <w:spacing w:val="-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4F81BD"/>
          <w:spacing w:val="-5"/>
        </w:rPr>
        <w:t>PPI</w:t>
      </w:r>
      <w:r>
        <w:rPr>
          <w:rFonts w:ascii="Times New Roman" w:eastAsia="Times New Roman" w:hAnsi="Times New Roman" w:cs="Times New Roman"/>
          <w:b/>
          <w:bCs/>
          <w:color w:val="4F81BD"/>
          <w:spacing w:val="14"/>
        </w:rPr>
        <w:t xml:space="preserve"> </w:t>
      </w:r>
      <w:r>
        <w:rPr>
          <w:color w:val="4F81BD"/>
          <w:spacing w:val="-5"/>
          <w14:textOutline w14:w="3831">
            <w14:solidFill>
              <w14:srgbClr w14:val="4F81BD"/>
            </w14:solidFill>
            <w14:prstDash w14:val="solid"/>
            <w14:miter w14:lim="10"/>
          </w14:textOutline>
        </w:rPr>
        <w:t>收缩。具体来看：</w:t>
      </w:r>
    </w:p>
    <w:p>
      <w:pPr>
        <w:pStyle w:val="BodyText"/>
        <w:spacing w:before="218" w:line="267" w:lineRule="auto"/>
        <w:ind w:left="3248" w:right="82" w:hanging="349"/>
      </w:pPr>
      <w:r>
        <w:rPr>
          <w:rFonts w:ascii="Arial" w:eastAsia="Arial" w:hAnsi="Arial" w:cs="Arial"/>
        </w:rPr>
        <w:t xml:space="preserve">•    </w:t>
      </w:r>
      <w:r>
        <w:rPr>
          <w:rFonts w:ascii="Times New Roman" w:eastAsia="Times New Roman" w:hAnsi="Times New Roman" w:cs="Times New Roman"/>
          <w:b/>
          <w:bCs/>
        </w:rPr>
        <w:t xml:space="preserve">2023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年中国通胀低位运行，较市场预期有一定差距。</w:t>
      </w:r>
      <w:r>
        <w:rPr>
          <w:rFonts w:ascii="Times New Roman" w:eastAsia="Times New Roman" w:hAnsi="Times New Roman" w:cs="Times New Roman"/>
        </w:rPr>
        <w:t xml:space="preserve">2023 </w:t>
      </w:r>
      <w:r>
        <w:t>年</w:t>
      </w:r>
      <w:r>
        <w:rPr>
          <w:spacing w:val="-1"/>
        </w:rPr>
        <w:t>中国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CPI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-1"/>
        </w:rPr>
        <w:t>同比</w:t>
      </w:r>
      <w:r>
        <w:t xml:space="preserve"> </w:t>
      </w:r>
      <w:r>
        <w:rPr>
          <w:spacing w:val="-3"/>
        </w:rPr>
        <w:t>上涨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0.2%</w:t>
      </w:r>
      <w:r>
        <w:rPr>
          <w:spacing w:val="-3"/>
        </w:rPr>
        <w:t>，较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2022  </w:t>
      </w:r>
      <w:r>
        <w:rPr>
          <w:spacing w:val="-3"/>
        </w:rPr>
        <w:t>年回落</w:t>
      </w:r>
      <w:r>
        <w:rPr>
          <w:spacing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1.8  </w:t>
      </w:r>
      <w:r>
        <w:rPr>
          <w:spacing w:val="-3"/>
        </w:rPr>
        <w:t>个百分点；全年核心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CPI</w:t>
      </w:r>
      <w:r>
        <w:rPr>
          <w:rFonts w:ascii="Times New Roman" w:eastAsia="Times New Roman" w:hAnsi="Times New Roman" w:cs="Times New Roman"/>
          <w:spacing w:val="29"/>
          <w:w w:val="101"/>
        </w:rPr>
        <w:t xml:space="preserve"> </w:t>
      </w:r>
      <w:r>
        <w:rPr>
          <w:spacing w:val="-3"/>
        </w:rPr>
        <w:t>同比上涨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0.7%</w:t>
      </w:r>
      <w:r>
        <w:rPr>
          <w:spacing w:val="-3"/>
        </w:rPr>
        <w:t>，</w:t>
      </w:r>
      <w:r>
        <w:t xml:space="preserve"> </w:t>
      </w:r>
      <w:r>
        <w:rPr>
          <w:spacing w:val="-3"/>
        </w:rPr>
        <w:t>较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2022 </w:t>
      </w:r>
      <w:r>
        <w:rPr>
          <w:spacing w:val="-3"/>
        </w:rPr>
        <w:t>年回落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0.2 </w:t>
      </w:r>
      <w:r>
        <w:rPr>
          <w:spacing w:val="-3"/>
        </w:rPr>
        <w:t>个百分点；</w:t>
      </w:r>
      <w:r>
        <w:rPr>
          <w:spacing w:val="-26"/>
        </w:rPr>
        <w:t xml:space="preserve"> </w:t>
      </w:r>
      <w:r>
        <w:rPr>
          <w:spacing w:val="-3"/>
        </w:rPr>
        <w:t>全年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</w:t>
      </w:r>
      <w:r>
        <w:rPr>
          <w:rFonts w:ascii="Times New Roman" w:eastAsia="Times New Roman" w:hAnsi="Times New Roman" w:cs="Times New Roman"/>
          <w:spacing w:val="-4"/>
        </w:rPr>
        <w:t>PI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-4"/>
        </w:rPr>
        <w:t>同比下滑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3.0%</w:t>
      </w:r>
      <w:r>
        <w:rPr>
          <w:spacing w:val="-4"/>
        </w:rPr>
        <w:t>，较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2022 </w:t>
      </w:r>
      <w:r>
        <w:rPr>
          <w:spacing w:val="-4"/>
        </w:rPr>
        <w:t>年回落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7.1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8"/>
        </w:rPr>
        <w:t>个百分点，且全年持续处于收缩区间。整体来看，无论是消费端还是生产端，</w:t>
      </w:r>
      <w:r>
        <w:rPr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2023 </w:t>
      </w:r>
      <w:r>
        <w:rPr>
          <w:spacing w:val="-2"/>
        </w:rPr>
        <w:t>年通胀表现均处于历史较低水平，对全年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GDP </w:t>
      </w:r>
      <w:r>
        <w:rPr>
          <w:spacing w:val="-2"/>
        </w:rPr>
        <w:t>平减指数和名义增长形</w:t>
      </w:r>
      <w:r>
        <w:t xml:space="preserve"> </w:t>
      </w:r>
      <w:r>
        <w:t>成明显拖累。与全年低通胀相叠加的是，在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</w:rPr>
        <w:t>2022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spacing w:val="-1"/>
        </w:rPr>
        <w:t>年末中国防疫政策优化调</w:t>
      </w:r>
      <w:r>
        <w:t xml:space="preserve"> </w:t>
      </w:r>
      <w:r>
        <w:t>整之后，市场对中国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2023 </w:t>
      </w:r>
      <w:r>
        <w:t>年的通胀表现抱有较强预期</w:t>
      </w:r>
      <w:r>
        <w:rPr>
          <w:spacing w:val="-1"/>
        </w:rPr>
        <w:t>，但之后历月通胀表</w:t>
      </w:r>
      <w:r>
        <w:t xml:space="preserve"> </w:t>
      </w:r>
      <w:r>
        <w:rPr>
          <w:spacing w:val="-3"/>
        </w:rPr>
        <w:t>现较市场预期均有差距，</w:t>
      </w:r>
      <w:r>
        <w:rPr>
          <w:spacing w:val="-18"/>
        </w:rPr>
        <w:t xml:space="preserve"> </w:t>
      </w:r>
      <w:r>
        <w:rPr>
          <w:spacing w:val="-3"/>
        </w:rPr>
        <w:t>或进一步强化了市场对低通胀的感受。</w:t>
      </w:r>
    </w:p>
    <w:p>
      <w:pPr>
        <w:pStyle w:val="BodyText"/>
        <w:spacing w:before="204" w:line="217" w:lineRule="auto"/>
        <w:ind w:left="2696"/>
      </w:pP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1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2023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年中国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CPI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和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PPI</w:t>
      </w:r>
      <w:r>
        <w:rPr>
          <w:rFonts w:ascii="Times New Roman" w:eastAsia="Times New Roman" w:hAnsi="Times New Roman" w:cs="Times New Roman"/>
          <w:b/>
          <w:bCs/>
          <w:spacing w:val="13"/>
          <w:w w:val="101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均处于历史低位水平</w:t>
      </w:r>
    </w:p>
    <w:p>
      <w:pPr>
        <w:spacing w:line="165" w:lineRule="exact"/>
      </w:pPr>
    </w:p>
    <w:p>
      <w:pPr>
        <w:spacing w:line="165" w:lineRule="exact"/>
        <w:sectPr>
          <w:headerReference w:type="default" r:id="rId10"/>
          <w:footerReference w:type="default" r:id="rId11"/>
          <w:pgSz w:w="11907" w:h="16839"/>
          <w:pgMar w:top="1416" w:right="844" w:bottom="1481" w:left="854" w:header="683" w:footer="991" w:gutter="0"/>
          <w:pgNumType w:start="5"/>
          <w:cols w:num="1" w:space="708" w:equalWidth="0">
            <w:col w:w="10208" w:space="0"/>
          </w:cols>
        </w:sectPr>
      </w:pPr>
    </w:p>
    <w:p>
      <w:pPr>
        <w:spacing w:before="253" w:line="362" w:lineRule="auto"/>
        <w:ind w:left="2874" w:right="77" w:firstLine="57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5.00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17"/>
          <w:szCs w:val="17"/>
        </w:rPr>
        <w:t>4.00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17"/>
          <w:szCs w:val="17"/>
        </w:rPr>
        <w:t>3.00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17"/>
          <w:szCs w:val="17"/>
        </w:rPr>
        <w:t>2.00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17"/>
          <w:szCs w:val="17"/>
        </w:rPr>
        <w:t>1.00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17"/>
          <w:szCs w:val="17"/>
        </w:rPr>
        <w:t>0.00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-1.00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-2.00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-3.00</w:t>
      </w:r>
    </w:p>
    <w:p>
      <w:pPr>
        <w:spacing w:before="1" w:line="186" w:lineRule="auto"/>
        <w:ind w:left="287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-4.00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5" w:line="235" w:lineRule="auto"/>
        <w:ind w:left="2146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SimSun" w:eastAsia="SimSun" w:hAnsi="SimSun" w:cs="SimSun"/>
          <w:spacing w:val="-11"/>
          <w:sz w:val="17"/>
          <w:szCs w:val="17"/>
          <w14:textOutline w14:w="3091">
            <w14:solidFill>
              <w14:srgbClr w14:val="000000"/>
            </w14:solidFill>
            <w14:prstDash w14:val="solid"/>
            <w14:round/>
          </w14:textOutline>
        </w:rPr>
        <w:t>中国通胀同比变化，</w:t>
      </w:r>
      <w:r>
        <w:rPr>
          <w:rFonts w:ascii="SimSun" w:eastAsia="SimSun" w:hAnsi="SimSun" w:cs="SimSun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1"/>
          <w:sz w:val="17"/>
          <w:szCs w:val="17"/>
        </w:rPr>
        <w:t>%</w:t>
      </w:r>
    </w:p>
    <w:p>
      <w:pPr>
        <w:spacing w:before="30" w:line="2784" w:lineRule="exact"/>
      </w:pPr>
      <w:r>
        <w:rPr>
          <w:position w:val="-55"/>
        </w:rPr>
        <w:pict>
          <v:group id="_x0000_i1037" style="width:301.8pt;height:139.2pt;mso-position-horizontal-relative:char;mso-position-vertical-relative:line" coordorigin="0,0" coordsize="6035,2783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8" type="#_x0000_t75" style="width:5167;height:2091;left:439;position:absolute;top:300" filled="f" stroked="f">
              <v:imagedata r:id="rId12" o:title=""/>
            </v:shape>
            <v:shape id="_x0000_s1039" type="#_x0000_t202" style="width:5222;height:2488;left:412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715"/>
                      <w:rPr>
                        <w:rFonts w:ascii="SimSun" w:eastAsia="SimSun" w:hAnsi="SimSun" w:cs="SimSu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17"/>
                        <w:szCs w:val="17"/>
                      </w:rPr>
                      <w:t>2022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17"/>
                        <w:szCs w:val="17"/>
                      </w:rPr>
                      <w:t xml:space="preserve">           </w:t>
                    </w:r>
                    <w:r>
                      <w:rPr>
                        <w:sz w:val="17"/>
                        <w:szCs w:val="17"/>
                      </w:rPr>
                      <w:drawing>
                        <wp:inline distT="0" distB="0" distL="0" distR="0">
                          <wp:extent cx="253365" cy="63331"/>
                          <wp:effectExtent l="0" t="0" r="0" b="0"/>
                          <wp:docPr id="22" name="IM 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IM 2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53365" cy="63331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6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17"/>
                        <w:szCs w:val="17"/>
                      </w:rPr>
                      <w:t xml:space="preserve">2023           </w:t>
                    </w:r>
                    <w:r>
                      <w:rPr>
                        <w:position w:val="1"/>
                        <w:sz w:val="17"/>
                        <w:szCs w:val="17"/>
                      </w:rPr>
                      <w:drawing>
                        <wp:inline distT="0" distB="0" distL="0" distR="0">
                          <wp:extent cx="266065" cy="58292"/>
                          <wp:effectExtent l="0" t="0" r="0" b="0"/>
                          <wp:docPr id="24" name="IM 2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4" name="IM 2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6065" cy="5829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-9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5"/>
                        <w:sz w:val="17"/>
                        <w:szCs w:val="17"/>
                      </w:rPr>
                      <w:t>历史分位数：</w:t>
                    </w:r>
                    <w:r>
                      <w:rPr>
                        <w:rFonts w:ascii="SimSun" w:eastAsia="SimSun" w:hAnsi="SimSun" w:cs="SimSun"/>
                        <w:spacing w:val="43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17"/>
                        <w:szCs w:val="17"/>
                      </w:rPr>
                      <w:t>2023</w:t>
                    </w:r>
                    <w:r>
                      <w:rPr>
                        <w:rFonts w:ascii="SimSun" w:eastAsia="SimSun" w:hAnsi="SimSun" w:cs="SimSun"/>
                        <w:spacing w:val="-5"/>
                        <w:sz w:val="17"/>
                        <w:szCs w:val="17"/>
                      </w:rPr>
                      <w:t>，右轴</w:t>
                    </w: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7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22" w:lineRule="exact"/>
                      <w:ind w:firstLine="592"/>
                    </w:pPr>
                    <w:r>
                      <w:rPr>
                        <w:position w:val="-4"/>
                      </w:rPr>
                      <w:drawing>
                        <wp:inline distT="0" distB="0" distL="0" distR="0">
                          <wp:extent cx="2926460" cy="140589"/>
                          <wp:effectExtent l="0" t="0" r="0" b="0"/>
                          <wp:docPr id="26" name="IM 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6" name="IM 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926460" cy="14058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9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9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8" w:line="181" w:lineRule="auto"/>
                      <w:ind w:lef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C00000"/>
                        <w:spacing w:val="-1"/>
                        <w:sz w:val="17"/>
                        <w:szCs w:val="17"/>
                      </w:rPr>
                      <w:t>9.0%</w:t>
                    </w:r>
                  </w:p>
                  <w:p>
                    <w:pPr>
                      <w:spacing w:line="219" w:lineRule="auto"/>
                      <w:ind w:left="2081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C00000"/>
                        <w:spacing w:val="-1"/>
                        <w:sz w:val="17"/>
                        <w:szCs w:val="17"/>
                      </w:rPr>
                      <w:t>9.0%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C00000"/>
                        <w:spacing w:val="6"/>
                        <w:sz w:val="17"/>
                        <w:szCs w:val="17"/>
                      </w:rPr>
                      <w:t xml:space="preserve">   </w:t>
                    </w:r>
                    <w:r>
                      <w:rPr>
                        <w:position w:val="1"/>
                        <w:sz w:val="17"/>
                        <w:szCs w:val="17"/>
                      </w:rPr>
                      <w:drawing>
                        <wp:inline distT="0" distB="0" distL="0" distR="0">
                          <wp:extent cx="364235" cy="9206"/>
                          <wp:effectExtent l="0" t="0" r="0" b="0"/>
                          <wp:docPr id="28" name="IM 2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8" name="IM 2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64235" cy="920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0" style="width:589;height:884;left:3013;position:absolute;top:1508" coordorigin="0,0" coordsize="589,884" path="m581,883l581,m7,l7,883e" filled="f" strokecolor="#006" strokeweight="0.75pt"/>
            <v:shape id="_x0000_s1041" type="#_x0000_t75" style="width:2045;height:507;left:3003;position:absolute;top:2190" filled="f" stroked="f">
              <v:imagedata r:id="rId17" o:title=""/>
            </v:shape>
            <v:shape id="_x0000_s1042" type="#_x0000_t75" style="width:2183;height:173;left:926;position:absolute;top:2122" filled="f" stroked="f">
              <v:imagedata r:id="rId18" o:title=""/>
            </v:shape>
            <v:rect id="_x0000_s1043" style="width:15;height:2651;position:absolute;top:34" filled="t" fillcolor="#868686" stroked="f"/>
            <v:shape id="_x0000_s1044" style="width:6035;height:59;position:absolute;top:1456" coordorigin="0,0" coordsize="6035,59" path="m7,51l57,51m7,50l6035,50m7,l7,50m2015,l2015,50m4027,l4027,50e" filled="f" strokecolor="#868686" strokeweight="0.75pt"/>
            <v:shape id="_x0000_s1045" type="#_x0000_t202" style="width:705;height:227;left:4432;position:absolute;top:2577" filled="f" stroked="f">
              <o:lock v:ext="edit" aspectratio="f"/>
              <v:textbox inset="0,0,0,0">
                <w:txbxContent>
                  <w:p>
                    <w:pPr>
                      <w:spacing w:before="20" w:line="203" w:lineRule="exact"/>
                      <w:ind w:left="20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C00000"/>
                        <w:spacing w:val="-1"/>
                        <w:position w:val="-1"/>
                        <w:sz w:val="17"/>
                        <w:szCs w:val="17"/>
                      </w:rPr>
                      <w:t>0.0%</w:t>
                    </w: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C00000"/>
                        <w:spacing w:val="13"/>
                        <w:position w:val="-1"/>
                        <w:sz w:val="17"/>
                        <w:szCs w:val="17"/>
                      </w:rPr>
                      <w:t xml:space="preserve">  </w:t>
                    </w:r>
                    <w:r>
                      <w:rPr>
                        <w:position w:val="-3"/>
                        <w:sz w:val="17"/>
                        <w:szCs w:val="17"/>
                      </w:rPr>
                      <w:drawing>
                        <wp:inline distT="0" distB="0" distL="0" distR="0">
                          <wp:extent cx="110109" cy="110109"/>
                          <wp:effectExtent l="0" t="0" r="0" b="0"/>
                          <wp:docPr id="30" name="IM 3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" name="IM 3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0109" cy="11010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46" style="width:50;height:1194;left:7;position:absolute;top:27" coordorigin="0,0" coordsize="50,1194" path="m,1185l50,1185m,890l50,890m,595l50,595m,302l50,302m,7l50,7e" filled="f" strokecolor="#868686" strokeweight="0.75pt"/>
            <v:rect id="_x0000_s1047" style="width:384;height:85;left:698;position:absolute;top:45" filled="t" fillcolor="#a6a6a6" stroked="f"/>
            <v:shape id="_x0000_s1048" style="width:50;height:605;left:7;position:absolute;top:1793" coordorigin="0,0" coordsize="50,605" path="m,597l50,597m,302l50,302m,7l50,7e" filled="f" strokecolor="#868686" strokeweight="0.75pt"/>
            <v:rect id="_x0000_s1049" style="width:50;height:15;left:7;position:absolute;top:2677" filled="t" fillcolor="#868686" stroked="f"/>
            <w10:wrap type="none"/>
          </v:group>
        </w:pict>
      </w:r>
    </w:p>
    <w:p>
      <w:pPr>
        <w:spacing w:before="31" w:line="185" w:lineRule="auto"/>
        <w:ind w:left="4737"/>
        <w:rPr>
          <w:rFonts w:ascii="Times New Roman" w:eastAsia="Times New Roman" w:hAnsi="Times New Roman" w:cs="Times New Roman"/>
          <w:sz w:val="17"/>
          <w:szCs w:val="17"/>
        </w:rPr>
      </w:pPr>
      <w:r>
        <w:pict>
          <v:shape id="_x0000_s1050" type="#_x0000_t202" style="width:15pt;height:9.6pt;margin-top:0.99pt;margin-left:43.36pt;position:absolute;z-index:251668480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7"/>
                      <w:szCs w:val="17"/>
                    </w:rPr>
                    <w:t>CPI</w:t>
                  </w:r>
                </w:p>
              </w:txbxContent>
            </v:textbox>
          </v:shape>
        </w:pict>
      </w:r>
      <w:r>
        <w:pict>
          <v:shape id="_x0000_s1051" type="#_x0000_t202" style="width:14.25pt;height:9.5pt;margin-top:1.12pt;margin-left:144.15pt;position:absolute;z-index:251669504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7"/>
                      <w:szCs w:val="17"/>
                    </w:rPr>
                    <w:t>PPI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"/>
          <w:sz w:val="17"/>
          <w:szCs w:val="17"/>
        </w:rPr>
        <w:t>核心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CPI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54" w:line="187" w:lineRule="auto"/>
        <w:ind w:left="10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3"/>
          <w:sz w:val="17"/>
          <w:szCs w:val="17"/>
        </w:rPr>
        <w:t>50%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50" w:line="187" w:lineRule="auto"/>
        <w:ind w:left="98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40%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49" w:line="187" w:lineRule="auto"/>
        <w:ind w:left="102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3"/>
          <w:sz w:val="17"/>
          <w:szCs w:val="17"/>
        </w:rPr>
        <w:t>30%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50" w:line="187" w:lineRule="auto"/>
        <w:ind w:left="99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20%</w:t>
      </w:r>
    </w:p>
    <w:p>
      <w:pPr>
        <w:spacing w:line="327" w:lineRule="auto"/>
        <w:rPr>
          <w:rFonts w:ascii="Arial"/>
          <w:sz w:val="21"/>
        </w:rPr>
      </w:pPr>
    </w:p>
    <w:p>
      <w:pPr>
        <w:spacing w:before="49" w:line="187" w:lineRule="auto"/>
        <w:ind w:left="11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>10%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49" w:line="187" w:lineRule="auto"/>
        <w:ind w:left="102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0%</w:t>
      </w:r>
    </w:p>
    <w:p>
      <w:pPr>
        <w:spacing w:line="187" w:lineRule="auto"/>
        <w:rPr>
          <w:rFonts w:ascii="Times New Roman" w:eastAsia="Times New Roman" w:hAnsi="Times New Roman" w:cs="Times New Roman"/>
          <w:sz w:val="17"/>
          <w:szCs w:val="17"/>
        </w:rPr>
        <w:sectPr>
          <w:headerReference w:type="default" r:id="rId20"/>
          <w:footerReference w:type="default" r:id="rId21"/>
          <w:type w:val="continuous"/>
          <w:pgSz w:w="11907" w:h="16839"/>
          <w:pgMar w:top="1416" w:right="844" w:bottom="1481" w:left="854" w:header="683" w:footer="991" w:gutter="0"/>
          <w:pgNumType w:start="6"/>
          <w:cols w:num="3" w:space="708" w:equalWidth="0">
            <w:col w:w="3301" w:space="100"/>
            <w:col w:w="6087" w:space="0"/>
            <w:col w:w="720" w:space="0"/>
          </w:cols>
        </w:sectPr>
      </w:pPr>
    </w:p>
    <w:p>
      <w:pPr>
        <w:pStyle w:val="BodyText"/>
        <w:spacing w:before="167" w:line="213" w:lineRule="auto"/>
        <w:ind w:left="2678"/>
        <w:rPr>
          <w:sz w:val="16"/>
          <w:szCs w:val="16"/>
        </w:rPr>
      </w:pPr>
      <w:r>
        <w:rPr>
          <w:spacing w:val="-3"/>
          <w:sz w:val="16"/>
          <w:szCs w:val="16"/>
        </w:rPr>
        <w:t>注：历史分位数为统计</w:t>
      </w:r>
      <w:r>
        <w:rPr>
          <w:spacing w:val="-3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2000-2023 </w:t>
      </w:r>
      <w:r>
        <w:rPr>
          <w:spacing w:val="-3"/>
          <w:sz w:val="16"/>
          <w:szCs w:val="16"/>
        </w:rPr>
        <w:t>年数据，</w:t>
      </w:r>
      <w:r>
        <w:rPr>
          <w:spacing w:val="-3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其中核心</w:t>
      </w:r>
      <w:r>
        <w:rPr>
          <w:spacing w:val="-3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CPI</w:t>
      </w:r>
      <w:r>
        <w:rPr>
          <w:rFonts w:ascii="Times New Roman" w:eastAsia="Times New Roman" w:hAnsi="Times New Roman" w:cs="Times New Roman"/>
          <w:spacing w:val="12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为</w:t>
      </w:r>
      <w:r>
        <w:rPr>
          <w:spacing w:val="-3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 xml:space="preserve">2014-2023 </w:t>
      </w:r>
      <w:r>
        <w:rPr>
          <w:spacing w:val="-3"/>
          <w:sz w:val="16"/>
          <w:szCs w:val="16"/>
        </w:rPr>
        <w:t>年数据。</w:t>
      </w:r>
    </w:p>
    <w:p>
      <w:pPr>
        <w:pStyle w:val="BodyText"/>
        <w:spacing w:before="22" w:line="186" w:lineRule="auto"/>
        <w:ind w:left="2670"/>
        <w:rPr>
          <w:sz w:val="16"/>
          <w:szCs w:val="16"/>
        </w:rPr>
      </w:pPr>
      <w:r>
        <w:rPr>
          <w:spacing w:val="-2"/>
          <w:sz w:val="16"/>
          <w:szCs w:val="16"/>
        </w:rPr>
        <w:t>数据来源：</w:t>
      </w:r>
      <w:r>
        <w:rPr>
          <w:spacing w:val="-35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同花顺，兴业证券经济与金融研究院整理</w:t>
      </w:r>
    </w:p>
    <w:p>
      <w:pPr>
        <w:spacing w:line="186" w:lineRule="auto"/>
        <w:rPr>
          <w:sz w:val="16"/>
          <w:szCs w:val="16"/>
        </w:rPr>
        <w:sectPr>
          <w:headerReference w:type="default" r:id="rId22"/>
          <w:footerReference w:type="default" r:id="rId23"/>
          <w:type w:val="continuous"/>
          <w:pgSz w:w="11907" w:h="16839"/>
          <w:pgMar w:top="1416" w:right="844" w:bottom="1481" w:left="854" w:header="683" w:footer="991" w:gutter="0"/>
          <w:pgNumType w:start="7"/>
          <w:cols w:num="1" w:space="708" w:equalWidth="0">
            <w:col w:w="10208" w:space="0"/>
          </w:cols>
        </w:sectPr>
      </w:pPr>
    </w:p>
    <w:p>
      <w:pPr>
        <w:pStyle w:val="BodyText"/>
        <w:spacing w:before="31" w:line="218" w:lineRule="auto"/>
        <w:ind w:left="2696"/>
      </w:pPr>
      <w:r>
        <w:pict>
          <v:rect id="_x0000_s1052" style="width:4.25pt;height:4.25pt;margin-top:520.95pt;margin-left:239.94pt;mso-position-horizontal-relative:page;mso-position-vertical-relative:page;position:absolute;z-index:251678720" o:allowincell="f" filled="t" fillcolor="#002060" stroked="f"/>
        </w:pict>
      </w:r>
      <w:r>
        <w:pict>
          <v:rect id="_x0000_s1053" style="width:4.25pt;height:4.25pt;margin-top:520.95pt;margin-left:342.92pt;mso-position-horizontal-relative:page;mso-position-vertical-relative:page;position:absolute;z-index:251679744" o:allowincell="f" filled="t" fillcolor="#ffc000" stroked="f"/>
        </w:pict>
      </w:r>
      <w:r>
        <w:pict>
          <v:rect id="_x0000_s1054" style="width:4.25pt;height:4.25pt;margin-top:520.95pt;margin-left:445.9pt;mso-position-horizontal-relative:page;mso-position-vertical-relative:page;position:absolute;z-index:251676672" o:allowincell="f" filled="t" fillcolor="#9dc3e6" stroked="f"/>
        </w:pict>
      </w:r>
      <w:r>
        <w:pict>
          <v:rect id="_x0000_s1055" style="width:4.25pt;height:4.25pt;margin-top:530.08pt;margin-left:239.94pt;mso-position-horizontal-relative:page;mso-position-vertical-relative:page;position:absolute;z-index:251677696" o:allowincell="f" filled="t" fillcolor="#f4b183" stroked="f"/>
        </w:pict>
      </w:r>
      <w:r>
        <w:pict>
          <v:rect id="_x0000_s1056" style="width:4.25pt;height:4.25pt;margin-top:530.08pt;margin-left:342.92pt;mso-position-horizontal-relative:page;mso-position-vertical-relative:page;position:absolute;z-index:251674624" o:allowincell="f" filled="t" fillcolor="#a9d18e" stroked="f"/>
        </w:pict>
      </w:r>
      <w:r>
        <w:pict>
          <v:rect id="_x0000_s1057" style="width:4.25pt;height:4.25pt;margin-top:530.08pt;margin-left:445.9pt;mso-position-horizontal-relative:page;mso-position-vertical-relative:page;position:absolute;z-index:251675648" o:allowincell="f" filled="t" fillcolor="#d9d9d9" stroked="f"/>
        </w:pict>
      </w:r>
      <w:r>
        <w:pict>
          <v:shape id="_x0000_s1058" style="width:382.4pt;height:0.5pt;margin-top:84.5pt;margin-left:170.66pt;mso-position-horizontal-relative:page;mso-position-vertical-relative:page;position:absolute;z-index:251671552" coordorigin="0,0" coordsize="7647,10" o:allowincell="f" path="m,9l7647,9l7647,l,l,9xe" filled="t" fillcolor="black" stroked="f"/>
        </w:pict>
      </w:r>
      <w:r>
        <w:pict>
          <v:shape id="_x0000_s1059" style="width:382.4pt;height:0.5pt;margin-top:263.21pt;margin-left:170.66pt;mso-position-horizontal-relative:page;mso-position-vertical-relative:page;position:absolute;z-index:251670528" coordorigin="0,0" coordsize="7647,10" o:allowincell="f" path="m,9l7647,9l7647,l,l,9xe" filled="t" fillcolor="black" stroked="f"/>
        </w:pict>
      </w:r>
      <w:r>
        <w:pict>
          <v:shape id="_x0000_s1060" style="width:382.4pt;height:0.5pt;margin-top:493.03pt;margin-left:170.66pt;mso-position-horizontal-relative:page;mso-position-vertical-relative:page;position:absolute;z-index:251672576" coordorigin="0,0" coordsize="7647,10" o:allowincell="f" path="m,9l7647,9l7647,l,l,9xe" filled="t" fillcolor="black" stroked="f"/>
        </w:pict>
      </w:r>
      <w:r>
        <w:pict>
          <v:shape id="_x0000_s1061" style="width:382.4pt;height:0.5pt;margin-top:669.34pt;margin-left:170.66pt;mso-position-horizontal-relative:page;mso-position-vertical-relative:page;position:absolute;z-index:251673600" coordorigin="0,0" coordsize="7647,10" o:allowincell="f" path="m,9l7647,9l7647,l,l,9xe" filled="t" fillcolor="black" stroked="f"/>
        </w:pic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2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2023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年中国通胀的表现持续弱于市场预期</w:t>
      </w:r>
    </w:p>
    <w:p>
      <w:pPr>
        <w:spacing w:line="188" w:lineRule="exact"/>
      </w:pPr>
    </w:p>
    <w:p>
      <w:pPr>
        <w:spacing w:line="188" w:lineRule="exact"/>
        <w:sectPr>
          <w:headerReference w:type="default" r:id="rId24"/>
          <w:footerReference w:type="default" r:id="rId25"/>
          <w:pgSz w:w="11907" w:h="16839"/>
          <w:pgMar w:top="1416" w:right="845" w:bottom="1481" w:left="854" w:header="683" w:footer="991" w:gutter="0"/>
          <w:pgNumType w:start="8"/>
          <w:cols w:num="1" w:space="708" w:equalWidth="0">
            <w:col w:w="10207" w:space="0"/>
          </w:cols>
        </w:sectPr>
      </w:pPr>
    </w:p>
    <w:p>
      <w:pPr>
        <w:spacing w:before="239" w:line="364" w:lineRule="auto"/>
        <w:ind w:left="2958" w:right="78" w:firstLine="56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3"/>
          <w:sz w:val="17"/>
          <w:szCs w:val="17"/>
        </w:rPr>
        <w:t>3.0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17"/>
          <w:szCs w:val="17"/>
        </w:rPr>
        <w:t>2.0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17"/>
          <w:szCs w:val="17"/>
        </w:rPr>
        <w:t>1.0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17"/>
          <w:szCs w:val="17"/>
        </w:rPr>
        <w:t>0.0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-1.0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-2.0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-3.0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-4.0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-5.0</w:t>
      </w:r>
    </w:p>
    <w:p>
      <w:pPr>
        <w:spacing w:line="117" w:lineRule="exact"/>
        <w:ind w:left="2958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position w:val="-2"/>
          <w:sz w:val="17"/>
          <w:szCs w:val="17"/>
        </w:rPr>
        <w:t>-6.0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4" w:line="201" w:lineRule="auto"/>
        <w:ind w:left="637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position w:val="4"/>
          <w:sz w:val="17"/>
          <w:szCs w:val="17"/>
        </w:rPr>
        <w:drawing>
          <wp:inline distT="0" distB="0" distL="0" distR="0">
            <wp:extent cx="342265" cy="2222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2265" cy="2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7"/>
          <w:szCs w:val="17"/>
        </w:rPr>
        <w:t>PPI</w:t>
      </w:r>
      <w:r>
        <w:rPr>
          <w:rFonts w:ascii="SimSun" w:eastAsia="SimSun" w:hAnsi="SimSun" w:cs="SimSun"/>
          <w:spacing w:val="-6"/>
          <w:sz w:val="17"/>
          <w:szCs w:val="17"/>
        </w:rPr>
        <w:t xml:space="preserve">同比， </w:t>
      </w:r>
      <w:r>
        <w:rPr>
          <w:rFonts w:ascii="Times New Roman" w:eastAsia="Times New Roman" w:hAnsi="Times New Roman" w:cs="Times New Roman"/>
          <w:spacing w:val="-6"/>
          <w:sz w:val="17"/>
          <w:szCs w:val="17"/>
        </w:rPr>
        <w:t xml:space="preserve">%                         </w:t>
      </w:r>
      <w:r>
        <w:rPr>
          <w:rFonts w:ascii="Times New Roman" w:eastAsia="Times New Roman" w:hAnsi="Times New Roman" w:cs="Times New Roman"/>
          <w:strike/>
          <w:spacing w:val="-6"/>
          <w:sz w:val="17"/>
          <w:szCs w:val="17"/>
        </w:rPr>
        <w:t xml:space="preserve">              </w:t>
      </w:r>
      <w:r>
        <w:rPr>
          <w:rFonts w:ascii="Times New Roman" w:eastAsia="Times New Roman" w:hAnsi="Times New Roman" w:cs="Times New Roman"/>
          <w:spacing w:val="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7"/>
          <w:szCs w:val="17"/>
        </w:rPr>
        <w:t>CPI</w:t>
      </w:r>
      <w:r>
        <w:rPr>
          <w:rFonts w:ascii="SimSun" w:eastAsia="SimSun" w:hAnsi="SimSun" w:cs="SimSun"/>
          <w:spacing w:val="-6"/>
          <w:sz w:val="17"/>
          <w:szCs w:val="17"/>
        </w:rPr>
        <w:t>同比，</w:t>
      </w:r>
      <w:r>
        <w:rPr>
          <w:rFonts w:ascii="SimSun" w:eastAsia="SimSun" w:hAnsi="SimSun" w:cs="SimSun"/>
          <w:spacing w:val="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7"/>
          <w:szCs w:val="17"/>
        </w:rPr>
        <w:t>%</w:t>
      </w:r>
    </w:p>
    <w:p>
      <w:pPr>
        <w:spacing w:line="2755" w:lineRule="exact"/>
      </w:pPr>
      <w:r>
        <w:rPr>
          <w:position w:val="-55"/>
        </w:rPr>
        <w:pict>
          <v:group id="_x0000_i1062" style="width:314.95pt;height:137.8pt;mso-position-horizontal-relative:char;mso-position-vertical-relative:line" coordorigin="0,0" coordsize="6299,2756" filled="f" stroked="f">
            <v:shape id="_x0000_s1063" style="width:6280;height:58;left:7;position:absolute;top:918" coordorigin="0,0" coordsize="6280,58" path="m,50l6280,50m2671,l2671,50m4462,l4462,50e" filled="f" strokecolor="#868686" strokeweight="0.75pt"/>
            <v:shape id="_x0000_s1064" type="#_x0000_t202" style="width:6334;height:2353;left:-14;position:absolute;top:255" filled="f" stroked="f">
              <o:lock v:ext="edit" aspectratio="f"/>
              <v:textbox inset="0,0,0,0">
                <w:txbxContent>
                  <w:p>
                    <w:pPr>
                      <w:spacing w:before="20" w:line="2312" w:lineRule="exact"/>
                      <w:ind w:firstLine="20"/>
                    </w:pPr>
                    <w:r>
                      <w:rPr>
                        <w:position w:val="-46"/>
                      </w:rPr>
                      <w:drawing>
                        <wp:inline distT="0" distB="0" distL="0" distR="0">
                          <wp:extent cx="3996118" cy="1468247"/>
                          <wp:effectExtent l="0" t="0" r="0" b="0"/>
                          <wp:docPr id="36" name="IM 3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6" name="IM 3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996118" cy="146824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65" type="#_x0000_t202" style="width:4670;height:223;left:617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34" w:lineRule="auto"/>
                      <w:ind w:left="20"/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4"/>
                        <w:sz w:val="17"/>
                        <w:szCs w:val="17"/>
                      </w:rPr>
                      <w:drawing>
                        <wp:inline distT="0" distB="0" distL="0" distR="0">
                          <wp:extent cx="342265" cy="22225"/>
                          <wp:effectExtent l="0" t="0" r="0" b="0"/>
                          <wp:docPr id="38" name="IM 3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8" name="IM 38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2265" cy="222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9"/>
                        <w:sz w:val="17"/>
                        <w:szCs w:val="17"/>
                      </w:rPr>
                      <w:t>PPI</w:t>
                    </w:r>
                    <w:r>
                      <w:rPr>
                        <w:rFonts w:ascii="SimSun" w:eastAsia="SimSun" w:hAnsi="SimSun" w:cs="SimSun"/>
                        <w:spacing w:val="-9"/>
                        <w:sz w:val="17"/>
                        <w:szCs w:val="17"/>
                      </w:rPr>
                      <w:t>同比：预期值，</w:t>
                    </w:r>
                    <w:r>
                      <w:rPr>
                        <w:rFonts w:ascii="SimSun" w:eastAsia="SimSun" w:hAnsi="SimSun" w:cs="SimSun"/>
                        <w:spacing w:val="45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9"/>
                        <w:sz w:val="17"/>
                        <w:szCs w:val="17"/>
                      </w:rPr>
                      <w:t xml:space="preserve">%       </w:t>
                    </w:r>
                    <w:r>
                      <w:rPr>
                        <w:position w:val="4"/>
                        <w:sz w:val="17"/>
                        <w:szCs w:val="17"/>
                      </w:rPr>
                      <w:drawing>
                        <wp:inline distT="0" distB="0" distL="0" distR="0">
                          <wp:extent cx="342265" cy="22225"/>
                          <wp:effectExtent l="0" t="0" r="0" b="0"/>
                          <wp:docPr id="40" name="IM 4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40" name="IM 4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2265" cy="222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9"/>
                        <w:sz w:val="17"/>
                        <w:szCs w:val="17"/>
                      </w:rPr>
                      <w:t>CPI</w:t>
                    </w:r>
                    <w:r>
                      <w:rPr>
                        <w:rFonts w:ascii="SimSun" w:eastAsia="SimSun" w:hAnsi="SimSun" w:cs="SimSun"/>
                        <w:spacing w:val="-9"/>
                        <w:sz w:val="17"/>
                        <w:szCs w:val="17"/>
                      </w:rPr>
                      <w:t>同比：预期值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17"/>
                        <w:szCs w:val="17"/>
                      </w:rPr>
                      <w:t>，</w:t>
                    </w:r>
                    <w:r>
                      <w:rPr>
                        <w:rFonts w:ascii="SimSun" w:eastAsia="SimSun" w:hAnsi="SimSun" w:cs="SimSun"/>
                        <w:spacing w:val="44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0"/>
                        <w:sz w:val="17"/>
                        <w:szCs w:val="17"/>
                      </w:rPr>
                      <w:t>%</w:t>
                    </w:r>
                  </w:p>
                </w:txbxContent>
              </v:textbox>
            </v:shape>
            <v:shape id="_x0000_s1066" style="width:5372;height:50;left:910;position:absolute;top:918" coordorigin="0,0" coordsize="5372,50" path="m7,l7,50m873,l873,50m2664,l2664,50m4454,l4454,50m5363,l5363,50e" filled="f" strokecolor="#868686" strokeweight="0.75pt"/>
            <v:shape id="_x0000_s1067" style="width:58;height:2683;position:absolute;top:72" coordorigin="0,0" coordsize="58,2683" path="m7,2675l7,7m7,2675l57,2675m7,2379l57,2379m7,2082l57,2082m7,1786l57,1786m7,1489l57,1489m7,1194l57,1194m7,896l57,896m7,601l57,601m7,303l57,303m7,7l57,7m7,846l7,896e" filled="f" strokecolor="#868686" strokeweight="0.75pt"/>
            <w10:wrap type="none"/>
          </v:group>
        </w:pict>
      </w:r>
    </w:p>
    <w:p>
      <w:pPr>
        <w:spacing w:line="2755" w:lineRule="exact"/>
        <w:sectPr>
          <w:headerReference w:type="default" r:id="rId30"/>
          <w:footerReference w:type="default" r:id="rId31"/>
          <w:type w:val="continuous"/>
          <w:pgSz w:w="11907" w:h="16839"/>
          <w:pgMar w:top="1416" w:right="845" w:bottom="1481" w:left="854" w:header="683" w:footer="991" w:gutter="0"/>
          <w:pgNumType w:start="9"/>
          <w:cols w:num="2" w:space="708" w:equalWidth="0">
            <w:col w:w="3301" w:space="100"/>
            <w:col w:w="6807" w:space="0"/>
          </w:cols>
        </w:sectPr>
      </w:pPr>
    </w:p>
    <w:p>
      <w:pPr>
        <w:spacing w:before="79" w:line="190" w:lineRule="auto"/>
        <w:ind w:left="322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z w:val="17"/>
          <w:szCs w:val="17"/>
        </w:rPr>
        <w:t>22/11            23/01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          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23/03            23/05            23/07            23/09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 xml:space="preserve">          23/11            24/01</w:t>
      </w:r>
    </w:p>
    <w:p>
      <w:pPr>
        <w:pStyle w:val="BodyText"/>
        <w:spacing w:before="153" w:line="227" w:lineRule="auto"/>
        <w:ind w:left="2670"/>
        <w:rPr>
          <w:sz w:val="16"/>
          <w:szCs w:val="16"/>
        </w:rPr>
      </w:pPr>
      <w:r>
        <w:rPr>
          <w:spacing w:val="-1"/>
          <w:sz w:val="16"/>
          <w:szCs w:val="16"/>
        </w:rPr>
        <w:t>数据来源：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Wind</w:t>
      </w:r>
      <w:r>
        <w:rPr>
          <w:spacing w:val="-1"/>
          <w:sz w:val="16"/>
          <w:szCs w:val="16"/>
        </w:rPr>
        <w:t>，兴业证券经济与金融研究院整理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69" w:line="269" w:lineRule="auto"/>
        <w:ind w:left="3253" w:right="89" w:hanging="354"/>
      </w:pPr>
      <w:r>
        <w:rPr>
          <w:rFonts w:ascii="Arial" w:eastAsia="Arial" w:hAnsi="Arial" w:cs="Arial"/>
          <w:spacing w:val="-2"/>
        </w:rPr>
        <w:t xml:space="preserve">•     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“猪油共振下行”和消费修复动能偏弱是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 xml:space="preserve">2023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</w:rPr>
        <w:t>CPI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低通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胀的核心原因。</w:t>
      </w:r>
      <w:r>
        <w:t xml:space="preserve"> </w:t>
      </w:r>
      <w:r>
        <w:rPr>
          <w:spacing w:val="-3"/>
        </w:rPr>
        <w:t>一方面从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CPI </w:t>
      </w:r>
      <w:r>
        <w:rPr>
          <w:spacing w:val="-3"/>
        </w:rPr>
        <w:t>分项表现来看，交通通信项是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2023 </w:t>
      </w:r>
      <w:r>
        <w:rPr>
          <w:spacing w:val="-3"/>
        </w:rPr>
        <w:t>年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CPI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-3"/>
        </w:rPr>
        <w:t>的主要拖累来源，</w:t>
      </w:r>
      <w:r>
        <w:rPr>
          <w:spacing w:val="-3"/>
        </w:rPr>
        <w:t xml:space="preserve"> </w:t>
      </w:r>
      <w:r>
        <w:t>其中主要源自于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2022 </w:t>
      </w:r>
      <w:r>
        <w:t>年国际油价高位导致的基</w:t>
      </w:r>
      <w:r>
        <w:rPr>
          <w:spacing w:val="-1"/>
        </w:rPr>
        <w:t>数效应和四季度弱需求预期</w:t>
      </w:r>
      <w:r>
        <w:t xml:space="preserve"> </w:t>
      </w:r>
      <w:r>
        <w:rPr>
          <w:spacing w:val="-6"/>
        </w:rPr>
        <w:t>下的国际油价走弱，从而导致的国内燃料价格同比大幅下滑。同时，</w:t>
      </w:r>
      <w:r>
        <w:rPr>
          <w:rFonts w:ascii="Times New Roman" w:eastAsia="Times New Roman" w:hAnsi="Times New Roman" w:cs="Times New Roman"/>
          <w:spacing w:val="-6"/>
        </w:rPr>
        <w:t>2023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-6"/>
        </w:rPr>
        <w:t>中</w:t>
      </w:r>
      <w:r>
        <w:t xml:space="preserve"> </w:t>
      </w:r>
      <w:r>
        <w:rPr>
          <w:spacing w:val="-6"/>
        </w:rPr>
        <w:t>国猪周期仍处于产能去化阶段，</w:t>
      </w:r>
      <w:r>
        <w:rPr>
          <w:spacing w:val="-6"/>
        </w:rPr>
        <w:t xml:space="preserve"> </w:t>
      </w:r>
      <w:r>
        <w:rPr>
          <w:spacing w:val="-6"/>
        </w:rPr>
        <w:t>猪价呈逐</w:t>
      </w:r>
      <w:r>
        <w:rPr>
          <w:spacing w:val="-7"/>
        </w:rPr>
        <w:t>月回落趋势，“猪油共振下行”对</w:t>
      </w:r>
      <w:r>
        <w:t xml:space="preserve"> </w:t>
      </w:r>
      <w:r>
        <w:rPr>
          <w:spacing w:val="-4"/>
        </w:rPr>
        <w:t>非核心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CPI</w:t>
      </w:r>
      <w:r>
        <w:rPr>
          <w:rFonts w:ascii="Times New Roman" w:eastAsia="Times New Roman" w:hAnsi="Times New Roman" w:cs="Times New Roman"/>
          <w:spacing w:val="26"/>
        </w:rPr>
        <w:t xml:space="preserve"> </w:t>
      </w:r>
      <w:r>
        <w:rPr>
          <w:spacing w:val="-4"/>
        </w:rPr>
        <w:t>形成了显著拖累；另一方面从核心</w:t>
      </w:r>
      <w:r>
        <w:rPr>
          <w:spacing w:val="-26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CPI</w:t>
      </w:r>
      <w:r>
        <w:rPr>
          <w:rFonts w:ascii="Times New Roman" w:eastAsia="Times New Roman" w:hAnsi="Times New Roman" w:cs="Times New Roman"/>
          <w:spacing w:val="28"/>
        </w:rPr>
        <w:t xml:space="preserve"> </w:t>
      </w:r>
      <w:r>
        <w:rPr>
          <w:spacing w:val="-4"/>
        </w:rPr>
        <w:t>来看，</w:t>
      </w:r>
      <w:r>
        <w:rPr>
          <w:spacing w:val="-4"/>
        </w:rPr>
        <w:t xml:space="preserve"> </w:t>
      </w:r>
      <w:r>
        <w:rPr>
          <w:spacing w:val="-4"/>
        </w:rPr>
        <w:t>在全年经济</w:t>
      </w:r>
      <w:r>
        <w:rPr>
          <w:spacing w:val="-5"/>
        </w:rPr>
        <w:t>弱复</w:t>
      </w:r>
      <w:r>
        <w:t xml:space="preserve"> </w:t>
      </w:r>
      <w:r>
        <w:rPr>
          <w:spacing w:val="-4"/>
        </w:rPr>
        <w:t>苏环境下，居民收入和就业信心处于历史低位，消费意愿不足显著压制了商</w:t>
      </w:r>
      <w:r>
        <w:rPr>
          <w:spacing w:val="15"/>
        </w:rPr>
        <w:t xml:space="preserve"> </w:t>
      </w:r>
      <w:r>
        <w:rPr>
          <w:spacing w:val="-2"/>
        </w:rPr>
        <w:t>品消费、租房需求和核心通胀回升，服务消费也在暑期过后出现明显降温；</w:t>
      </w:r>
      <w:r>
        <w:t xml:space="preserve"> </w:t>
      </w:r>
      <w:r>
        <w:rPr>
          <w:spacing w:val="-6"/>
        </w:rPr>
        <w:t>此外，</w:t>
      </w:r>
      <w:r>
        <w:rPr>
          <w:spacing w:val="-24"/>
        </w:rPr>
        <w:t xml:space="preserve"> </w:t>
      </w:r>
      <w:r>
        <w:rPr>
          <w:spacing w:val="-6"/>
        </w:rPr>
        <w:t>其余农产品的供给充足格局和汽车行业“价格战”也一定程度拖累了</w:t>
      </w:r>
      <w:r>
        <w:t xml:space="preserve"> </w:t>
      </w:r>
      <w:r>
        <w:rPr>
          <w:spacing w:val="-4"/>
        </w:rPr>
        <w:t>整体物价水平。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69" w:line="216" w:lineRule="auto"/>
        <w:ind w:left="2696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>3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：食品项和交运项价格带动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2023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</w:rPr>
        <w:t xml:space="preserve">CPI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显著回落</w:t>
      </w:r>
    </w:p>
    <w:p>
      <w:pPr>
        <w:spacing w:line="84" w:lineRule="exact"/>
      </w:pPr>
    </w:p>
    <w:p>
      <w:pPr>
        <w:spacing w:line="84" w:lineRule="exact"/>
        <w:sectPr>
          <w:headerReference w:type="default" r:id="rId32"/>
          <w:footerReference w:type="default" r:id="rId33"/>
          <w:type w:val="continuous"/>
          <w:pgSz w:w="11907" w:h="16839"/>
          <w:pgMar w:top="1416" w:right="845" w:bottom="1481" w:left="854" w:header="683" w:footer="991" w:gutter="0"/>
          <w:pgNumType w:start="10"/>
          <w:cols w:num="1" w:space="708" w:equalWidth="0">
            <w:col w:w="10207" w:space="0"/>
          </w:cols>
        </w:sect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50" w:line="186" w:lineRule="auto"/>
        <w:ind w:left="304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4.00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48" w:line="186" w:lineRule="auto"/>
        <w:ind w:left="3048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3.00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50" w:line="186" w:lineRule="auto"/>
        <w:ind w:left="304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2.00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49" w:line="187" w:lineRule="auto"/>
        <w:ind w:left="306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5"/>
          <w:sz w:val="17"/>
          <w:szCs w:val="17"/>
        </w:rPr>
        <w:t>1.00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49" w:line="186" w:lineRule="auto"/>
        <w:ind w:left="3047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0.00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50" w:line="186" w:lineRule="auto"/>
        <w:ind w:left="2992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-1.00</w:t>
      </w:r>
    </w:p>
    <w:p>
      <w:pPr>
        <w:spacing w:line="14" w:lineRule="auto"/>
        <w:rPr>
          <w:rFonts w:ascii="Arial"/>
          <w:sz w:val="2"/>
        </w:rPr>
        <w:sectPr>
          <w:headerReference w:type="default" r:id="rId34"/>
          <w:footerReference w:type="default" r:id="rId35"/>
          <w:type w:val="continuous"/>
          <w:pgSz w:w="11907" w:h="16839"/>
          <w:pgMar w:top="1416" w:right="845" w:bottom="1481" w:left="854" w:header="683" w:footer="991" w:gutter="0"/>
          <w:pgNumType w:start="11"/>
          <w:cols w:num="2" w:space="708" w:equalWidth="0">
            <w:col w:w="3419" w:space="100"/>
            <w:col w:w="6689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5" w:line="226" w:lineRule="auto"/>
        <w:ind w:left="227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SimSun" w:eastAsia="SimSun" w:hAnsi="SimSun" w:cs="SimSun"/>
          <w:spacing w:val="-7"/>
          <w:sz w:val="17"/>
          <w:szCs w:val="17"/>
          <w14:textOutline w14:w="3091">
            <w14:solidFill>
              <w14:srgbClr w14:val="000000"/>
            </w14:solidFill>
            <w14:prstDash w14:val="solid"/>
            <w14:round/>
          </w14:textOutline>
        </w:rPr>
        <w:t>中国</w:t>
      </w:r>
      <w:r>
        <w:rPr>
          <w:rFonts w:ascii="Times New Roman" w:eastAsia="Times New Roman" w:hAnsi="Times New Roman" w:cs="Times New Roman"/>
          <w:b/>
          <w:bCs/>
          <w:spacing w:val="-7"/>
          <w:sz w:val="17"/>
          <w:szCs w:val="17"/>
        </w:rPr>
        <w:t>CPI</w:t>
      </w:r>
      <w:r>
        <w:rPr>
          <w:rFonts w:ascii="SimSun" w:eastAsia="SimSun" w:hAnsi="SimSun" w:cs="SimSun"/>
          <w:spacing w:val="-7"/>
          <w:sz w:val="17"/>
          <w:szCs w:val="17"/>
          <w14:textOutline w14:w="3091">
            <w14:solidFill>
              <w14:srgbClr w14:val="000000"/>
            </w14:solidFill>
            <w14:prstDash w14:val="solid"/>
            <w14:round/>
          </w14:textOutline>
        </w:rPr>
        <w:t>同比拉动，</w:t>
      </w:r>
      <w:r>
        <w:rPr>
          <w:rFonts w:ascii="SimSun" w:eastAsia="SimSun" w:hAnsi="SimSun" w:cs="SimSun"/>
          <w:spacing w:val="-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17"/>
          <w:szCs w:val="17"/>
        </w:rPr>
        <w:t>%</w:t>
      </w:r>
    </w:p>
    <w:p>
      <w:pPr>
        <w:spacing w:before="1" w:line="198" w:lineRule="auto"/>
        <w:ind w:left="2485"/>
        <w:rPr>
          <w:rFonts w:ascii="SimSun" w:eastAsia="SimSun" w:hAnsi="SimSun" w:cs="SimSun"/>
          <w:sz w:val="17"/>
          <w:szCs w:val="17"/>
        </w:rPr>
      </w:pPr>
      <w:r>
        <w:pict>
          <v:shape id="_x0000_s1068" type="#_x0000_t202" style="width:42.15pt;height:12.2pt;margin-top:-0.98pt;margin-left:20.32pt;position:absolute;z-index:251682816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position w:val="1"/>
                      <w:sz w:val="17"/>
                      <w:szCs w:val="17"/>
                    </w:rPr>
                    <w:drawing>
                      <wp:inline distT="0" distB="0" distL="0" distR="0">
                        <wp:extent cx="53806" cy="53806"/>
                        <wp:effectExtent l="0" t="0" r="0" b="0"/>
                        <wp:docPr id="42" name="IM 4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xmlns:r="http://schemas.openxmlformats.org/officeDocument/2006/relationships"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806" cy="538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43"/>
                      <w:sz w:val="17"/>
                      <w:szCs w:val="17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"/>
                      <w:sz w:val="17"/>
                      <w:szCs w:val="17"/>
                    </w:rPr>
                    <w:t>食品烟酒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1"/>
          <w:sz w:val="17"/>
          <w:szCs w:val="17"/>
        </w:rPr>
        <w:drawing>
          <wp:inline distT="0" distB="0" distL="0" distR="0">
            <wp:extent cx="53806" cy="53806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3806" cy="53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1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17"/>
          <w:szCs w:val="17"/>
        </w:rPr>
        <w:t>生活用品及服务</w:t>
      </w:r>
      <w:r>
        <w:rPr>
          <w:rFonts w:ascii="SimSun" w:eastAsia="SimSun" w:hAnsi="SimSun" w:cs="SimSun"/>
          <w:spacing w:val="8"/>
          <w:sz w:val="17"/>
          <w:szCs w:val="17"/>
        </w:rPr>
        <w:t xml:space="preserve">        </w:t>
      </w:r>
      <w:r>
        <w:rPr>
          <w:position w:val="1"/>
          <w:sz w:val="17"/>
          <w:szCs w:val="17"/>
        </w:rPr>
        <w:drawing>
          <wp:inline distT="0" distB="0" distL="0" distR="0">
            <wp:extent cx="53806" cy="53806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3806" cy="53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40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1"/>
          <w:sz w:val="17"/>
          <w:szCs w:val="17"/>
        </w:rPr>
        <w:t>衣着</w:t>
      </w:r>
    </w:p>
    <w:p>
      <w:pPr>
        <w:spacing w:before="1" w:line="198" w:lineRule="auto"/>
        <w:ind w:left="2615"/>
        <w:rPr>
          <w:rFonts w:ascii="SimSun" w:eastAsia="SimSun" w:hAnsi="SimSun" w:cs="SimSun"/>
          <w:sz w:val="17"/>
          <w:szCs w:val="17"/>
        </w:rPr>
      </w:pPr>
      <w:r>
        <w:pict>
          <v:shape id="_x0000_s1069" type="#_x0000_t202" style="width:44.1pt;height:12.15pt;margin-top:-0.97pt;margin-left:26.86pt;position:absolute;z-index:251681792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7"/>
                      <w:szCs w:val="17"/>
                    </w:rPr>
                    <w:t>交通和通信</w:t>
                  </w:r>
                </w:p>
              </w:txbxContent>
            </v:textbox>
          </v:shape>
        </w:pict>
      </w:r>
      <w:r>
        <w:pict>
          <v:shape id="_x0000_s1070" type="#_x0000_t202" style="width:18.65pt;height:12.2pt;margin-top:-0.97pt;margin-left:232.74pt;position:absolute;z-index:251685888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7"/>
                      <w:szCs w:val="17"/>
                    </w:rPr>
                    <w:t>居住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2"/>
          <w:sz w:val="17"/>
          <w:szCs w:val="17"/>
        </w:rPr>
        <w:t>教育文娱</w:t>
      </w:r>
    </w:p>
    <w:p>
      <w:pPr>
        <w:spacing w:line="219" w:lineRule="auto"/>
        <w:ind w:left="2614"/>
        <w:rPr>
          <w:rFonts w:ascii="SimSun" w:eastAsia="SimSun" w:hAnsi="SimSun" w:cs="SimSun"/>
          <w:sz w:val="17"/>
          <w:szCs w:val="17"/>
        </w:rPr>
      </w:pPr>
      <w:r>
        <w:pict>
          <v:shape id="_x0000_s1071" type="#_x0000_t202" style="width:35.35pt;height:12.2pt;margin-top:-0.96pt;margin-left:27.09pt;position:absolute;z-index:251683840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7"/>
                      <w:szCs w:val="17"/>
                    </w:rPr>
                    <w:t>医疗保健</w:t>
                  </w:r>
                </w:p>
              </w:txbxContent>
            </v:textbox>
          </v:shape>
        </w:pict>
      </w:r>
      <w:r>
        <w:pict>
          <v:shape id="_x0000_s1072" type="#_x0000_t202" style="width:18.75pt;height:12.2pt;margin-top:-0.96pt;margin-left:232.68pt;position:absolute;z-index:251684864" filled="f" stroked="f">
            <o:lock v:ext="edit" aspectratio="f"/>
            <v:textbox inset="0,0,0,0">
              <w:txbxContent>
                <w:p>
                  <w:pPr>
                    <w:spacing w:before="20" w:line="221" w:lineRule="auto"/>
                    <w:ind w:left="20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7"/>
                      <w:szCs w:val="17"/>
                    </w:rPr>
                    <w:t>残差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"/>
          <w:sz w:val="17"/>
          <w:szCs w:val="17"/>
        </w:rPr>
        <w:t>其他用品和服务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43" w:line="250" w:lineRule="auto"/>
        <w:ind w:left="5324" w:right="663"/>
        <w:jc w:val="both"/>
        <w:rPr>
          <w:rFonts w:ascii="SimSun" w:eastAsia="SimSun" w:hAnsi="SimSun" w:cs="SimSun"/>
          <w:sz w:val="13"/>
          <w:szCs w:val="13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-552198</wp:posOffset>
            </wp:positionV>
            <wp:extent cx="3934459" cy="1667637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934459" cy="166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C00000"/>
          <w:spacing w:val="10"/>
          <w:sz w:val="13"/>
          <w:szCs w:val="13"/>
          <w14:textOutline w14:w="2525">
            <w14:solidFill>
              <w14:srgbClr w14:val="C00000"/>
            </w14:solidFill>
            <w14:prstDash w14:val="solid"/>
            <w14:round/>
          </w14:textOutline>
        </w:rPr>
        <w:t>食品项和交</w:t>
      </w:r>
      <w:r>
        <w:rPr>
          <w:rFonts w:ascii="SimSun" w:eastAsia="SimSun" w:hAnsi="SimSun" w:cs="SimSun"/>
          <w:color w:val="C00000"/>
          <w:sz w:val="13"/>
          <w:szCs w:val="13"/>
        </w:rPr>
        <w:t xml:space="preserve"> </w:t>
      </w:r>
      <w:r>
        <w:rPr>
          <w:rFonts w:ascii="SimSun" w:eastAsia="SimSun" w:hAnsi="SimSun" w:cs="SimSun"/>
          <w:color w:val="C00000"/>
          <w:spacing w:val="10"/>
          <w:sz w:val="13"/>
          <w:szCs w:val="13"/>
          <w14:textOutline w14:w="2525">
            <w14:solidFill>
              <w14:srgbClr w14:val="C00000"/>
            </w14:solidFill>
            <w14:prstDash w14:val="solid"/>
            <w14:round/>
          </w14:textOutline>
        </w:rPr>
        <w:t>运项价格出</w:t>
      </w:r>
      <w:r>
        <w:rPr>
          <w:rFonts w:ascii="SimSun" w:eastAsia="SimSun" w:hAnsi="SimSun" w:cs="SimSun"/>
          <w:color w:val="C00000"/>
          <w:sz w:val="13"/>
          <w:szCs w:val="13"/>
        </w:rPr>
        <w:t xml:space="preserve"> </w:t>
      </w:r>
      <w:r>
        <w:rPr>
          <w:rFonts w:ascii="SimSun" w:eastAsia="SimSun" w:hAnsi="SimSun" w:cs="SimSun"/>
          <w:color w:val="C00000"/>
          <w:spacing w:val="10"/>
          <w:sz w:val="13"/>
          <w:szCs w:val="13"/>
          <w14:textOutline w14:w="2534">
            <w14:solidFill>
              <w14:srgbClr w14:val="C00000"/>
            </w14:solidFill>
            <w14:prstDash w14:val="solid"/>
            <w14:round/>
          </w14:textOutline>
        </w:rPr>
        <w:t>现明显回落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50" w:line="117" w:lineRule="exact"/>
        <w:ind w:left="283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position w:val="-2"/>
          <w:sz w:val="17"/>
          <w:szCs w:val="17"/>
        </w:rPr>
        <w:t xml:space="preserve">2017             2018             2019       </w:t>
      </w:r>
      <w:r>
        <w:rPr>
          <w:rFonts w:ascii="Times New Roman" w:eastAsia="Times New Roman" w:hAnsi="Times New Roman" w:cs="Times New Roman"/>
          <w:spacing w:val="-1"/>
          <w:position w:val="-2"/>
          <w:sz w:val="17"/>
          <w:szCs w:val="17"/>
        </w:rPr>
        <w:t xml:space="preserve">      2020             2021             2022             2023</w:t>
      </w:r>
    </w:p>
    <w:p>
      <w:pPr>
        <w:spacing w:line="117" w:lineRule="exact"/>
        <w:rPr>
          <w:rFonts w:ascii="Times New Roman" w:eastAsia="Times New Roman" w:hAnsi="Times New Roman" w:cs="Times New Roman"/>
          <w:sz w:val="17"/>
          <w:szCs w:val="17"/>
        </w:rPr>
        <w:sectPr>
          <w:headerReference w:type="default" r:id="rId40"/>
          <w:footerReference w:type="default" r:id="rId41"/>
          <w:type w:val="nextPage"/>
          <w:pgSz w:w="11907" w:h="16839"/>
          <w:pgMar w:top="1416" w:right="845" w:bottom="1481" w:left="854" w:header="683" w:footer="991" w:gutter="0"/>
          <w:pgNumType w:start="12"/>
          <w:cols w:num="2" w:space="708" w:equalWidth="0">
            <w:col w:w="3419" w:space="100"/>
            <w:col w:w="6689" w:space="0"/>
          </w:cols>
          <w:titlePg w:val="0"/>
        </w:sectPr>
      </w:pPr>
    </w:p>
    <w:p>
      <w:pPr>
        <w:pStyle w:val="BodyText"/>
        <w:spacing w:before="208" w:line="186" w:lineRule="auto"/>
        <w:ind w:left="2670"/>
        <w:rPr>
          <w:sz w:val="16"/>
          <w:szCs w:val="16"/>
        </w:rPr>
      </w:pPr>
      <w:r>
        <w:rPr>
          <w:spacing w:val="-2"/>
          <w:sz w:val="16"/>
          <w:szCs w:val="16"/>
        </w:rPr>
        <w:t>数据来源：</w:t>
      </w:r>
      <w:r>
        <w:rPr>
          <w:spacing w:val="-35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同花顺，兴业证券经济与金融研究院整理</w:t>
      </w:r>
    </w:p>
    <w:p>
      <w:pPr>
        <w:spacing w:line="186" w:lineRule="auto"/>
        <w:rPr>
          <w:sz w:val="16"/>
          <w:szCs w:val="16"/>
        </w:rPr>
        <w:sectPr>
          <w:headerReference w:type="default" r:id="rId42"/>
          <w:footerReference w:type="default" r:id="rId43"/>
          <w:type w:val="continuous"/>
          <w:pgSz w:w="11907" w:h="16839"/>
          <w:pgMar w:top="1416" w:right="845" w:bottom="1481" w:left="854" w:header="683" w:footer="991" w:gutter="0"/>
          <w:pgNumType w:start="13"/>
          <w:cols w:num="1" w:space="708" w:equalWidth="0">
            <w:col w:w="10207" w:space="0"/>
          </w:cols>
        </w:sectPr>
      </w:pPr>
    </w:p>
    <w:p>
      <w:pPr>
        <w:pStyle w:val="BodyText"/>
        <w:spacing w:before="32" w:line="213" w:lineRule="auto"/>
        <w:ind w:left="2696"/>
      </w:pPr>
      <w:r>
        <w:pict>
          <v:shape id="_x0000_s1073" style="width:382.4pt;height:0.5pt;margin-top:84.5pt;margin-left:170.66pt;mso-position-horizontal-relative:page;mso-position-vertical-relative:page;position:absolute;z-index:251695104" coordorigin="0,0" coordsize="7647,10" o:allowincell="f" path="m,9l7647,9l7647,l,l,9xe" filled="t" fillcolor="black" stroked="f"/>
        </w:pict>
      </w:r>
      <w:r>
        <w:drawing>
          <wp:anchor distT="0" distB="0" distL="0" distR="0" simplePos="0" relativeHeight="251689984" behindDoc="1" locked="0" layoutInCell="0" allowOverlap="1">
            <wp:simplePos x="0" y="0"/>
            <wp:positionH relativeFrom="page">
              <wp:posOffset>2673540</wp:posOffset>
            </wp:positionH>
            <wp:positionV relativeFrom="page">
              <wp:posOffset>1367091</wp:posOffset>
            </wp:positionV>
            <wp:extent cx="4169219" cy="1697863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169219" cy="1697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4" style="width:26.95pt;height:10.65pt;margin-top:107.98pt;margin-left:250.32pt;mso-position-horizontal-relative:page;mso-position-vertical-relative:page;position:absolute;z-index:251692032" coordorigin="0,0" coordsize="539,212" o:allowincell="f" filled="f" stroked="f">
            <v:shape id="_x0000_s1075" style="width:539;height:35;position:absolute" coordorigin="0,0" coordsize="539,35" path="m17,17l521,17e" filled="f" strokecolor="#002060" strokeweight="1.75pt">
              <v:stroke endcap="round"/>
            </v:shape>
            <v:shape id="_x0000_s1076" style="width:539;height:35;position:absolute;top:177" coordorigin="0,0" coordsize="539,35" path="m17,17l521,17e" filled="f" strokecolor="#f4b183" strokeweight="1.75pt">
              <v:stroke dashstyle="dash" endcap="round"/>
            </v:shape>
          </v:group>
        </w:pict>
      </w:r>
      <w:r>
        <w:pict>
          <v:group id="_x0000_s1077" style="width:27pt;height:10.65pt;margin-top:107.98pt;margin-left:347.04pt;mso-position-horizontal-relative:page;mso-position-vertical-relative:page;position:absolute;z-index:251691008" coordorigin="0,0" coordsize="540,212" o:allowincell="f" filled="f" stroked="f">
            <v:shape id="_x0000_s1078" style="width:540;height:35;position:absolute" coordorigin="0,0" coordsize="540,35" path="m17,17l521,17e" filled="f" strokecolor="#a6a6a6" strokeweight="1.75pt">
              <v:stroke endcap="round"/>
            </v:shape>
            <v:shape id="_x0000_s1079" style="width:540;height:35;position:absolute;top:177" coordorigin="0,0" coordsize="540,35" path="m17,17l521,17e" filled="f" strokecolor="#8ea5cb" strokeweight="1.75pt">
              <v:stroke dashstyle="dash" endcap="round"/>
            </v:shape>
          </v:group>
        </w:pict>
      </w:r>
      <w:r>
        <w:pict>
          <v:group id="_x0000_s1080" style="width:26.95pt;height:10.65pt;margin-top:107.98pt;margin-left:443.76pt;mso-position-horizontal-relative:page;mso-position-vertical-relative:page;position:absolute;z-index:251693056" coordorigin="0,0" coordsize="539,212" o:allowincell="f" filled="f" stroked="f">
            <v:shape id="_x0000_s1081" style="width:539;height:35;position:absolute" coordorigin="0,0" coordsize="539,35" path="m17,17l521,17e" filled="f" strokecolor="#ffd966" strokeweight="1.75pt">
              <v:stroke endcap="round"/>
            </v:shape>
            <v:shape id="_x0000_s1082" style="width:539;height:35;position:absolute;top:177" coordorigin="0,0" coordsize="539,35" path="m17,17l521,17e" filled="f" strokecolor="#ce8e8d" strokeweight="1.75pt">
              <v:stroke dashstyle="dash" endcap="round"/>
            </v:shape>
          </v:group>
        </w:pict>
      </w:r>
      <w:r>
        <w:pict>
          <v:shape id="_x0000_s1083" style="width:382.4pt;height:0.5pt;margin-top:260.78pt;margin-left:170.66pt;mso-position-horizontal-relative:page;mso-position-vertical-relative:page;position:absolute;z-index:251697152" coordorigin="0,0" coordsize="7647,10" o:allowincell="f" path="m,9l7647,9l7647,l,l,9xe" filled="t" fillcolor="black" stroked="f"/>
        </w:pict>
      </w:r>
      <w:r>
        <w:pict>
          <v:shape id="_x0000_s1084" style="width:382.4pt;height:0.5pt;margin-top:462.19pt;margin-left:170.66pt;mso-position-horizontal-relative:page;mso-position-vertical-relative:page;position:absolute;z-index:251696128" coordorigin="0,0" coordsize="7647,10" o:allowincell="f" path="m,9l7647,9l7647,l,l,9xe" filled="t" fillcolor="black" stroked="f"/>
        </w:pict>
      </w:r>
      <w:r>
        <w:drawing>
          <wp:anchor distT="0" distB="0" distL="0" distR="0" simplePos="0" relativeHeight="251687936" behindDoc="1" locked="0" layoutInCell="0" allowOverlap="1">
            <wp:simplePos x="0" y="0"/>
            <wp:positionH relativeFrom="page">
              <wp:posOffset>3415283</wp:posOffset>
            </wp:positionH>
            <wp:positionV relativeFrom="page">
              <wp:posOffset>6688836</wp:posOffset>
            </wp:positionV>
            <wp:extent cx="3102864" cy="115824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102864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0" allowOverlap="1">
            <wp:simplePos x="0" y="0"/>
            <wp:positionH relativeFrom="page">
              <wp:posOffset>3105911</wp:posOffset>
            </wp:positionH>
            <wp:positionV relativeFrom="page">
              <wp:posOffset>6603493</wp:posOffset>
            </wp:positionV>
            <wp:extent cx="3101340" cy="1243583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101340" cy="1243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0" allowOverlap="1">
            <wp:simplePos x="0" y="0"/>
            <wp:positionH relativeFrom="page">
              <wp:posOffset>2795016</wp:posOffset>
            </wp:positionH>
            <wp:positionV relativeFrom="page">
              <wp:posOffset>6301740</wp:posOffset>
            </wp:positionV>
            <wp:extent cx="3102863" cy="1545336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102863" cy="1545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5" style="width:382.4pt;height:0.5pt;margin-top:638.38pt;margin-left:170.66pt;mso-position-horizontal-relative:page;mso-position-vertical-relative:page;position:absolute;z-index:251694080" coordorigin="0,0" coordsize="7647,10" o:allowincell="f" path="m,9l7647,9l7647,l,l,9xe" filled="t" fillcolor="black" stroked="f"/>
        </w:pic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t xml:space="preserve"> </w:t>
      </w:r>
      <w:r>
        <w:rPr>
          <w:rFonts w:ascii="Times New Roman" w:eastAsia="Times New Roman" w:hAnsi="Times New Roman" w:cs="Times New Roman"/>
          <w:b/>
          <w:bCs/>
        </w:rPr>
        <w:t>4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</w:rPr>
        <w:t xml:space="preserve">2023 </w:t>
      </w:r>
      <w:r>
        <w:rPr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年居民消费信心疲软，商品价格增长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处于季节性低位</w:t>
      </w:r>
    </w:p>
    <w:p>
      <w:pPr>
        <w:spacing w:line="146" w:lineRule="exact"/>
      </w:pPr>
    </w:p>
    <w:p>
      <w:pPr>
        <w:spacing w:line="146" w:lineRule="exact"/>
        <w:sectPr>
          <w:headerReference w:type="default" r:id="rId48"/>
          <w:footerReference w:type="default" r:id="rId49"/>
          <w:pgSz w:w="11907" w:h="16839"/>
          <w:pgMar w:top="1416" w:right="845" w:bottom="1481" w:left="854" w:header="683" w:footer="991" w:gutter="0"/>
          <w:pgNumType w:start="14"/>
          <w:cols w:num="1" w:space="708" w:equalWidth="0">
            <w:col w:w="10207" w:space="0"/>
          </w:cols>
        </w:sectPr>
      </w:pPr>
    </w:p>
    <w:p>
      <w:pPr>
        <w:spacing w:before="261" w:line="408" w:lineRule="auto"/>
        <w:ind w:left="2914" w:right="78" w:firstLine="53"/>
        <w:jc w:val="right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2.0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17"/>
          <w:szCs w:val="17"/>
        </w:rPr>
        <w:t>1.5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17"/>
          <w:szCs w:val="17"/>
        </w:rPr>
        <w:t>1.0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17"/>
          <w:szCs w:val="17"/>
        </w:rPr>
        <w:t>0.5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17"/>
          <w:szCs w:val="17"/>
        </w:rPr>
        <w:t>0.0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-0.5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-1.0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-1.5</w:t>
      </w:r>
    </w:p>
    <w:p>
      <w:pPr>
        <w:spacing w:line="186" w:lineRule="auto"/>
        <w:ind w:left="291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-2.0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4" w:line="235" w:lineRule="auto"/>
        <w:ind w:left="2542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SimSun" w:eastAsia="SimSun" w:hAnsi="SimSun" w:cs="SimSun"/>
          <w:spacing w:val="2"/>
          <w:sz w:val="17"/>
          <w:szCs w:val="17"/>
          <w14:textOutline w14:w="3091" w14:cap="rnd">
            <w14:solidFill>
              <w14:srgbClr w14:val="000000"/>
            </w14:solidFill>
            <w14:prstDash w14:val="solid"/>
            <w14:round/>
          </w14:textOutline>
        </w:rPr>
        <w:t>消费品</w:t>
      </w:r>
      <w:r>
        <w:rPr>
          <w:rFonts w:ascii="Times New Roman" w:eastAsia="Times New Roman" w:hAnsi="Times New Roman" w:cs="Times New Roman"/>
          <w:b/>
          <w:bCs/>
          <w:sz w:val="17"/>
          <w:szCs w:val="17"/>
        </w:rPr>
        <w:t>CPI</w:t>
      </w:r>
      <w:r>
        <w:rPr>
          <w:rFonts w:ascii="SimSun" w:eastAsia="SimSun" w:hAnsi="SimSun" w:cs="SimSun"/>
          <w:spacing w:val="2"/>
          <w:sz w:val="17"/>
          <w:szCs w:val="17"/>
          <w14:textOutline w14:w="3091" w14:cap="rnd">
            <w14:solidFill>
              <w14:srgbClr w14:val="000000"/>
            </w14:solidFill>
            <w14:prstDash w14:val="solid"/>
            <w14:round/>
          </w14:textOutline>
        </w:rPr>
        <w:t>环比，</w:t>
      </w:r>
      <w:r>
        <w:rPr>
          <w:rFonts w:ascii="Times New Roman" w:eastAsia="Times New Roman" w:hAnsi="Times New Roman" w:cs="Times New Roman"/>
          <w:b/>
          <w:bCs/>
          <w:spacing w:val="2"/>
          <w:sz w:val="17"/>
          <w:szCs w:val="17"/>
        </w:rPr>
        <w:t>%</w:t>
      </w:r>
    </w:p>
    <w:p>
      <w:pPr>
        <w:spacing w:before="24" w:line="186" w:lineRule="auto"/>
        <w:ind w:left="3312"/>
        <w:rPr>
          <w:rFonts w:ascii="Times New Roman" w:eastAsia="Times New Roman" w:hAnsi="Times New Roman" w:cs="Times New Roman"/>
          <w:sz w:val="17"/>
          <w:szCs w:val="17"/>
        </w:rPr>
      </w:pPr>
      <w:r>
        <w:pict>
          <v:shape id="_x0000_s1086" type="#_x0000_t202" style="width:18.8pt;height:18.5pt;margin-top:0.24pt;margin-left:67.88pt;position:absolute;z-index:251699200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7"/>
                      <w:szCs w:val="17"/>
                    </w:rPr>
                    <w:t>2023</w:t>
                  </w:r>
                </w:p>
                <w:p>
                  <w:pPr>
                    <w:spacing w:before="26" w:line="186" w:lineRule="auto"/>
                    <w:ind w:left="2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7"/>
                      <w:szCs w:val="17"/>
                    </w:rPr>
                    <w:t>2019</w:t>
                  </w:r>
                </w:p>
              </w:txbxContent>
            </v:textbox>
          </v:shape>
        </w:pict>
      </w:r>
      <w:r>
        <w:pict>
          <v:shape id="_x0000_s1087" type="#_x0000_t202" style="width:18.9pt;height:18.5pt;margin-top:0.24pt;margin-left:261.34pt;position:absolute;z-index:251698176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7"/>
                      <w:szCs w:val="17"/>
                    </w:rPr>
                    <w:t>2021</w:t>
                  </w:r>
                </w:p>
                <w:p>
                  <w:pPr>
                    <w:spacing w:before="26" w:line="186" w:lineRule="auto"/>
                    <w:ind w:left="20"/>
                    <w:rPr>
                      <w:rFonts w:ascii="Times New Roman" w:eastAsia="Times New Roman" w:hAnsi="Times New Roman" w:cs="Times New Roman"/>
                      <w:sz w:val="17"/>
                      <w:szCs w:val="17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7"/>
                      <w:szCs w:val="17"/>
                    </w:rPr>
                    <w:t>2017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2022</w:t>
      </w:r>
    </w:p>
    <w:p>
      <w:pPr>
        <w:spacing w:before="27" w:line="186" w:lineRule="auto"/>
        <w:ind w:left="3312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2018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49" w:line="118" w:lineRule="exact"/>
        <w:ind w:left="259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4"/>
          <w:position w:val="-2"/>
          <w:sz w:val="17"/>
          <w:szCs w:val="17"/>
        </w:rPr>
        <w:t xml:space="preserve">1            2            3            4            5            6            7             </w:t>
      </w:r>
      <w:r>
        <w:rPr>
          <w:rFonts w:ascii="Times New Roman" w:eastAsia="Times New Roman" w:hAnsi="Times New Roman" w:cs="Times New Roman"/>
          <w:spacing w:val="-5"/>
          <w:position w:val="-2"/>
          <w:sz w:val="17"/>
          <w:szCs w:val="17"/>
        </w:rPr>
        <w:t>8            9           10           11          12</w:t>
      </w:r>
    </w:p>
    <w:p>
      <w:pPr>
        <w:spacing w:line="118" w:lineRule="exact"/>
        <w:rPr>
          <w:rFonts w:ascii="Times New Roman" w:eastAsia="Times New Roman" w:hAnsi="Times New Roman" w:cs="Times New Roman"/>
          <w:sz w:val="17"/>
          <w:szCs w:val="17"/>
        </w:rPr>
        <w:sectPr>
          <w:headerReference w:type="default" r:id="rId50"/>
          <w:footerReference w:type="default" r:id="rId51"/>
          <w:type w:val="continuous"/>
          <w:pgSz w:w="11907" w:h="16839"/>
          <w:pgMar w:top="1416" w:right="845" w:bottom="1481" w:left="854" w:header="683" w:footer="991" w:gutter="0"/>
          <w:pgNumType w:start="15"/>
          <w:cols w:num="2" w:space="708" w:equalWidth="0">
            <w:col w:w="3256" w:space="100"/>
            <w:col w:w="6851" w:space="0"/>
          </w:cols>
        </w:sectPr>
      </w:pPr>
    </w:p>
    <w:p>
      <w:pPr>
        <w:pStyle w:val="BodyText"/>
        <w:spacing w:before="227" w:line="213" w:lineRule="auto"/>
        <w:ind w:left="2670"/>
        <w:rPr>
          <w:sz w:val="16"/>
          <w:szCs w:val="16"/>
        </w:rPr>
      </w:pPr>
      <w:r>
        <w:rPr>
          <w:spacing w:val="-2"/>
          <w:sz w:val="16"/>
          <w:szCs w:val="16"/>
        </w:rPr>
        <w:t>数据来源：</w:t>
      </w:r>
      <w:r>
        <w:rPr>
          <w:spacing w:val="-35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同花顺，兴业证券经济与金融研究院整理</w:t>
      </w:r>
    </w:p>
    <w:p>
      <w:pPr>
        <w:pStyle w:val="BodyText"/>
        <w:spacing w:before="261" w:line="268" w:lineRule="auto"/>
        <w:ind w:left="3252" w:right="76" w:hanging="353"/>
      </w:pPr>
      <w:r>
        <w:rPr>
          <w:rFonts w:ascii="Arial" w:eastAsia="Arial" w:hAnsi="Arial" w:cs="Arial"/>
          <w:spacing w:val="-3"/>
        </w:rPr>
        <w:t xml:space="preserve">•   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外需和大宗商品价格下行、内需弱复苏和结构转型主导中国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</w:rPr>
        <w:t>PPI</w:t>
      </w:r>
      <w:r>
        <w:rPr>
          <w:rFonts w:ascii="Times New Roman" w:eastAsia="Times New Roman" w:hAnsi="Times New Roman" w:cs="Times New Roman"/>
          <w:b/>
          <w:bCs/>
          <w:spacing w:val="13"/>
          <w:w w:val="101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收缩。</w:t>
      </w:r>
      <w:r>
        <w:rPr>
          <w:rFonts w:ascii="Times New Roman" w:eastAsia="Times New Roman" w:hAnsi="Times New Roman" w:cs="Times New Roman"/>
          <w:spacing w:val="-3"/>
        </w:rPr>
        <w:t>2023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4"/>
        </w:rPr>
        <w:t>年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PPI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4"/>
        </w:rPr>
        <w:t>的拖累主要来自以下几个因素：一是高基数影响。受疫情初期全球持</w:t>
      </w:r>
      <w:r>
        <w:t xml:space="preserve"> </w:t>
      </w:r>
      <w:r>
        <w:t>续宽松货币政策影响，</w:t>
      </w:r>
      <w:r>
        <w:rPr>
          <w:rFonts w:ascii="Times New Roman" w:eastAsia="Times New Roman" w:hAnsi="Times New Roman" w:cs="Times New Roman"/>
        </w:rPr>
        <w:t xml:space="preserve">2021 </w:t>
      </w:r>
      <w:r>
        <w:t>年和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2022 </w:t>
      </w:r>
      <w:r>
        <w:t>年全球大宗商品价格</w:t>
      </w:r>
      <w:r>
        <w:rPr>
          <w:spacing w:val="-1"/>
        </w:rPr>
        <w:t>飙升，中国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PPI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3"/>
        </w:rPr>
        <w:t>同期上涨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8.1%</w:t>
      </w:r>
      <w:r>
        <w:rPr>
          <w:spacing w:val="-3"/>
        </w:rPr>
        <w:t>和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4.1%</w:t>
      </w:r>
      <w:r>
        <w:rPr>
          <w:spacing w:val="-3"/>
        </w:rPr>
        <w:t>，</w:t>
      </w:r>
      <w:r>
        <w:rPr>
          <w:rFonts w:ascii="Times New Roman" w:eastAsia="Times New Roman" w:hAnsi="Times New Roman" w:cs="Times New Roman"/>
          <w:spacing w:val="-3"/>
        </w:rPr>
        <w:t xml:space="preserve">2023 </w:t>
      </w:r>
      <w:r>
        <w:rPr>
          <w:spacing w:val="-3"/>
        </w:rPr>
        <w:t>年国际大宗商品价格则出现明显回落；二是高</w:t>
      </w:r>
      <w:r>
        <w:t xml:space="preserve"> </w:t>
      </w:r>
      <w:r>
        <w:rPr>
          <w:spacing w:val="-3"/>
        </w:rPr>
        <w:t>利率影响下，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2023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-3"/>
        </w:rPr>
        <w:t>年全球制造业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PMI</w:t>
      </w:r>
      <w:r>
        <w:rPr>
          <w:rFonts w:ascii="Times New Roman" w:eastAsia="Times New Roman" w:hAnsi="Times New Roman" w:cs="Times New Roman"/>
          <w:spacing w:val="25"/>
        </w:rPr>
        <w:t xml:space="preserve"> </w:t>
      </w:r>
      <w:r>
        <w:rPr>
          <w:spacing w:val="-3"/>
        </w:rPr>
        <w:t>指数较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2022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-3"/>
        </w:rPr>
        <w:t>年进一步下</w:t>
      </w:r>
      <w:r>
        <w:rPr>
          <w:spacing w:val="-4"/>
        </w:rPr>
        <w:t>滑，全球经</w:t>
      </w:r>
      <w:r>
        <w:t xml:space="preserve"> </w:t>
      </w:r>
      <w:r>
        <w:rPr>
          <w:spacing w:val="3"/>
        </w:rPr>
        <w:t>济下行和外需回落显著压制了国内生产需求；三是国内经济</w:t>
      </w:r>
      <w:r>
        <w:rPr>
          <w:spacing w:val="2"/>
        </w:rPr>
        <w:t>呈现曲折式弱</w:t>
      </w:r>
      <w:r>
        <w:t xml:space="preserve"> </w:t>
      </w:r>
      <w:r>
        <w:rPr>
          <w:spacing w:val="-4"/>
        </w:rPr>
        <w:t>复苏的特征，需求不足导致部分产业呈现产能过剩格局，其中代表性产业煤</w:t>
      </w:r>
      <w:r>
        <w:rPr>
          <w:spacing w:val="16"/>
        </w:rPr>
        <w:t xml:space="preserve"> </w:t>
      </w:r>
      <w:r>
        <w:rPr>
          <w:spacing w:val="3"/>
        </w:rPr>
        <w:t>炭行业和中下游耐用品制造业的生产价格均出现明显下行；四是国</w:t>
      </w:r>
      <w:r>
        <w:rPr>
          <w:spacing w:val="2"/>
        </w:rPr>
        <w:t>内经济</w:t>
      </w:r>
      <w:r>
        <w:t xml:space="preserve"> </w:t>
      </w:r>
      <w:r>
        <w:t>结构仍处转型深化期，</w:t>
      </w:r>
      <w:r>
        <w:rPr>
          <w:rFonts w:ascii="Times New Roman" w:eastAsia="Times New Roman" w:hAnsi="Times New Roman" w:cs="Times New Roman"/>
        </w:rPr>
        <w:t xml:space="preserve">2023  </w:t>
      </w:r>
      <w:r>
        <w:t>年地产部门延续下行</w:t>
      </w:r>
      <w:r>
        <w:rPr>
          <w:spacing w:val="-1"/>
        </w:rPr>
        <w:t>调整，对相关产业链的拉</w:t>
      </w:r>
      <w:r>
        <w:t xml:space="preserve"> </w:t>
      </w:r>
      <w:r>
        <w:rPr>
          <w:spacing w:val="-4"/>
        </w:rPr>
        <w:t>动仍在退坡，其中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2023 </w:t>
      </w:r>
      <w:r>
        <w:rPr>
          <w:spacing w:val="-4"/>
        </w:rPr>
        <w:t>年中国黑色金属加工业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PPI</w:t>
      </w:r>
      <w:r>
        <w:rPr>
          <w:rFonts w:ascii="Times New Roman" w:eastAsia="Times New Roman" w:hAnsi="Times New Roman" w:cs="Times New Roman"/>
          <w:spacing w:val="27"/>
          <w:w w:val="101"/>
        </w:rPr>
        <w:t xml:space="preserve"> </w:t>
      </w:r>
      <w:r>
        <w:rPr>
          <w:spacing w:val="-4"/>
        </w:rPr>
        <w:t>同比回落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9.6 </w:t>
      </w:r>
      <w:r>
        <w:rPr>
          <w:spacing w:val="-4"/>
        </w:rPr>
        <w:t>个百分点。</w:t>
      </w:r>
    </w:p>
    <w:p>
      <w:pPr>
        <w:pStyle w:val="BodyText"/>
        <w:spacing w:before="204" w:line="213" w:lineRule="auto"/>
        <w:ind w:left="2696"/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图表</w:t>
      </w:r>
      <w:r>
        <w:rPr>
          <w:spacing w:val="-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</w:rPr>
        <w:t>5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spacing w:val="-47"/>
        </w:rPr>
        <w:t xml:space="preserve">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高利率影响下，</w:t>
      </w:r>
      <w:r>
        <w:rPr>
          <w:spacing w:val="5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</w:rPr>
        <w:t xml:space="preserve">2023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年全球制造业景气度较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</w:rPr>
        <w:t xml:space="preserve">2022 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年进一步下滑</w:t>
      </w:r>
    </w:p>
    <w:p>
      <w:pPr>
        <w:spacing w:line="207" w:lineRule="exact"/>
      </w:pPr>
    </w:p>
    <w:p>
      <w:pPr>
        <w:spacing w:line="207" w:lineRule="exact"/>
        <w:sectPr>
          <w:headerReference w:type="default" r:id="rId52"/>
          <w:footerReference w:type="default" r:id="rId53"/>
          <w:type w:val="continuous"/>
          <w:pgSz w:w="11907" w:h="16839"/>
          <w:pgMar w:top="1416" w:right="845" w:bottom="1481" w:left="854" w:header="683" w:footer="991" w:gutter="0"/>
          <w:pgNumType w:start="16"/>
          <w:cols w:num="1" w:space="708" w:equalWidth="0">
            <w:col w:w="10207" w:space="0"/>
          </w:cols>
        </w:sectPr>
      </w:pPr>
    </w:p>
    <w:p>
      <w:pPr>
        <w:spacing w:before="223" w:line="186" w:lineRule="auto"/>
        <w:ind w:left="287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color w:val="262626"/>
          <w:spacing w:val="-3"/>
          <w:sz w:val="17"/>
          <w:szCs w:val="17"/>
        </w:rPr>
        <w:t>60</w:t>
      </w:r>
    </w:p>
    <w:p>
      <w:pPr>
        <w:spacing w:before="288" w:line="183" w:lineRule="auto"/>
        <w:ind w:left="2876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color w:val="262626"/>
          <w:spacing w:val="-3"/>
          <w:sz w:val="17"/>
          <w:szCs w:val="17"/>
        </w:rPr>
        <w:t>55</w:t>
      </w:r>
    </w:p>
    <w:p>
      <w:pPr>
        <w:spacing w:before="286" w:line="186" w:lineRule="auto"/>
        <w:ind w:left="2876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color w:val="262626"/>
          <w:spacing w:val="-3"/>
          <w:sz w:val="17"/>
          <w:szCs w:val="17"/>
        </w:rPr>
        <w:t>50</w:t>
      </w:r>
    </w:p>
    <w:p>
      <w:pPr>
        <w:spacing w:before="286" w:line="186" w:lineRule="auto"/>
        <w:ind w:left="287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color w:val="262626"/>
          <w:spacing w:val="-1"/>
          <w:sz w:val="17"/>
          <w:szCs w:val="17"/>
        </w:rPr>
        <w:t>45</w:t>
      </w:r>
    </w:p>
    <w:p>
      <w:pPr>
        <w:spacing w:before="286" w:line="186" w:lineRule="auto"/>
        <w:ind w:left="2870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color w:val="262626"/>
          <w:spacing w:val="-1"/>
          <w:sz w:val="17"/>
          <w:szCs w:val="17"/>
        </w:rPr>
        <w:t>40</w:t>
      </w:r>
    </w:p>
    <w:p>
      <w:pPr>
        <w:spacing w:before="286" w:line="186" w:lineRule="auto"/>
        <w:ind w:left="287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color w:val="262626"/>
          <w:spacing w:val="-2"/>
          <w:sz w:val="17"/>
          <w:szCs w:val="17"/>
        </w:rPr>
        <w:t>35</w:t>
      </w:r>
    </w:p>
    <w:p>
      <w:pPr>
        <w:spacing w:before="286" w:line="186" w:lineRule="auto"/>
        <w:ind w:left="2874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color w:val="262626"/>
          <w:spacing w:val="-2"/>
          <w:sz w:val="17"/>
          <w:szCs w:val="17"/>
        </w:rPr>
        <w:t>30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5" w:line="234" w:lineRule="auto"/>
        <w:ind w:left="2449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SimSun" w:eastAsia="SimSun" w:hAnsi="SimSun" w:cs="SimSun"/>
          <w:color w:val="262626"/>
          <w:spacing w:val="-7"/>
          <w:sz w:val="17"/>
          <w:szCs w:val="17"/>
          <w14:textOutline w14:w="3091">
            <w14:solidFill>
              <w14:srgbClr w14:val="262626"/>
            </w14:solidFill>
            <w14:prstDash w14:val="solid"/>
            <w14:round/>
          </w14:textOutline>
        </w:rPr>
        <w:t>制造业</w:t>
      </w:r>
      <w:r>
        <w:rPr>
          <w:rFonts w:ascii="Times New Roman" w:eastAsia="Times New Roman" w:hAnsi="Times New Roman" w:cs="Times New Roman"/>
          <w:b/>
          <w:bCs/>
          <w:color w:val="262626"/>
          <w:spacing w:val="-7"/>
          <w:sz w:val="17"/>
          <w:szCs w:val="17"/>
        </w:rPr>
        <w:t>PMI</w:t>
      </w:r>
      <w:r>
        <w:rPr>
          <w:rFonts w:ascii="SimSun" w:eastAsia="SimSun" w:hAnsi="SimSun" w:cs="SimSun"/>
          <w:color w:val="262626"/>
          <w:spacing w:val="-7"/>
          <w:sz w:val="17"/>
          <w:szCs w:val="17"/>
          <w14:textOutline w14:w="3091">
            <w14:solidFill>
              <w14:srgbClr w14:val="262626"/>
            </w14:solidFill>
            <w14:prstDash w14:val="solid"/>
            <w14:round/>
          </w14:textOutline>
        </w:rPr>
        <w:t>指数，</w:t>
      </w:r>
      <w:r>
        <w:rPr>
          <w:rFonts w:ascii="SimSun" w:eastAsia="SimSun" w:hAnsi="SimSun" w:cs="SimSun"/>
          <w:color w:val="262626"/>
          <w:spacing w:val="-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62626"/>
          <w:spacing w:val="-7"/>
          <w:sz w:val="17"/>
          <w:szCs w:val="17"/>
        </w:rPr>
        <w:t>%</w:t>
      </w:r>
    </w:p>
    <w:tbl>
      <w:tblPr>
        <w:tblStyle w:val="TableNormal0"/>
        <w:tblW w:w="6604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2"/>
        <w:gridCol w:w="2357"/>
        <w:gridCol w:w="489"/>
        <w:gridCol w:w="3546"/>
      </w:tblGrid>
      <w:tr>
        <w:tblPrEx>
          <w:tblW w:w="6604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56"/>
        </w:trPr>
        <w:tc>
          <w:tcPr>
            <w:tcW w:w="212" w:type="dxa"/>
            <w:tcBorders>
              <w:left w:val="single" w:sz="4" w:space="0" w:color="A6A6A6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>
              <w:pict>
                <v:rect id="_x0000_s1088" style="width:2.55pt;height:0.5pt;margin-top:87.88pt;margin-left:-10.48pt;mso-position-horizontal-relative:right-margin-area;mso-position-vertical-relative:top-margin-area;position:absolute;z-index:251701248" filled="t" fillcolor="#a6a6a6" stroked="f"/>
              </w:pict>
            </w:r>
            <w:r>
              <w:pict>
                <v:rect id="_x0000_s1089" style="width:2.55pt;height:0.5pt;margin-top:109.72pt;margin-left:-10.48pt;mso-position-horizontal-relative:right-margin-area;mso-position-vertical-relative:top-margin-area;position:absolute;z-index:251704320" filled="t" fillcolor="#a6a6a6" stroked="f"/>
              </w:pict>
            </w:r>
            <w:r>
              <w:pict>
                <v:rect id="_x0000_s1090" style="width:2.55pt;height:0.5pt;margin-top:44.08pt;margin-left:-10.48pt;mso-position-horizontal-relative:right-margin-area;mso-position-vertical-relative:top-margin-area;position:absolute;z-index:251705344" filled="t" fillcolor="#a6a6a6" stroked="f"/>
              </w:pict>
            </w:r>
            <w:r>
              <w:pict>
                <v:rect id="_x0000_s1091" style="width:2.55pt;height:0.5pt;margin-top:22.24pt;margin-left:-10.48pt;mso-position-horizontal-relative:right-margin-area;mso-position-vertical-relative:top-margin-area;position:absolute;z-index:251703296" filled="t" fillcolor="#a6a6a6" stroked="f"/>
              </w:pict>
            </w:r>
            <w:r>
              <w:pict>
                <v:rect id="_x0000_s1092" style="width:2.55pt;height:0.5pt;margin-top:0.36pt;margin-left:-10.48pt;mso-position-horizontal-relative:right-margin-area;mso-position-vertical-relative:top-margin-area;position:absolute;z-index:251702272" filled="t" fillcolor="#a6a6a6" stroked="f"/>
              </w:pict>
            </w:r>
            <w:r>
              <w:pict>
                <v:rect id="_x0000_s1093" style="width:2.55pt;height:0.5pt;margin-top:65.92pt;margin-left:-10.48pt;mso-position-horizontal-relative:right-margin-area;mso-position-vertical-relative:top-margin-area;position:absolute;z-index:251700224" filled="t" fillcolor="#a6a6a6" stroked="f"/>
              </w:pict>
            </w:r>
          </w:p>
        </w:tc>
        <w:tc>
          <w:tcPr>
            <w:tcW w:w="2357" w:type="dxa"/>
            <w:tcBorders>
              <w:bottom w:val="nil"/>
              <w:right w:val="single" w:sz="6" w:space="0" w:color="A6A6A6"/>
            </w:tcBorders>
            <w:vAlign w:val="top"/>
          </w:tcPr>
          <w:p>
            <w:pPr>
              <w:spacing w:line="186" w:lineRule="auto"/>
              <w:ind w:left="1482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262626"/>
                <w:sz w:val="17"/>
                <w:szCs w:val="17"/>
              </w:rPr>
              <w:drawing>
                <wp:inline distT="0" distB="0" distL="0" distR="0">
                  <wp:extent cx="63331" cy="63331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31" cy="63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262626"/>
                <w:spacing w:val="-11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62626"/>
                <w:spacing w:val="-1"/>
                <w:sz w:val="17"/>
                <w:szCs w:val="17"/>
              </w:rPr>
              <w:t>2021</w:t>
            </w:r>
          </w:p>
        </w:tc>
        <w:tc>
          <w:tcPr>
            <w:tcW w:w="489" w:type="dxa"/>
            <w:tcBorders>
              <w:bottom w:val="nil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46" w:type="dxa"/>
            <w:tcBorders>
              <w:left w:val="single" w:sz="6" w:space="0" w:color="002060"/>
            </w:tcBorders>
            <w:vAlign w:val="top"/>
          </w:tcPr>
          <w:p>
            <w:pPr>
              <w:spacing w:line="179" w:lineRule="auto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eastAsia="Times New Roman" w:hAnsi="Times New Roman" w:cs="Times New Roman"/>
                <w:color w:val="262626"/>
                <w:sz w:val="17"/>
                <w:szCs w:val="17"/>
              </w:rPr>
              <w:drawing>
                <wp:inline distT="0" distB="0" distL="0" distR="0">
                  <wp:extent cx="61411" cy="63331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11" cy="63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262626"/>
                <w:spacing w:val="-9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62626"/>
                <w:spacing w:val="-2"/>
                <w:sz w:val="17"/>
                <w:szCs w:val="17"/>
              </w:rPr>
              <w:t xml:space="preserve">2022                    </w:t>
            </w:r>
            <w:r>
              <w:rPr>
                <w:sz w:val="17"/>
                <w:szCs w:val="17"/>
              </w:rPr>
              <w:drawing>
                <wp:inline distT="0" distB="0" distL="0" distR="0">
                  <wp:extent cx="61411" cy="63331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11" cy="63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262626"/>
                <w:spacing w:val="-10"/>
                <w:sz w:val="17"/>
                <w:szCs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62626"/>
                <w:spacing w:val="-2"/>
                <w:sz w:val="17"/>
                <w:szCs w:val="17"/>
              </w:rPr>
              <w:t>2023</w:t>
            </w:r>
          </w:p>
        </w:tc>
      </w:tr>
    </w:tbl>
    <w:p>
      <w:pPr>
        <w:sectPr>
          <w:headerReference w:type="default" r:id="rId57"/>
          <w:footerReference w:type="default" r:id="rId58"/>
          <w:type w:val="continuous"/>
          <w:pgSz w:w="11907" w:h="16839"/>
          <w:pgMar w:top="1416" w:right="845" w:bottom="1481" w:left="854" w:header="683" w:footer="991" w:gutter="0"/>
          <w:pgNumType w:start="17"/>
          <w:cols w:num="2" w:space="708" w:equalWidth="0">
            <w:col w:w="3075" w:space="100"/>
            <w:col w:w="7033" w:space="0"/>
          </w:cols>
        </w:sectPr>
      </w:pPr>
    </w:p>
    <w:tbl>
      <w:tblPr>
        <w:tblStyle w:val="TableNormal1"/>
        <w:tblW w:w="6604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2"/>
        <w:gridCol w:w="1846"/>
        <w:gridCol w:w="511"/>
        <w:gridCol w:w="489"/>
        <w:gridCol w:w="1191"/>
        <w:gridCol w:w="2355"/>
      </w:tblGrid>
      <w:tr>
        <w:tblPrEx>
          <w:tblW w:w="6604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56"/>
        </w:trPr>
        <w:tc>
          <w:tcPr>
            <w:tcW w:w="212" w:type="dxa"/>
            <w:vMerge w:val="restart"/>
            <w:tcBorders>
              <w:left w:val="single" w:sz="4" w:space="0" w:color="A6A6A6"/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33" w:lineRule="exact"/>
            </w:pPr>
            <w:r>
              <w:rPr>
                <w:position w:val="-2"/>
              </w:rPr>
              <w:pict>
                <v:group id="_x0000_i1094" style="width:2.9pt;height:2.8pt;mso-position-horizontal-relative:char;mso-position-vertical-relative:line" coordorigin="0,0" coordsize="58,55" filled="f" stroked="f">
                  <v:shape id="_x0000_s1095" style="width:50;height:10;left:7;position:absolute;top:45" coordorigin="0,0" coordsize="50,10" path="m,5l50,5e" filled="f" strokecolor="#a6a6a6" strokeweight="0.5pt"/>
                  <v:shape id="_x0000_s1096" style="width:15;height:50;position:absolute" coordorigin="0,0" coordsize="15,50" path="m7,l7,50e" filled="f" strokecolor="#a6a6a6" strokeweight="0.75pt"/>
                  <w10:wrap type="none"/>
                </v:group>
              </w:pict>
            </w:r>
          </w:p>
        </w:tc>
        <w:tc>
          <w:tcPr>
            <w:tcW w:w="2357" w:type="dxa"/>
            <w:gridSpan w:val="2"/>
            <w:vMerge w:val="restart"/>
            <w:tcBorders>
              <w:bottom w:val="nil"/>
              <w:right w:val="single" w:sz="6" w:space="0" w:color="A6A6A6"/>
            </w:tcBorders>
            <w:vAlign w:val="top"/>
          </w:tcPr>
          <w:p/>
        </w:tc>
        <w:tc>
          <w:tcPr>
            <w:tcW w:w="489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3546" w:type="dxa"/>
            <w:gridSpan w:val="2"/>
            <w:tcBorders>
              <w:left w:val="single" w:sz="6" w:space="0" w:color="002060"/>
            </w:tcBorders>
            <w:vAlign w:val="top"/>
          </w:tcPr>
          <w:p/>
        </w:tc>
      </w:tr>
      <w:tr>
        <w:tblPrEx>
          <w:tblW w:w="6604" w:type="dxa"/>
          <w:tblInd w:w="5" w:type="dxa"/>
          <w:tblLayout w:type="fixed"/>
        </w:tblPrEx>
        <w:trPr>
          <w:trHeight w:val="45"/>
        </w:trPr>
        <w:tc>
          <w:tcPr>
            <w:tcW w:w="212" w:type="dxa"/>
            <w:vMerge/>
            <w:tcBorders>
              <w:top w:val="nil"/>
              <w:left w:val="single" w:sz="4" w:space="0" w:color="A6A6A6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7" w:type="dxa"/>
            <w:gridSpan w:val="2"/>
            <w:vMerge/>
            <w:tcBorders>
              <w:top w:val="nil"/>
              <w:right w:val="single" w:sz="6" w:space="0" w:color="A6A6A6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489" w:type="dxa"/>
            <w:vMerge/>
            <w:tcBorders>
              <w:top w:val="nil"/>
              <w:bottom w:val="single" w:sz="6" w:space="0" w:color="C00000"/>
            </w:tcBorders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191" w:type="dxa"/>
            <w:vMerge w:val="restart"/>
            <w:tcBorders>
              <w:left w:val="single" w:sz="6" w:space="0" w:color="00206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97" style="width:25.25pt;height:77.3pt;margin-top:46.71pt;margin-left:-35.67pt;mso-position-horizontal-relative:right-margin-area;mso-position-vertical-relative:top-margin-area;position:absolute;z-index:251715584" coordorigin="0,0" coordsize="505,1546" path="m7,7l497,7l497,1545m7,1545l7,7e" filled="f" strokecolor="#a6a6a6" strokeweight="0.75pt"/>
              </w:pict>
            </w:r>
            <w:r>
              <w:drawing>
                <wp:anchor distT="0" distB="0" distL="0" distR="0" simplePos="0" relativeHeight="251712512" behindDoc="1" locked="0" layoutInCell="1" allowOverlap="1">
                  <wp:simplePos x="0" y="0"/>
                  <wp:positionH relativeFrom="rightMargin">
                    <wp:posOffset>-728789</wp:posOffset>
                  </wp:positionH>
                  <wp:positionV relativeFrom="topMargin">
                    <wp:posOffset>25775</wp:posOffset>
                  </wp:positionV>
                  <wp:extent cx="636396" cy="510159"/>
                  <wp:effectExtent l="0" t="0" r="0" b="0"/>
                  <wp:wrapNone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396" cy="510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98" style="width:24.75pt;height:98.3pt;margin-top:25.71pt;margin-left:-59.66pt;mso-position-horizontal-relative:right-margin-area;mso-position-vertical-relative:top-margin-area;position:absolute;z-index:-251604992" coordorigin="0,0" coordsize="495,1966" path="m,7l487,7l487,1965e" filled="f" strokecolor="#002060" strokeweight="0.75pt"/>
              </w:pict>
            </w:r>
          </w:p>
        </w:tc>
        <w:tc>
          <w:tcPr>
            <w:tcW w:w="2355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>
              <w:pict>
                <v:shape id="_x0000_s1099" style="width:25.15pt;height:87.5pt;margin-top:36.51pt;margin-left:-67.86pt;mso-position-horizontal-relative:right-margin-area;mso-position-vertical-relative:top-margin-area;position:absolute;z-index:-251610112" coordorigin="0,0" coordsize="502,1750" path="m7,7l494,7l494,1749m7,1749l7,7e" filled="f" strokecolor="#002060" strokeweight="0.75pt"/>
              </w:pict>
            </w:r>
            <w:r>
              <w:pict>
                <v:shape id="_x0000_s1100" style="width:25.25pt;height:91.6pt;margin-top:32.43pt;margin-left:-43.5pt;mso-position-horizontal-relative:right-margin-area;mso-position-vertical-relative:top-margin-area;position:absolute;z-index:-251609088" coordorigin="0,0" coordsize="505,1831" path="m7,7l497,7l497,1831m7,1831l7,7e" filled="f" strokecolor="#a6a6a6" strokeweight="0.75pt"/>
              </w:pict>
            </w:r>
            <w:r>
              <w:pict>
                <v:shape id="_x0000_s1101" style="width:110.65pt;height:2.55pt;margin-top:121.49pt;margin-left:-110.58pt;mso-position-horizontal-relative:right-margin-area;mso-position-vertical-relative:top-margin-area;position:absolute;z-index:251717632" coordorigin="0,0" coordsize="2213,50" path="m7,l7,50m2204,l2204,50e" filled="f" strokecolor="#a6a6a6" strokeweight="0.75pt"/>
              </w:pict>
            </w:r>
            <w:r>
              <w:drawing>
                <wp:anchor distT="0" distB="0" distL="0" distR="0" simplePos="0" relativeHeight="251716608" behindDoc="0" locked="0" layoutInCell="1" allowOverlap="1">
                  <wp:simplePos x="0" y="0"/>
                  <wp:positionH relativeFrom="rightMargin">
                    <wp:posOffset>-872045</wp:posOffset>
                  </wp:positionH>
                  <wp:positionV relativeFrom="topMargin">
                    <wp:posOffset>359785</wp:posOffset>
                  </wp:positionV>
                  <wp:extent cx="393954" cy="75819"/>
                  <wp:effectExtent l="0" t="0" r="0" b="0"/>
                  <wp:wrapNone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954" cy="75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W w:w="6604" w:type="dxa"/>
          <w:tblInd w:w="5" w:type="dxa"/>
          <w:tblLayout w:type="fixed"/>
        </w:tblPrEx>
        <w:trPr>
          <w:trHeight w:val="45"/>
        </w:trPr>
        <w:tc>
          <w:tcPr>
            <w:tcW w:w="212" w:type="dxa"/>
            <w:vMerge/>
            <w:tcBorders>
              <w:top w:val="nil"/>
              <w:left w:val="single" w:sz="4" w:space="0" w:color="A6A6A6"/>
              <w:bottom w:val="nil"/>
            </w:tcBorders>
            <w:vAlign w:val="top"/>
          </w:tcPr>
          <w:p/>
        </w:tc>
        <w:tc>
          <w:tcPr>
            <w:tcW w:w="2357" w:type="dxa"/>
            <w:gridSpan w:val="2"/>
            <w:vMerge/>
            <w:tcBorders>
              <w:top w:val="nil"/>
              <w:right w:val="single" w:sz="6" w:space="0" w:color="A6A6A6"/>
            </w:tcBorders>
            <w:vAlign w:val="top"/>
          </w:tcPr>
          <w:p/>
        </w:tc>
        <w:tc>
          <w:tcPr>
            <w:tcW w:w="489" w:type="dxa"/>
            <w:vMerge/>
            <w:tcBorders>
              <w:top w:val="nil"/>
              <w:bottom w:val="single" w:sz="6" w:space="0" w:color="C00000"/>
            </w:tcBorders>
            <w:vAlign w:val="top"/>
          </w:tcPr>
          <w:p/>
        </w:tc>
        <w:tc>
          <w:tcPr>
            <w:tcW w:w="1191" w:type="dxa"/>
            <w:vMerge w:val="restart"/>
            <w:tcBorders>
              <w:left w:val="single" w:sz="6" w:space="0" w:color="002060"/>
              <w:bottom w:val="nil"/>
            </w:tcBorders>
            <w:vAlign w:val="top"/>
          </w:tcPr>
          <w:p/>
        </w:tc>
        <w:tc>
          <w:tcPr>
            <w:tcW w:w="2355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1854" w:lineRule="exact"/>
              <w:ind w:firstLine="508"/>
            </w:pPr>
            <w:r>
              <w:rPr>
                <w:position w:val="-38"/>
              </w:rPr>
              <w:pict>
                <v:shape id="_x0000_i1102" style="width:25.25pt;height:93.65pt;mso-position-horizontal-relative:char;mso-position-vertical-relative:line" coordorigin="0,0" coordsize="505,1873" path="m7,7l497,7l497,1872m7,1872l7,7e" filled="f" strokecolor="#c00000" strokeweight="0.75pt">
                  <w10:wrap type="none"/>
                </v:shape>
              </w:pict>
            </w:r>
          </w:p>
        </w:tc>
      </w:tr>
      <w:tr>
        <w:tblPrEx>
          <w:tblW w:w="6604" w:type="dxa"/>
          <w:tblInd w:w="5" w:type="dxa"/>
          <w:tblLayout w:type="fixed"/>
        </w:tblPrEx>
        <w:trPr>
          <w:trHeight w:val="2412"/>
        </w:trPr>
        <w:tc>
          <w:tcPr>
            <w:tcW w:w="212" w:type="dxa"/>
            <w:vMerge/>
            <w:tcBorders>
              <w:top w:val="nil"/>
              <w:left w:val="single" w:sz="4" w:space="0" w:color="A6A6A6"/>
              <w:bottom w:val="single" w:sz="6" w:space="0" w:color="A6A6A6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6" w:type="dxa"/>
            <w:tcBorders>
              <w:bottom w:val="single" w:sz="6" w:space="0" w:color="A6A6A6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>
              <w:pict>
                <v:shape id="_x0000_s1103" style="width:25.15pt;height:93.3pt;margin-top:27.75pt;margin-left:-60.4pt;mso-position-horizontal-relative:right-margin-area;mso-position-vertical-relative:top-margin-area;position:absolute;z-index:-251608064" coordorigin="0,0" coordsize="502,1866" path="m7,7l494,7l494,1865m7,1865l7,7e" filled="f" strokecolor="#002060" strokeweight="0.75pt"/>
              </w:pict>
            </w:r>
            <w:r>
              <w:pict>
                <v:shape id="_x0000_s1104" style="width:25.25pt;height:84.5pt;margin-top:36.51pt;margin-left:-36.04pt;mso-position-horizontal-relative:right-margin-area;mso-position-vertical-relative:top-margin-area;position:absolute;z-index:-251607040" coordorigin="0,0" coordsize="505,1690" path="m7,7l497,7l497,1689m7,1689l7,7e" filled="f" strokecolor="#a6a6a6" strokeweight="0.75pt"/>
              </w:pict>
            </w:r>
            <w:r>
              <w:drawing>
                <wp:anchor distT="0" distB="0" distL="0" distR="0" simplePos="0" relativeHeight="251710464" behindDoc="1" locked="0" layoutInCell="1" allowOverlap="1">
                  <wp:simplePos x="0" y="0"/>
                  <wp:positionH relativeFrom="rightMargin">
                    <wp:posOffset>-742251</wp:posOffset>
                  </wp:positionH>
                  <wp:positionV relativeFrom="topMargin">
                    <wp:posOffset>139694</wp:posOffset>
                  </wp:positionV>
                  <wp:extent cx="651382" cy="303148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382" cy="303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149" w:lineRule="exact"/>
              <w:ind w:firstLine="148"/>
            </w:pPr>
            <w:r>
              <w:rPr>
                <w:position w:val="-44"/>
              </w:rPr>
              <w:pict>
                <v:shape id="_x0000_i1105" style="width:25.25pt;height:108.4pt;mso-position-horizontal-relative:char;mso-position-vertical-relative:line" coordorigin="0,0" coordsize="505,2168" path="m7,7l497,7l497,2167m7,2167l7,7e" filled="f" strokecolor="#c00000" strokeweight="0.75pt">
                  <w10:wrap type="none"/>
                </v:shape>
              </w:pict>
            </w:r>
          </w:p>
        </w:tc>
        <w:tc>
          <w:tcPr>
            <w:tcW w:w="511" w:type="dxa"/>
            <w:tcBorders>
              <w:bottom w:val="single" w:sz="6" w:space="0" w:color="A6A6A6"/>
              <w:right w:val="single" w:sz="6" w:space="0" w:color="A6A6A6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06" style="width:0.75pt;height:2.55pt;margin-top:118.49pt;margin-left:-18.38pt;mso-position-horizontal-relative:right-margin-area;mso-position-vertical-relative:top-margin-area;position:absolute;z-index:251718656" filled="t" fillcolor="#a6a6a6" stroked="f"/>
              </w:pict>
            </w:r>
          </w:p>
        </w:tc>
        <w:tc>
          <w:tcPr>
            <w:tcW w:w="489" w:type="dxa"/>
            <w:tcBorders>
              <w:top w:val="single" w:sz="6" w:space="0" w:color="C00000"/>
              <w:left w:val="single" w:sz="6" w:space="0" w:color="C00000"/>
              <w:bottom w:val="single" w:sz="6" w:space="0" w:color="C00000"/>
              <w:right w:val="single" w:sz="6" w:space="0" w:color="C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1" w:type="dxa"/>
            <w:vMerge/>
            <w:tcBorders>
              <w:top w:val="nil"/>
              <w:left w:val="single" w:sz="6" w:space="0" w:color="002060"/>
              <w:bottom w:val="single" w:sz="6" w:space="0" w:color="A6A6A6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55" w:type="dxa"/>
            <w:vMerge/>
            <w:tcBorders>
              <w:top w:val="nil"/>
              <w:bottom w:val="single" w:sz="6" w:space="0" w:color="A6A6A6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22" w:line="185" w:lineRule="auto"/>
        <w:ind w:left="2888"/>
        <w:rPr>
          <w:rFonts w:ascii="SimSun" w:eastAsia="SimSun" w:hAnsi="SimSun" w:cs="SimSun"/>
          <w:sz w:val="17"/>
          <w:szCs w:val="17"/>
        </w:rPr>
      </w:pPr>
      <w:r>
        <w:pict>
          <v:shape id="_x0000_s1107" type="#_x0000_t202" style="width:18.75pt;height:12.2pt;margin-top:5.09pt;margin-left:46.2pt;position:absolute;z-index:251714560" filled="f" stroked="f">
            <o:lock v:ext="edit" aspectratio="f"/>
            <v:textbox inset="0,0,0,0">
              <w:txbxContent>
                <w:p>
                  <w:pPr>
                    <w:spacing w:before="20" w:line="221" w:lineRule="auto"/>
                    <w:ind w:left="20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color w:val="262626"/>
                      <w:spacing w:val="-2"/>
                      <w:sz w:val="17"/>
                      <w:szCs w:val="17"/>
                    </w:rPr>
                    <w:t>全球</w:t>
                  </w:r>
                </w:p>
              </w:txbxContent>
            </v:textbox>
          </v:shape>
        </w:pict>
      </w:r>
      <w:r>
        <w:pict>
          <v:shape id="_x0000_s1108" type="#_x0000_t202" style="width:35.75pt;height:12.15pt;margin-top:5.09pt;margin-left:257.58pt;position:absolute;z-index:251713536" filled="f" stroked="f">
            <o:lock v:ext="edit" aspectratio="f"/>
            <v:textbox inset="0,0,0,0">
              <w:txbxContent>
                <w:p>
                  <w:pPr>
                    <w:spacing w:before="19" w:line="220" w:lineRule="auto"/>
                    <w:ind w:left="20"/>
                    <w:rPr>
                      <w:rFonts w:ascii="SimSun" w:eastAsia="SimSun" w:hAnsi="SimSun" w:cs="SimSun"/>
                      <w:sz w:val="17"/>
                      <w:szCs w:val="17"/>
                    </w:rPr>
                  </w:pPr>
                  <w:r>
                    <w:rPr>
                      <w:rFonts w:ascii="SimSun" w:eastAsia="SimSun" w:hAnsi="SimSun" w:cs="SimSun"/>
                      <w:color w:val="262626"/>
                      <w:spacing w:val="-2"/>
                      <w:sz w:val="17"/>
                      <w:szCs w:val="17"/>
                    </w:rPr>
                    <w:t>新兴市场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262626"/>
          <w:spacing w:val="-2"/>
          <w:sz w:val="17"/>
          <w:szCs w:val="17"/>
        </w:rPr>
        <w:t>发达经济体</w:t>
      </w:r>
    </w:p>
    <w:p>
      <w:pPr>
        <w:spacing w:line="185" w:lineRule="auto"/>
        <w:rPr>
          <w:rFonts w:ascii="SimSun" w:eastAsia="SimSun" w:hAnsi="SimSun" w:cs="SimSun"/>
          <w:sz w:val="17"/>
          <w:szCs w:val="17"/>
        </w:rPr>
        <w:sectPr>
          <w:headerReference w:type="default" r:id="rId62"/>
          <w:footerReference w:type="default" r:id="rId63"/>
          <w:type w:val="nextPage"/>
          <w:pgSz w:w="11907" w:h="16839"/>
          <w:pgMar w:top="1416" w:right="845" w:bottom="1481" w:left="854" w:header="683" w:footer="991" w:gutter="0"/>
          <w:pgNumType w:start="18"/>
          <w:cols w:num="2" w:space="708" w:equalWidth="0">
            <w:col w:w="3075" w:space="100"/>
            <w:col w:w="7033" w:space="0"/>
          </w:cols>
          <w:titlePg w:val="0"/>
        </w:sectPr>
      </w:pPr>
    </w:p>
    <w:p>
      <w:pPr>
        <w:pStyle w:val="BodyText"/>
        <w:spacing w:before="197" w:line="186" w:lineRule="auto"/>
        <w:ind w:left="2670"/>
        <w:rPr>
          <w:sz w:val="16"/>
          <w:szCs w:val="16"/>
        </w:rPr>
      </w:pPr>
      <w:r>
        <w:rPr>
          <w:spacing w:val="-1"/>
          <w:sz w:val="16"/>
          <w:szCs w:val="16"/>
        </w:rPr>
        <w:t>数据来源：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CEIC</w:t>
      </w:r>
      <w:r>
        <w:rPr>
          <w:rFonts w:ascii="Times New Roman" w:eastAsia="Times New Roman" w:hAnsi="Times New Roman" w:cs="Times New Roman"/>
          <w:spacing w:val="-16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，兴业证券经济与金融研究院整理</w:t>
      </w:r>
    </w:p>
    <w:p>
      <w:pPr>
        <w:spacing w:line="186" w:lineRule="auto"/>
        <w:rPr>
          <w:sz w:val="16"/>
          <w:szCs w:val="16"/>
        </w:rPr>
      </w:pPr>
      <w:r>
        <w:rPr>
          <w:sz w:val="16"/>
          <w:szCs w:val="16"/>
        </w:rPr>
        <w:br/>
      </w:r>
      <w:r>
        <w:rPr>
          <w:sz w:val="16"/>
          <w:szCs w:val="1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https://d.book118.com/516104122135010053</w:t>
        </w:r>
      </w:hyperlink>
    </w:p>
    <w:p>
      <w:pPr>
        <w:spacing w:line="186" w:lineRule="auto"/>
        <w:rPr>
          <w:sz w:val="16"/>
          <w:szCs w:val="16"/>
        </w:rPr>
      </w:pPr>
    </w:p>
    <w:sectPr>
      <w:headerReference w:type="default" r:id="rId65"/>
      <w:footerReference w:type="default" r:id="rId66"/>
      <w:type w:val="continuous"/>
      <w:pgSz w:w="11907" w:h="16839"/>
      <w:pgMar w:top="1416" w:right="845" w:bottom="1481" w:left="854" w:header="683" w:footer="991" w:gutter="0"/>
      <w:pgNumType w:start="19"/>
      <w:cols w:num="1" w:space="708" w:equalWidth="0">
        <w:col w:w="102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50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52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54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56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58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60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62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64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66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3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67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69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71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73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75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6" w:line="28" w:lineRule="exact"/>
    </w:pPr>
    <w:r>
      <w:pict>
        <v:shape id="_x0000_i2077" style="width:508.1pt;height:1.45pt;mso-position-horizontal-relative:char;mso-position-vertical-relative:line" coordorigin="0,0" coordsize="10162,29" path="m,28l10161,28l10161,l,l,28xe" filled="t" fillcolor="#336" stroked="f">
          <w10:wrap type="none"/>
        </v:shape>
      </w:pict>
    </w:r>
  </w:p>
  <w:p>
    <w:pPr>
      <w:spacing w:after="37" w:line="219" w:lineRule="auto"/>
      <w:ind w:left="336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color w:val="333366"/>
        <w:sz w:val="18"/>
        <w:szCs w:val="18"/>
        <w14:textOutline w14:w="3265">
          <w14:solidFill>
            <w14:srgbClr w14:val="333366"/>
          </w14:solidFill>
          <w14:prstDash w14:val="solid"/>
          <w14:miter w14:lim="10"/>
        </w14:textOutline>
      </w:rPr>
      <w:t>请务必阅读正文之后的信息披露和重要声明</w:t>
    </w:r>
  </w:p>
  <w:p>
    <w:pPr>
      <w:spacing w:line="176" w:lineRule="auto"/>
      <w:ind w:left="975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4"/>
        <w:sz w:val="18"/>
        <w:szCs w:val="18"/>
      </w:rPr>
      <w:t xml:space="preserve"> 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-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49" style="width:508.1pt;height:0.75pt;margin-top:70.08pt;margin-left:42.72pt;mso-position-horizontal-relative:page;mso-position-vertical-relative:page;position:absolute;z-index:251659264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51" style="width:508.1pt;height:0.75pt;margin-top:70.08pt;margin-left:42.72pt;mso-position-horizontal-relative:page;mso-position-vertical-relative:page;position:absolute;z-index:251661312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1953697076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3697076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53" style="width:508.1pt;height:0.75pt;margin-top:70.08pt;margin-left:42.72pt;mso-position-horizontal-relative:page;mso-position-vertical-relative:page;position:absolute;z-index:251663360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17706972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069729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55" style="width:508.1pt;height:0.75pt;margin-top:70.08pt;margin-left:42.72pt;mso-position-horizontal-relative:page;mso-position-vertical-relative:page;position:absolute;z-index:251665408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57" style="width:508.1pt;height:0.75pt;margin-top:70.08pt;margin-left:42.72pt;mso-position-horizontal-relative:page;mso-position-vertical-relative:page;position:absolute;z-index:251667456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2007090729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090729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59" style="width:508.1pt;height:0.75pt;margin-top:70.08pt;margin-left:42.72pt;mso-position-horizontal-relative:page;mso-position-vertical-relative:page;position:absolute;z-index:251669504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1893358817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3358817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61" style="width:508.1pt;height:0.75pt;margin-top:70.08pt;margin-left:42.72pt;mso-position-horizontal-relative:page;mso-position-vertical-relative:page;position:absolute;z-index:251671552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1330322277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322277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63" style="width:508.1pt;height:0.75pt;margin-top:70.08pt;margin-left:42.72pt;mso-position-horizontal-relative:page;mso-position-vertical-relative:page;position:absolute;z-index:251673600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1595114628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5114628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65" style="width:508.1pt;height:0.75pt;margin-top:70.08pt;margin-left:42.72pt;mso-position-horizontal-relative:page;mso-position-vertical-relative:page;position:absolute;z-index:251675648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1092950040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2950040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68" style="width:508.1pt;height:0.75pt;margin-top:70.08pt;margin-left:42.72pt;mso-position-horizontal-relative:page;mso-position-vertical-relative:page;position:absolute;z-index:251677696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2015175773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5175773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70" style="width:508.1pt;height:0.75pt;margin-top:70.08pt;margin-left:42.72pt;mso-position-horizontal-relative:page;mso-position-vertical-relative:page;position:absolute;z-index:251679744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892456443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2456443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72" style="width:508.1pt;height:0.75pt;margin-top:70.08pt;margin-left:42.72pt;mso-position-horizontal-relative:page;mso-position-vertical-relative:page;position:absolute;z-index:251681792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1719158783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9158783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74" style="width:508.1pt;height:0.75pt;margin-top:70.08pt;margin-left:42.72pt;mso-position-horizontal-relative:page;mso-position-vertical-relative:page;position:absolute;z-index:251683840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406033796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033796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76" style="width:508.1pt;height:0.75pt;margin-top:70.08pt;margin-left:42.72pt;mso-position-horizontal-relative:page;mso-position-vertical-relative:page;position:absolute;z-index:251685888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85201030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201030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96" w:lineRule="auto"/>
      <w:rPr>
        <w:rFonts w:ascii="Arial"/>
        <w:sz w:val="21"/>
      </w:rPr>
    </w:pPr>
    <w:r>
      <w:pict>
        <v:shape id="_x0000_s2078" style="width:508.1pt;height:0.75pt;margin-top:70.08pt;margin-left:42.72pt;mso-position-horizontal-relative:page;mso-position-vertical-relative:page;position:absolute;z-index:251687936" coordorigin="0,0" coordsize="10162,15" o:allowincell="f" path="m,14l10161,14l10161,l,l,14xe" filled="t" fillcolor="#336" stroked="f"/>
      </w:pict>
    </w: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5453132</wp:posOffset>
          </wp:positionH>
          <wp:positionV relativeFrom="page">
            <wp:posOffset>434068</wp:posOffset>
          </wp:positionV>
          <wp:extent cx="1496555" cy="357777"/>
          <wp:effectExtent l="0" t="0" r="0" b="0"/>
          <wp:wrapNone/>
          <wp:docPr id="78779408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779408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496555" cy="3577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8" w:line="218" w:lineRule="auto"/>
      <w:ind w:left="232"/>
    </w:pPr>
    <w:r>
      <w:rPr>
        <w:color w:val="333366"/>
        <w:spacing w:val="-4"/>
        <w14:textOutline w14:w="3831">
          <w14:solidFill>
            <w14:srgbClr w14:val="333366"/>
          </w14:solidFill>
          <w14:prstDash w14:val="solid"/>
          <w14:miter w14:lim="10"/>
        </w14:textOutline>
      </w:rPr>
      <w:t>中国宏观经济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footer" Target="footer2.xml" /><Relationship Id="rId22" Type="http://schemas.openxmlformats.org/officeDocument/2006/relationships/header" Target="header3.xml" /><Relationship Id="rId23" Type="http://schemas.openxmlformats.org/officeDocument/2006/relationships/footer" Target="footer3.xml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image" Target="media/image16.png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header" Target="header5.xml" /><Relationship Id="rId31" Type="http://schemas.openxmlformats.org/officeDocument/2006/relationships/footer" Target="footer5.xml" /><Relationship Id="rId32" Type="http://schemas.openxmlformats.org/officeDocument/2006/relationships/header" Target="header6.xml" /><Relationship Id="rId33" Type="http://schemas.openxmlformats.org/officeDocument/2006/relationships/footer" Target="footer6.xml" /><Relationship Id="rId34" Type="http://schemas.openxmlformats.org/officeDocument/2006/relationships/header" Target="header7.xml" /><Relationship Id="rId35" Type="http://schemas.openxmlformats.org/officeDocument/2006/relationships/footer" Target="footer7.xml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header" Target="header8.xml" /><Relationship Id="rId41" Type="http://schemas.openxmlformats.org/officeDocument/2006/relationships/footer" Target="footer8.xml" /><Relationship Id="rId42" Type="http://schemas.openxmlformats.org/officeDocument/2006/relationships/header" Target="header9.xml" /><Relationship Id="rId43" Type="http://schemas.openxmlformats.org/officeDocument/2006/relationships/footer" Target="footer9.xml" /><Relationship Id="rId44" Type="http://schemas.openxmlformats.org/officeDocument/2006/relationships/image" Target="media/image24.png" /><Relationship Id="rId45" Type="http://schemas.openxmlformats.org/officeDocument/2006/relationships/image" Target="media/image25.png" /><Relationship Id="rId46" Type="http://schemas.openxmlformats.org/officeDocument/2006/relationships/image" Target="media/image26.png" /><Relationship Id="rId47" Type="http://schemas.openxmlformats.org/officeDocument/2006/relationships/image" Target="media/image27.png" /><Relationship Id="rId48" Type="http://schemas.openxmlformats.org/officeDocument/2006/relationships/header" Target="header10.xml" /><Relationship Id="rId49" Type="http://schemas.openxmlformats.org/officeDocument/2006/relationships/footer" Target="footer10.xml" /><Relationship Id="rId5" Type="http://schemas.openxmlformats.org/officeDocument/2006/relationships/image" Target="media/image2.jpeg" /><Relationship Id="rId50" Type="http://schemas.openxmlformats.org/officeDocument/2006/relationships/header" Target="header11.xml" /><Relationship Id="rId51" Type="http://schemas.openxmlformats.org/officeDocument/2006/relationships/footer" Target="footer11.xml" /><Relationship Id="rId52" Type="http://schemas.openxmlformats.org/officeDocument/2006/relationships/header" Target="header12.xml" /><Relationship Id="rId53" Type="http://schemas.openxmlformats.org/officeDocument/2006/relationships/footer" Target="footer12.xml" /><Relationship Id="rId54" Type="http://schemas.openxmlformats.org/officeDocument/2006/relationships/image" Target="media/image28.png" /><Relationship Id="rId55" Type="http://schemas.openxmlformats.org/officeDocument/2006/relationships/image" Target="media/image29.png" /><Relationship Id="rId56" Type="http://schemas.openxmlformats.org/officeDocument/2006/relationships/image" Target="media/image30.png" /><Relationship Id="rId57" Type="http://schemas.openxmlformats.org/officeDocument/2006/relationships/header" Target="header13.xml" /><Relationship Id="rId58" Type="http://schemas.openxmlformats.org/officeDocument/2006/relationships/footer" Target="footer13.xml" /><Relationship Id="rId59" Type="http://schemas.openxmlformats.org/officeDocument/2006/relationships/image" Target="media/image31.png" /><Relationship Id="rId6" Type="http://schemas.openxmlformats.org/officeDocument/2006/relationships/image" Target="media/image3.png" /><Relationship Id="rId60" Type="http://schemas.openxmlformats.org/officeDocument/2006/relationships/image" Target="media/image32.png" /><Relationship Id="rId61" Type="http://schemas.openxmlformats.org/officeDocument/2006/relationships/image" Target="media/image33.png" /><Relationship Id="rId62" Type="http://schemas.openxmlformats.org/officeDocument/2006/relationships/header" Target="header14.xml" /><Relationship Id="rId63" Type="http://schemas.openxmlformats.org/officeDocument/2006/relationships/footer" Target="footer14.xml" /><Relationship Id="rId64" Type="http://schemas.openxmlformats.org/officeDocument/2006/relationships/hyperlink" Target="https://d.book118.com/516104122135010053" TargetMode="External" /><Relationship Id="rId65" Type="http://schemas.openxmlformats.org/officeDocument/2006/relationships/header" Target="header15.xml" /><Relationship Id="rId66" Type="http://schemas.openxmlformats.org/officeDocument/2006/relationships/footer" Target="footer15.xml" /><Relationship Id="rId67" Type="http://schemas.openxmlformats.org/officeDocument/2006/relationships/theme" Target="theme/theme1.xml" /><Relationship Id="rId68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2024-03-01T15:16:23Z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2024-03-01T18:49:29Z</vt:filetime>
  </property>
  <property fmtid="{D5CDD505-2E9C-101B-9397-08002B2CF9AE}" pid="3" name="CRO">
    <vt:lpwstr>wqlLaW5nc29mdCBQREYgdG8gV1BTIDkw</vt:lpwstr>
  </property>
</Properties>
</file>