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doc" ContentType="application/msword"/>
  <Override PartName="/word/embeddings/oleObject10.doc" ContentType="application/msword"/>
  <Override PartName="/word/embeddings/oleObject11.doc" ContentType="application/msword"/>
  <Override PartName="/word/embeddings/oleObject12.doc" ContentType="application/msword"/>
  <Override PartName="/word/embeddings/oleObject13.doc" ContentType="application/msword"/>
  <Override PartName="/word/embeddings/oleObject14.doc" ContentType="application/msword"/>
  <Override PartName="/word/embeddings/oleObject15.doc" ContentType="application/msword"/>
  <Override PartName="/word/embeddings/oleObject16.doc" ContentType="application/msword"/>
  <Override PartName="/word/embeddings/oleObject17.doc" ContentType="application/msword"/>
  <Override PartName="/word/embeddings/oleObject18.doc" ContentType="application/msword"/>
  <Override PartName="/word/embeddings/oleObject19.doc" ContentType="application/msword"/>
  <Override PartName="/word/embeddings/oleObject2.doc" ContentType="application/msword"/>
  <Override PartName="/word/embeddings/oleObject20.doc" ContentType="application/msword"/>
  <Override PartName="/word/embeddings/oleObject21.doc" ContentType="application/msword"/>
  <Override PartName="/word/embeddings/oleObject22.doc" ContentType="application/msword"/>
  <Override PartName="/word/embeddings/oleObject23.doc" ContentType="application/msword"/>
  <Override PartName="/word/embeddings/oleObject24.doc" ContentType="application/msword"/>
  <Override PartName="/word/embeddings/oleObject25.doc" ContentType="application/msword"/>
  <Override PartName="/word/embeddings/oleObject26.doc" ContentType="application/msword"/>
  <Override PartName="/word/embeddings/oleObject27.doc" ContentType="application/msword"/>
  <Override PartName="/word/embeddings/oleObject28.doc" ContentType="application/msword"/>
  <Override PartName="/word/embeddings/oleObject29.doc" ContentType="application/msword"/>
  <Override PartName="/word/embeddings/oleObject3.doc" ContentType="application/msword"/>
  <Override PartName="/word/embeddings/oleObject30.doc" ContentType="application/msword"/>
  <Override PartName="/word/embeddings/oleObject31.doc" ContentType="application/msword"/>
  <Override PartName="/word/embeddings/oleObject32.doc" ContentType="application/msword"/>
  <Override PartName="/word/embeddings/oleObject4.doc" ContentType="application/msword"/>
  <Override PartName="/word/embeddings/oleObject5.doc" ContentType="application/msword"/>
  <Override PartName="/word/embeddings/oleObject6.doc" ContentType="application/msword"/>
  <Override PartName="/word/embeddings/oleObject7.doc" ContentType="application/msword"/>
  <Override PartName="/word/embeddings/oleObject8.doc" ContentType="application/msword"/>
  <Override PartName="/word/embeddings/oleObject9.doc" ContentType="application/msword"/>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kinsoku/>
        <w:wordWrap/>
        <w:overflowPunct/>
        <w:topLinePunct w:val="0"/>
        <w:autoSpaceDE/>
        <w:autoSpaceDN/>
        <w:bidi w:val="0"/>
        <w:adjustRightInd/>
        <w:snapToGrid/>
        <w:spacing w:line="960" w:lineRule="exact"/>
        <w:jc w:val="center"/>
        <w:textAlignment w:val="auto"/>
        <w:rPr>
          <w:rFonts w:ascii="宋体" w:hAnsi="宋体" w:cs="宋体" w:hint="eastAsia"/>
          <w:b/>
          <w:bCs/>
          <w:color w:val="auto"/>
          <w:sz w:val="44"/>
          <w:szCs w:val="44"/>
          <w:u w:val="none"/>
        </w:rPr>
      </w:pPr>
      <w:r>
        <w:rPr>
          <w:rFonts w:ascii="宋体" w:hAnsi="宋体" w:cs="宋体" w:hint="eastAsia"/>
          <w:b/>
          <w:bCs/>
          <w:color w:val="auto"/>
          <w:sz w:val="44"/>
          <w:szCs w:val="44"/>
          <w:u w:val="none"/>
          <w:lang w:eastAsia="zh-CN"/>
        </w:rPr>
        <w:t>兴宁市残疾人康复中心设备器材采购项目</w:t>
      </w:r>
    </w:p>
    <w:p>
      <w:pPr>
        <w:spacing w:line="780" w:lineRule="exact"/>
        <w:jc w:val="center"/>
        <w:rPr>
          <w:rFonts w:ascii="宋体" w:hAnsi="宋体" w:cs="宋体" w:hint="eastAsia"/>
          <w:color w:val="auto"/>
          <w:spacing w:val="20"/>
          <w:sz w:val="18"/>
          <w:szCs w:val="18"/>
        </w:rPr>
      </w:pPr>
    </w:p>
    <w:p>
      <w:pPr>
        <w:spacing w:line="780" w:lineRule="exact"/>
        <w:jc w:val="center"/>
        <w:rPr>
          <w:rFonts w:ascii="宋体" w:hAnsi="宋体" w:cs="宋体" w:hint="eastAsia"/>
          <w:color w:val="auto"/>
          <w:spacing w:val="20"/>
          <w:sz w:val="18"/>
          <w:szCs w:val="18"/>
        </w:rPr>
      </w:pPr>
    </w:p>
    <w:p>
      <w:pPr>
        <w:spacing w:line="300" w:lineRule="auto"/>
        <w:jc w:val="center"/>
        <w:rPr>
          <w:rFonts w:ascii="宋体" w:hAnsi="宋体" w:cs="宋体" w:hint="eastAsia"/>
          <w:b/>
          <w:color w:val="auto"/>
          <w:spacing w:val="20"/>
          <w:sz w:val="72"/>
          <w:szCs w:val="72"/>
        </w:rPr>
      </w:pPr>
      <w:r>
        <w:rPr>
          <w:rFonts w:ascii="宋体" w:eastAsia="宋体" w:hAnsi="宋体" w:cs="宋体" w:hint="eastAsia"/>
          <w:b/>
          <w:color w:val="auto"/>
          <w:spacing w:val="20"/>
          <w:sz w:val="72"/>
          <w:szCs w:val="72"/>
        </w:rPr>
        <w:t>招</w:t>
      </w:r>
    </w:p>
    <w:p>
      <w:pPr>
        <w:spacing w:line="300" w:lineRule="auto"/>
        <w:jc w:val="center"/>
        <w:rPr>
          <w:rFonts w:ascii="宋体" w:hAnsi="宋体" w:cs="宋体" w:hint="eastAsia"/>
          <w:b/>
          <w:color w:val="auto"/>
          <w:spacing w:val="20"/>
          <w:sz w:val="72"/>
          <w:szCs w:val="72"/>
        </w:rPr>
      </w:pPr>
      <w:r>
        <w:rPr>
          <w:rFonts w:ascii="宋体" w:eastAsia="宋体" w:hAnsi="宋体" w:cs="宋体" w:hint="eastAsia"/>
          <w:b/>
          <w:color w:val="auto"/>
          <w:spacing w:val="20"/>
          <w:sz w:val="72"/>
          <w:szCs w:val="72"/>
        </w:rPr>
        <w:t>标</w:t>
      </w:r>
    </w:p>
    <w:p>
      <w:pPr>
        <w:spacing w:line="300" w:lineRule="auto"/>
        <w:jc w:val="center"/>
        <w:rPr>
          <w:rFonts w:ascii="宋体" w:hAnsi="宋体" w:cs="宋体" w:hint="eastAsia"/>
          <w:b/>
          <w:color w:val="auto"/>
          <w:spacing w:val="20"/>
          <w:sz w:val="72"/>
          <w:szCs w:val="72"/>
        </w:rPr>
      </w:pPr>
      <w:r>
        <w:rPr>
          <w:rFonts w:ascii="宋体" w:eastAsia="宋体" w:hAnsi="宋体" w:cs="宋体" w:hint="eastAsia"/>
          <w:b/>
          <w:color w:val="auto"/>
          <w:spacing w:val="20"/>
          <w:sz w:val="72"/>
          <w:szCs w:val="72"/>
        </w:rPr>
        <w:t>文</w:t>
      </w:r>
    </w:p>
    <w:p>
      <w:pPr>
        <w:spacing w:line="300" w:lineRule="auto"/>
        <w:jc w:val="center"/>
        <w:rPr>
          <w:rFonts w:ascii="宋体" w:hAnsi="宋体" w:cs="宋体" w:hint="eastAsia"/>
          <w:b/>
          <w:color w:val="auto"/>
          <w:spacing w:val="20"/>
          <w:sz w:val="72"/>
          <w:szCs w:val="72"/>
        </w:rPr>
      </w:pPr>
      <w:r>
        <w:rPr>
          <w:rFonts w:ascii="宋体" w:eastAsia="宋体" w:hAnsi="宋体" w:cs="宋体" w:hint="eastAsia"/>
          <w:b/>
          <w:color w:val="auto"/>
          <w:spacing w:val="20"/>
          <w:sz w:val="72"/>
          <w:szCs w:val="72"/>
        </w:rPr>
        <w:t>件</w:t>
      </w:r>
    </w:p>
    <w:p>
      <w:pPr>
        <w:jc w:val="center"/>
        <w:rPr>
          <w:rFonts w:ascii="宋体" w:hAnsi="宋体" w:cs="宋体" w:hint="eastAsia"/>
          <w:color w:val="auto"/>
          <w:sz w:val="30"/>
        </w:rPr>
      </w:pPr>
    </w:p>
    <w:p>
      <w:pPr>
        <w:jc w:val="center"/>
        <w:rPr>
          <w:rFonts w:ascii="宋体" w:hAnsi="宋体" w:cs="宋体" w:hint="eastAsia"/>
          <w:b/>
          <w:color w:val="auto"/>
          <w:szCs w:val="21"/>
        </w:rPr>
      </w:pPr>
    </w:p>
    <w:p>
      <w:pPr>
        <w:pStyle w:val="NormalIndent"/>
        <w:rPr>
          <w:rFonts w:ascii="宋体" w:eastAsia="宋体" w:hAnsi="宋体" w:cs="宋体" w:hint="eastAsia"/>
          <w:color w:val="auto"/>
        </w:rPr>
      </w:pPr>
    </w:p>
    <w:p>
      <w:pPr>
        <w:keepNext w:val="0"/>
        <w:keepLines w:val="0"/>
        <w:pageBreakBefore w:val="0"/>
        <w:widowControl/>
        <w:kinsoku/>
        <w:wordWrap/>
        <w:overflowPunct/>
        <w:topLinePunct w:val="0"/>
        <w:autoSpaceDE/>
        <w:autoSpaceDN/>
        <w:bidi w:val="0"/>
        <w:adjustRightInd/>
        <w:snapToGrid/>
        <w:spacing w:line="800" w:lineRule="exact"/>
        <w:ind w:firstLine="720" w:firstLineChars="200"/>
        <w:jc w:val="left"/>
        <w:textAlignment w:val="auto"/>
        <w:rPr>
          <w:rFonts w:ascii="宋体" w:hAnsi="宋体" w:cs="宋体" w:hint="eastAsia"/>
          <w:b/>
          <w:bCs/>
          <w:color w:val="auto"/>
          <w:sz w:val="36"/>
          <w:szCs w:val="36"/>
          <w:u w:val="none"/>
        </w:rPr>
      </w:pPr>
    </w:p>
    <w:p>
      <w:pPr>
        <w:keepNext w:val="0"/>
        <w:keepLines w:val="0"/>
        <w:pageBreakBefore w:val="0"/>
        <w:widowControl/>
        <w:kinsoku/>
        <w:wordWrap/>
        <w:overflowPunct/>
        <w:topLinePunct w:val="0"/>
        <w:autoSpaceDE/>
        <w:autoSpaceDN/>
        <w:bidi w:val="0"/>
        <w:adjustRightInd/>
        <w:snapToGrid/>
        <w:spacing w:line="800" w:lineRule="exact"/>
        <w:ind w:firstLine="720" w:firstLineChars="200"/>
        <w:jc w:val="left"/>
        <w:textAlignment w:val="auto"/>
        <w:rPr>
          <w:rFonts w:ascii="宋体" w:hAnsi="宋体" w:cs="宋体" w:hint="eastAsia"/>
          <w:b/>
          <w:bCs/>
          <w:color w:val="auto"/>
          <w:sz w:val="36"/>
          <w:szCs w:val="36"/>
          <w:u w:val="none"/>
        </w:rPr>
      </w:pPr>
    </w:p>
    <w:p>
      <w:pPr>
        <w:keepNext w:val="0"/>
        <w:keepLines w:val="0"/>
        <w:pageBreakBefore w:val="0"/>
        <w:widowControl/>
        <w:kinsoku/>
        <w:wordWrap/>
        <w:overflowPunct/>
        <w:topLinePunct w:val="0"/>
        <w:autoSpaceDE/>
        <w:autoSpaceDN/>
        <w:bidi w:val="0"/>
        <w:adjustRightInd/>
        <w:snapToGrid/>
        <w:spacing w:line="800" w:lineRule="exact"/>
        <w:ind w:firstLine="720" w:firstLineChars="200"/>
        <w:jc w:val="left"/>
        <w:textAlignment w:val="auto"/>
        <w:rPr>
          <w:rFonts w:ascii="宋体" w:hAnsi="宋体" w:cs="宋体" w:hint="default"/>
          <w:b/>
          <w:bCs/>
          <w:color w:val="auto"/>
          <w:sz w:val="36"/>
          <w:szCs w:val="36"/>
          <w:u w:val="none"/>
        </w:rPr>
      </w:pPr>
      <w:r>
        <w:rPr>
          <w:rFonts w:ascii="宋体" w:eastAsia="宋体" w:hAnsi="宋体" w:cs="宋体" w:hint="eastAsia"/>
          <w:b/>
          <w:bCs/>
          <w:color w:val="auto"/>
          <w:sz w:val="36"/>
          <w:szCs w:val="36"/>
          <w:u w:val="none"/>
        </w:rPr>
        <w:t>采购编号：</w:t>
      </w:r>
      <w:r>
        <w:rPr>
          <w:rFonts w:ascii="宋体" w:eastAsia="宋体" w:hAnsi="宋体" w:cs="宋体" w:hint="eastAsia"/>
          <w:b/>
          <w:bCs/>
          <w:color w:val="auto"/>
          <w:sz w:val="36"/>
          <w:szCs w:val="36"/>
          <w:u w:val="none"/>
          <w:lang w:val="en-US" w:eastAsia="zh-CN"/>
        </w:rPr>
        <w:t>GDYNMZ20220</w:t>
      </w:r>
      <w:r>
        <w:rPr>
          <w:rFonts w:ascii="宋体" w:hAnsi="宋体" w:cs="宋体" w:hint="eastAsia"/>
          <w:b/>
          <w:bCs/>
          <w:color w:val="auto"/>
          <w:sz w:val="36"/>
          <w:szCs w:val="36"/>
          <w:u w:val="none"/>
          <w:lang w:val="en-US" w:eastAsia="zh-CN"/>
        </w:rPr>
        <w:t>801</w:t>
      </w:r>
    </w:p>
    <w:p>
      <w:pPr>
        <w:keepNext w:val="0"/>
        <w:keepLines w:val="0"/>
        <w:pageBreakBefore w:val="0"/>
        <w:widowControl/>
        <w:kinsoku/>
        <w:wordWrap/>
        <w:overflowPunct/>
        <w:topLinePunct w:val="0"/>
        <w:autoSpaceDE/>
        <w:autoSpaceDN/>
        <w:bidi w:val="0"/>
        <w:adjustRightInd/>
        <w:snapToGrid/>
        <w:spacing w:line="800" w:lineRule="exact"/>
        <w:ind w:firstLine="720" w:firstLineChars="200"/>
        <w:jc w:val="left"/>
        <w:textAlignment w:val="auto"/>
        <w:rPr>
          <w:rFonts w:ascii="宋体" w:hAnsi="宋体" w:cs="宋体" w:hint="eastAsia"/>
          <w:b/>
          <w:bCs/>
          <w:color w:val="auto"/>
          <w:sz w:val="36"/>
          <w:szCs w:val="36"/>
          <w:u w:val="none"/>
        </w:rPr>
      </w:pPr>
      <w:r>
        <w:rPr>
          <w:rFonts w:ascii="宋体" w:eastAsia="宋体" w:hAnsi="宋体" w:cs="宋体" w:hint="eastAsia"/>
          <w:b/>
          <w:bCs/>
          <w:color w:val="auto"/>
          <w:sz w:val="36"/>
          <w:szCs w:val="36"/>
          <w:u w:val="none"/>
        </w:rPr>
        <w:t>采购代理机构：</w:t>
      </w:r>
      <w:r>
        <w:rPr>
          <w:rFonts w:ascii="宋体" w:eastAsia="宋体" w:hAnsi="宋体" w:cs="宋体" w:hint="eastAsia"/>
          <w:b/>
          <w:bCs/>
          <w:color w:val="auto"/>
          <w:sz w:val="36"/>
          <w:szCs w:val="36"/>
          <w:u w:val="none"/>
          <w:lang w:val="en-US" w:eastAsia="zh-CN"/>
        </w:rPr>
        <w:t>广东粤能工程管理有限公司</w:t>
      </w:r>
    </w:p>
    <w:p>
      <w:pPr>
        <w:keepNext w:val="0"/>
        <w:keepLines w:val="0"/>
        <w:pageBreakBefore w:val="0"/>
        <w:widowControl/>
        <w:kinsoku/>
        <w:wordWrap/>
        <w:overflowPunct/>
        <w:topLinePunct w:val="0"/>
        <w:autoSpaceDE/>
        <w:autoSpaceDN/>
        <w:bidi w:val="0"/>
        <w:adjustRightInd/>
        <w:snapToGrid/>
        <w:spacing w:line="800" w:lineRule="exact"/>
        <w:ind w:firstLine="720" w:firstLineChars="200"/>
        <w:jc w:val="both"/>
        <w:textAlignment w:val="auto"/>
        <w:rPr>
          <w:rFonts w:ascii="宋体" w:hAnsi="宋体" w:cs="宋体" w:hint="eastAsia"/>
          <w:b/>
          <w:bCs/>
          <w:color w:val="auto"/>
          <w:sz w:val="36"/>
          <w:szCs w:val="36"/>
          <w:u w:val="none"/>
        </w:rPr>
      </w:pPr>
      <w:r>
        <w:rPr>
          <w:rFonts w:ascii="宋体" w:eastAsia="宋体" w:hAnsi="宋体" w:cs="宋体" w:hint="eastAsia"/>
          <w:b/>
          <w:bCs/>
          <w:color w:val="auto"/>
          <w:sz w:val="36"/>
          <w:szCs w:val="36"/>
          <w:u w:val="none"/>
          <w:lang w:val="en-US" w:eastAsia="zh-CN"/>
        </w:rPr>
        <w:t>日期：202</w:t>
      </w:r>
      <w:r>
        <w:rPr>
          <w:rFonts w:ascii="宋体" w:hAnsi="宋体" w:cs="宋体" w:hint="eastAsia"/>
          <w:b/>
          <w:bCs/>
          <w:color w:val="auto"/>
          <w:sz w:val="36"/>
          <w:szCs w:val="36"/>
          <w:u w:val="none"/>
          <w:lang w:val="en-US" w:eastAsia="zh-CN"/>
        </w:rPr>
        <w:t>2</w:t>
      </w:r>
      <w:r>
        <w:rPr>
          <w:rFonts w:ascii="宋体" w:eastAsia="宋体" w:hAnsi="宋体" w:cs="宋体" w:hint="eastAsia"/>
          <w:b/>
          <w:bCs/>
          <w:color w:val="auto"/>
          <w:sz w:val="36"/>
          <w:szCs w:val="36"/>
          <w:u w:val="none"/>
          <w:lang w:val="en-US" w:eastAsia="zh-CN"/>
        </w:rPr>
        <w:t>年0</w:t>
      </w:r>
      <w:r>
        <w:rPr>
          <w:rFonts w:ascii="宋体" w:hAnsi="宋体" w:cs="宋体" w:hint="eastAsia"/>
          <w:b/>
          <w:bCs/>
          <w:color w:val="auto"/>
          <w:sz w:val="36"/>
          <w:szCs w:val="36"/>
          <w:u w:val="none"/>
          <w:lang w:val="en-US" w:eastAsia="zh-CN"/>
        </w:rPr>
        <w:t>8</w:t>
      </w:r>
      <w:r>
        <w:rPr>
          <w:rFonts w:ascii="宋体" w:eastAsia="宋体" w:hAnsi="宋体" w:cs="宋体" w:hint="eastAsia"/>
          <w:b/>
          <w:bCs/>
          <w:color w:val="auto"/>
          <w:sz w:val="36"/>
          <w:szCs w:val="36"/>
          <w:u w:val="none"/>
          <w:lang w:val="en-US" w:eastAsia="zh-CN"/>
        </w:rPr>
        <w:t>月</w:t>
      </w:r>
      <w:r>
        <w:rPr>
          <w:rFonts w:ascii="宋体" w:hAnsi="宋体" w:cs="宋体" w:hint="eastAsia"/>
          <w:b/>
          <w:bCs/>
          <w:color w:val="auto"/>
          <w:sz w:val="36"/>
          <w:szCs w:val="36"/>
          <w:u w:val="none"/>
          <w:lang w:val="en-US" w:eastAsia="zh-CN"/>
        </w:rPr>
        <w:t>12</w:t>
      </w:r>
      <w:r>
        <w:rPr>
          <w:rFonts w:ascii="宋体" w:eastAsia="宋体" w:hAnsi="宋体" w:cs="宋体" w:hint="eastAsia"/>
          <w:b/>
          <w:bCs/>
          <w:color w:val="auto"/>
          <w:sz w:val="36"/>
          <w:szCs w:val="36"/>
          <w:u w:val="none"/>
          <w:lang w:val="en-US" w:eastAsia="zh-CN"/>
        </w:rPr>
        <w:t xml:space="preserve"> 日</w:t>
      </w:r>
    </w:p>
    <w:p>
      <w:pPr>
        <w:spacing w:line="360" w:lineRule="auto"/>
        <w:rPr>
          <w:rFonts w:ascii="宋体" w:hAnsi="宋体" w:cs="宋体" w:hint="eastAsia"/>
          <w:color w:val="auto"/>
          <w:szCs w:val="21"/>
        </w:rPr>
        <w:sectPr>
          <w:headerReference w:type="default" r:id="rId5"/>
          <w:footerReference w:type="default" r:id="rId6"/>
          <w:headerReference w:type="first" r:id="rId7"/>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1" w:chapStyle="1" w:chapSep="enDash"/>
          <w:cols w:num="1" w:space="720"/>
          <w:titlePg/>
          <w:rtlGutter w:val="0"/>
          <w:docGrid w:linePitch="312" w:charSpace="0"/>
        </w:sectPr>
      </w:pPr>
    </w:p>
    <w:p>
      <w:pPr>
        <w:spacing w:line="360" w:lineRule="auto"/>
        <w:jc w:val="center"/>
        <w:rPr>
          <w:rFonts w:ascii="宋体" w:hAnsi="宋体" w:cs="宋体" w:hint="eastAsia"/>
          <w:b/>
          <w:color w:val="auto"/>
          <w:sz w:val="44"/>
        </w:rPr>
      </w:pPr>
      <w:r>
        <w:rPr>
          <w:rFonts w:ascii="宋体" w:eastAsia="宋体" w:hAnsi="宋体" w:cs="宋体" w:hint="eastAsia"/>
          <w:b/>
          <w:color w:val="auto"/>
          <w:sz w:val="44"/>
        </w:rPr>
        <w:t>目录</w:t>
      </w:r>
    </w:p>
    <w:p>
      <w:pPr>
        <w:spacing w:line="360" w:lineRule="auto"/>
        <w:rPr>
          <w:rFonts w:ascii="宋体" w:hAnsi="宋体" w:cs="宋体" w:hint="eastAsia"/>
          <w:color w:val="auto"/>
          <w:szCs w:val="21"/>
        </w:rPr>
      </w:pPr>
    </w:p>
    <w:p>
      <w:pPr>
        <w:spacing w:line="360" w:lineRule="auto"/>
        <w:jc w:val="left"/>
        <w:rPr>
          <w:rFonts w:ascii="宋体" w:hAnsi="宋体" w:cs="宋体" w:hint="eastAsia"/>
          <w:b/>
          <w:color w:val="auto"/>
          <w:sz w:val="30"/>
          <w:szCs w:val="30"/>
        </w:rPr>
      </w:pPr>
      <w:r>
        <w:rPr>
          <w:rFonts w:ascii="宋体" w:eastAsia="宋体" w:hAnsi="宋体" w:cs="宋体" w:hint="eastAsia"/>
          <w:b/>
          <w:color w:val="auto"/>
          <w:sz w:val="30"/>
          <w:szCs w:val="30"/>
        </w:rPr>
        <w:t>第一部分</w:t>
      </w:r>
      <w:r>
        <w:rPr>
          <w:rFonts w:ascii="宋体" w:eastAsia="宋体" w:hAnsi="宋体" w:cs="宋体" w:hint="eastAsia"/>
          <w:b/>
          <w:color w:val="auto"/>
          <w:sz w:val="30"/>
          <w:szCs w:val="30"/>
          <w:lang w:eastAsia="zh-CN"/>
        </w:rPr>
        <w:t>：</w:t>
      </w:r>
      <w:r>
        <w:rPr>
          <w:rFonts w:ascii="宋体" w:hAnsi="宋体" w:cs="宋体" w:hint="eastAsia"/>
          <w:b/>
          <w:color w:val="auto"/>
          <w:sz w:val="30"/>
          <w:szCs w:val="30"/>
          <w:lang w:eastAsia="zh-CN"/>
        </w:rPr>
        <w:t>招标公告</w:t>
      </w:r>
      <w:r>
        <w:rPr>
          <w:rFonts w:ascii="宋体" w:eastAsia="宋体" w:hAnsi="宋体" w:cs="宋体" w:hint="eastAsia"/>
          <w:b/>
          <w:color w:val="auto"/>
          <w:sz w:val="30"/>
          <w:szCs w:val="30"/>
        </w:rPr>
        <w:t>……………………………………………………</w:t>
      </w:r>
      <w:r>
        <w:rPr>
          <w:rFonts w:ascii="宋体" w:eastAsia="宋体" w:hAnsi="宋体" w:cs="宋体" w:hint="eastAsia"/>
          <w:b/>
          <w:color w:val="auto"/>
          <w:sz w:val="30"/>
          <w:szCs w:val="30"/>
          <w:lang w:val="en-US" w:eastAsia="zh-CN"/>
        </w:rPr>
        <w:t>1</w:t>
      </w:r>
    </w:p>
    <w:p>
      <w:pPr>
        <w:spacing w:line="240" w:lineRule="auto"/>
        <w:rPr>
          <w:rFonts w:ascii="宋体" w:hAnsi="宋体" w:cs="宋体" w:hint="eastAsia"/>
          <w:color w:val="auto"/>
          <w:szCs w:val="21"/>
        </w:rPr>
      </w:pPr>
    </w:p>
    <w:p>
      <w:pPr>
        <w:spacing w:line="360" w:lineRule="auto"/>
        <w:rPr>
          <w:rFonts w:ascii="宋体" w:hAnsi="宋体" w:cs="宋体" w:hint="eastAsia"/>
          <w:color w:val="auto"/>
          <w:szCs w:val="21"/>
        </w:rPr>
      </w:pPr>
    </w:p>
    <w:p>
      <w:pPr>
        <w:spacing w:line="360" w:lineRule="auto"/>
        <w:jc w:val="left"/>
        <w:rPr>
          <w:rFonts w:ascii="宋体" w:hAnsi="宋体" w:cs="宋体" w:hint="eastAsia"/>
          <w:b/>
          <w:color w:val="auto"/>
          <w:sz w:val="30"/>
          <w:szCs w:val="30"/>
        </w:rPr>
      </w:pPr>
      <w:r>
        <w:rPr>
          <w:rFonts w:ascii="宋体" w:eastAsia="宋体" w:hAnsi="宋体" w:cs="宋体" w:hint="eastAsia"/>
          <w:b/>
          <w:color w:val="auto"/>
          <w:sz w:val="30"/>
          <w:szCs w:val="30"/>
        </w:rPr>
        <w:t>第二部分:采购项目内容………………………………………………</w:t>
      </w:r>
      <w:r>
        <w:rPr>
          <w:rFonts w:ascii="宋体" w:hAnsi="宋体" w:cs="宋体" w:hint="eastAsia"/>
          <w:b/>
          <w:color w:val="auto"/>
          <w:sz w:val="30"/>
          <w:szCs w:val="30"/>
          <w:lang w:val="en-US" w:eastAsia="zh-CN"/>
        </w:rPr>
        <w:t>6</w:t>
      </w:r>
    </w:p>
    <w:p>
      <w:pPr>
        <w:spacing w:line="240" w:lineRule="auto"/>
        <w:rPr>
          <w:rFonts w:ascii="宋体" w:hAnsi="宋体" w:cs="宋体" w:hint="eastAsia"/>
          <w:color w:val="auto"/>
          <w:szCs w:val="21"/>
        </w:rPr>
      </w:pPr>
    </w:p>
    <w:p>
      <w:pPr>
        <w:spacing w:line="360" w:lineRule="auto"/>
        <w:rPr>
          <w:rFonts w:ascii="宋体" w:hAnsi="宋体" w:cs="宋体" w:hint="eastAsia"/>
          <w:color w:val="auto"/>
          <w:szCs w:val="21"/>
        </w:rPr>
      </w:pPr>
    </w:p>
    <w:p>
      <w:pPr>
        <w:spacing w:line="360" w:lineRule="auto"/>
        <w:ind w:left="600" w:hanging="600" w:hangingChars="200"/>
        <w:jc w:val="left"/>
        <w:rPr>
          <w:rFonts w:ascii="宋体" w:hAnsi="宋体" w:cs="宋体" w:hint="default"/>
          <w:b/>
          <w:color w:val="auto"/>
          <w:sz w:val="30"/>
          <w:szCs w:val="30"/>
        </w:rPr>
      </w:pPr>
      <w:r>
        <w:rPr>
          <w:rFonts w:ascii="宋体" w:eastAsia="宋体" w:hAnsi="宋体" w:cs="宋体" w:hint="eastAsia"/>
          <w:b/>
          <w:color w:val="auto"/>
          <w:sz w:val="30"/>
          <w:szCs w:val="30"/>
        </w:rPr>
        <w:t>第三部分:投标人须知…………………………………………………</w:t>
      </w:r>
      <w:r>
        <w:rPr>
          <w:rFonts w:ascii="宋体" w:hAnsi="宋体" w:cs="宋体" w:hint="eastAsia"/>
          <w:b/>
          <w:color w:val="auto"/>
          <w:sz w:val="30"/>
          <w:szCs w:val="30"/>
          <w:lang w:val="en-US" w:eastAsia="zh-CN"/>
        </w:rPr>
        <w:t>11</w:t>
      </w:r>
    </w:p>
    <w:p>
      <w:pPr>
        <w:spacing w:line="240" w:lineRule="auto"/>
        <w:rPr>
          <w:rFonts w:ascii="宋体" w:hAnsi="宋体" w:cs="宋体" w:hint="eastAsia"/>
          <w:color w:val="auto"/>
          <w:szCs w:val="21"/>
        </w:rPr>
      </w:pPr>
    </w:p>
    <w:p>
      <w:pPr>
        <w:spacing w:line="360" w:lineRule="auto"/>
        <w:rPr>
          <w:rFonts w:ascii="宋体" w:hAnsi="宋体" w:cs="宋体" w:hint="eastAsia"/>
          <w:color w:val="auto"/>
          <w:szCs w:val="21"/>
        </w:rPr>
      </w:pPr>
    </w:p>
    <w:p>
      <w:pPr>
        <w:spacing w:line="240" w:lineRule="auto"/>
        <w:ind w:left="0" w:firstLine="0" w:firstLineChars="0"/>
        <w:jc w:val="left"/>
        <w:rPr>
          <w:rFonts w:ascii="宋体" w:hAnsi="宋体" w:cs="宋体" w:hint="default"/>
          <w:b/>
          <w:color w:val="auto"/>
          <w:sz w:val="30"/>
          <w:szCs w:val="30"/>
        </w:rPr>
      </w:pPr>
      <w:r>
        <w:rPr>
          <w:rFonts w:ascii="宋体" w:eastAsia="宋体" w:hAnsi="宋体" w:cs="宋体" w:hint="eastAsia"/>
          <w:b/>
          <w:color w:val="auto"/>
          <w:sz w:val="30"/>
          <w:szCs w:val="30"/>
        </w:rPr>
        <w:t>第四部分:合同书格式…………………………………………………</w:t>
      </w:r>
      <w:r>
        <w:rPr>
          <w:rFonts w:ascii="宋体" w:hAnsi="宋体" w:cs="宋体" w:hint="eastAsia"/>
          <w:b/>
          <w:color w:val="auto"/>
          <w:sz w:val="30"/>
          <w:szCs w:val="30"/>
          <w:lang w:val="en-US" w:eastAsia="zh-CN"/>
        </w:rPr>
        <w:t>39</w:t>
      </w:r>
    </w:p>
    <w:p>
      <w:pPr>
        <w:spacing w:line="360" w:lineRule="auto"/>
        <w:rPr>
          <w:rFonts w:ascii="宋体" w:hAnsi="宋体" w:cs="宋体" w:hint="eastAsia"/>
          <w:color w:val="auto"/>
          <w:szCs w:val="21"/>
        </w:rPr>
      </w:pPr>
    </w:p>
    <w:p>
      <w:pPr>
        <w:spacing w:line="360" w:lineRule="auto"/>
        <w:rPr>
          <w:rFonts w:ascii="宋体" w:hAnsi="宋体" w:cs="宋体" w:hint="eastAsia"/>
          <w:color w:val="auto"/>
          <w:szCs w:val="21"/>
        </w:rPr>
      </w:pPr>
    </w:p>
    <w:p>
      <w:pPr>
        <w:spacing w:line="360" w:lineRule="auto"/>
        <w:rPr>
          <w:rFonts w:ascii="宋体" w:hAnsi="宋体" w:cs="宋体" w:hint="default"/>
          <w:b/>
          <w:bCs/>
          <w:color w:val="auto"/>
          <w:sz w:val="30"/>
          <w:szCs w:val="30"/>
        </w:rPr>
        <w:sectPr>
          <w:headerReference w:type="default" r:id="rId8"/>
          <w:footerReference w:type="default" r:id="rId9"/>
          <w:headerReference w:type="first" r:id="rId10"/>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1" w:chapStyle="1" w:chapSep="enDash"/>
          <w:cols w:num="1" w:space="720"/>
          <w:titlePg/>
          <w:rtlGutter w:val="0"/>
          <w:docGrid w:linePitch="312" w:charSpace="0"/>
        </w:sectPr>
      </w:pPr>
      <w:r>
        <w:rPr>
          <w:rFonts w:ascii="宋体" w:eastAsia="宋体" w:hAnsi="宋体" w:cs="宋体" w:hint="eastAsia"/>
          <w:b/>
          <w:bCs/>
          <w:color w:val="auto"/>
          <w:sz w:val="30"/>
          <w:szCs w:val="30"/>
        </w:rPr>
        <w:t>第五部分：投标文件格式……………………………………………</w:t>
      </w:r>
      <w:r>
        <w:rPr>
          <w:rFonts w:ascii="宋体" w:hAnsi="宋体" w:cs="宋体" w:hint="eastAsia"/>
          <w:b/>
          <w:bCs/>
          <w:color w:val="auto"/>
          <w:sz w:val="30"/>
          <w:szCs w:val="30"/>
          <w:lang w:val="en-US" w:eastAsia="zh-CN"/>
        </w:rPr>
        <w:t>45</w:t>
      </w:r>
    </w:p>
    <w:p>
      <w:pPr>
        <w:spacing w:line="360" w:lineRule="auto"/>
        <w:jc w:val="center"/>
        <w:rPr>
          <w:rFonts w:ascii="宋体" w:hAnsi="宋体" w:cs="宋体" w:hint="eastAsia"/>
          <w:b/>
          <w:color w:val="auto"/>
          <w:sz w:val="30"/>
          <w:szCs w:val="30"/>
        </w:rPr>
      </w:pPr>
    </w:p>
    <w:p>
      <w:pPr>
        <w:spacing w:line="360" w:lineRule="auto"/>
        <w:jc w:val="center"/>
        <w:rPr>
          <w:rFonts w:ascii="宋体" w:hAnsi="宋体" w:cs="宋体" w:hint="eastAsia"/>
          <w:b/>
          <w:color w:val="auto"/>
          <w:sz w:val="30"/>
          <w:szCs w:val="30"/>
        </w:rPr>
      </w:pPr>
    </w:p>
    <w:p>
      <w:pPr>
        <w:spacing w:line="360" w:lineRule="auto"/>
        <w:jc w:val="center"/>
        <w:rPr>
          <w:rFonts w:ascii="宋体" w:hAnsi="宋体" w:cs="宋体" w:hint="eastAsia"/>
          <w:color w:val="auto"/>
          <w:sz w:val="24"/>
        </w:rPr>
      </w:pPr>
    </w:p>
    <w:p>
      <w:pPr>
        <w:spacing w:line="360" w:lineRule="auto"/>
        <w:jc w:val="center"/>
        <w:rPr>
          <w:rFonts w:ascii="宋体" w:hAnsi="宋体" w:cs="宋体" w:hint="eastAsia"/>
          <w:color w:val="auto"/>
          <w:sz w:val="24"/>
        </w:rPr>
      </w:pPr>
    </w:p>
    <w:p>
      <w:pPr>
        <w:spacing w:line="360" w:lineRule="auto"/>
        <w:jc w:val="center"/>
        <w:rPr>
          <w:rFonts w:ascii="宋体" w:hAnsi="宋体" w:cs="宋体" w:hint="eastAsia"/>
          <w:color w:val="auto"/>
          <w:sz w:val="24"/>
        </w:rPr>
      </w:pPr>
    </w:p>
    <w:p>
      <w:pPr>
        <w:spacing w:line="360" w:lineRule="auto"/>
        <w:jc w:val="center"/>
        <w:rPr>
          <w:rFonts w:ascii="宋体" w:hAnsi="宋体" w:cs="宋体" w:hint="eastAsia"/>
          <w:color w:val="auto"/>
          <w:sz w:val="24"/>
        </w:rPr>
      </w:pPr>
    </w:p>
    <w:p>
      <w:pPr>
        <w:spacing w:line="360" w:lineRule="auto"/>
        <w:jc w:val="center"/>
        <w:rPr>
          <w:rFonts w:ascii="宋体" w:hAnsi="宋体" w:cs="宋体" w:hint="eastAsia"/>
          <w:color w:val="auto"/>
          <w:sz w:val="24"/>
        </w:rPr>
      </w:pPr>
    </w:p>
    <w:p>
      <w:pPr>
        <w:spacing w:line="360" w:lineRule="auto"/>
        <w:jc w:val="center"/>
        <w:rPr>
          <w:rFonts w:ascii="宋体" w:hAnsi="宋体" w:cs="宋体" w:hint="eastAsia"/>
          <w:color w:val="auto"/>
          <w:sz w:val="24"/>
        </w:rPr>
      </w:pPr>
    </w:p>
    <w:p>
      <w:pPr>
        <w:spacing w:line="360" w:lineRule="auto"/>
        <w:jc w:val="center"/>
        <w:rPr>
          <w:rFonts w:ascii="宋体" w:hAnsi="宋体" w:cs="宋体" w:hint="eastAsia"/>
          <w:color w:val="auto"/>
          <w:sz w:val="24"/>
        </w:rPr>
      </w:pPr>
    </w:p>
    <w:p>
      <w:pPr>
        <w:spacing w:line="360" w:lineRule="auto"/>
        <w:jc w:val="center"/>
        <w:rPr>
          <w:rFonts w:ascii="宋体" w:hAnsi="宋体" w:cs="宋体" w:hint="eastAsia"/>
          <w:color w:val="auto"/>
          <w:sz w:val="24"/>
        </w:rPr>
      </w:pPr>
    </w:p>
    <w:p>
      <w:pPr>
        <w:spacing w:line="360" w:lineRule="auto"/>
        <w:jc w:val="center"/>
        <w:rPr>
          <w:rFonts w:ascii="宋体" w:hAnsi="宋体" w:cs="宋体" w:hint="eastAsia"/>
          <w:b/>
          <w:color w:val="auto"/>
          <w:sz w:val="44"/>
        </w:rPr>
      </w:pPr>
      <w:r>
        <w:rPr>
          <w:rFonts w:ascii="宋体" w:eastAsia="宋体" w:hAnsi="宋体" w:cs="宋体" w:hint="eastAsia"/>
          <w:b/>
          <w:color w:val="auto"/>
          <w:sz w:val="44"/>
        </w:rPr>
        <w:t>第一部分</w:t>
      </w:r>
      <w:r>
        <w:rPr>
          <w:rFonts w:ascii="宋体" w:hAnsi="宋体" w:cs="宋体" w:hint="eastAsia"/>
          <w:b/>
          <w:color w:val="auto"/>
          <w:sz w:val="44"/>
          <w:lang w:val="en-US" w:eastAsia="zh-CN"/>
        </w:rPr>
        <w:t xml:space="preserve">  </w:t>
      </w:r>
    </w:p>
    <w:p>
      <w:pPr>
        <w:spacing w:line="360" w:lineRule="auto"/>
        <w:jc w:val="center"/>
        <w:rPr>
          <w:rFonts w:ascii="宋体" w:hAnsi="宋体" w:cs="宋体" w:hint="eastAsia"/>
          <w:b/>
          <w:color w:val="auto"/>
          <w:sz w:val="44"/>
        </w:rPr>
        <w:sectPr>
          <w:headerReference w:type="default" r:id="rId11"/>
          <w:footerReference w:type="default" r:id="rId12"/>
          <w:headerReference w:type="first" r:id="rId13"/>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1" w:chapStyle="1" w:chapSep="enDash"/>
          <w:cols w:num="1" w:space="720"/>
          <w:rtlGutter w:val="0"/>
          <w:docGrid w:linePitch="312" w:charSpace="0"/>
        </w:sectPr>
      </w:pPr>
      <w:r>
        <w:rPr>
          <w:rFonts w:ascii="宋体" w:hAnsi="宋体" w:cs="宋体" w:hint="eastAsia"/>
          <w:b/>
          <w:color w:val="auto"/>
          <w:sz w:val="44"/>
          <w:lang w:eastAsia="zh-CN"/>
        </w:rPr>
        <w:t>招标公告</w:t>
      </w:r>
    </w:p>
    <w:p>
      <w:pPr>
        <w:spacing w:line="360" w:lineRule="auto"/>
        <w:jc w:val="center"/>
        <w:rPr>
          <w:rFonts w:ascii="宋体" w:hAnsi="宋体" w:cs="宋体" w:hint="eastAsia"/>
          <w:b/>
          <w:color w:val="auto"/>
          <w:kern w:val="28"/>
          <w:sz w:val="32"/>
        </w:rPr>
      </w:pPr>
      <w:r>
        <w:rPr>
          <w:rFonts w:ascii="宋体" w:hAnsi="宋体" w:cs="宋体" w:hint="eastAsia"/>
          <w:b/>
          <w:color w:val="auto"/>
          <w:kern w:val="28"/>
          <w:sz w:val="32"/>
          <w:lang w:eastAsia="zh-CN"/>
        </w:rPr>
        <w:t>第一章</w:t>
      </w:r>
      <w:r>
        <w:rPr>
          <w:rFonts w:ascii="宋体" w:hAnsi="宋体" w:cs="宋体" w:hint="eastAsia"/>
          <w:b/>
          <w:color w:val="auto"/>
          <w:kern w:val="28"/>
          <w:sz w:val="32"/>
          <w:lang w:val="en-US" w:eastAsia="zh-CN"/>
        </w:rPr>
        <w:t xml:space="preserve"> </w:t>
      </w:r>
      <w:r>
        <w:rPr>
          <w:rFonts w:ascii="宋体" w:eastAsia="宋体" w:hAnsi="宋体" w:cs="宋体" w:hint="eastAsia"/>
          <w:b/>
          <w:color w:val="auto"/>
          <w:kern w:val="28"/>
          <w:sz w:val="32"/>
        </w:rPr>
        <w:t>招标公告</w:t>
      </w:r>
    </w:p>
    <w:p>
      <w:pPr>
        <w:pStyle w:val="NormalWeb"/>
        <w:keepNext w:val="0"/>
        <w:keepLines w:val="0"/>
        <w:widowControl w:val="0"/>
        <w:suppressLineNumbers w:val="0"/>
        <w:pBdr>
          <w:top w:val="single" w:sz="4" w:space="0" w:color="auto"/>
          <w:left w:val="single" w:sz="4" w:space="0" w:color="auto"/>
          <w:bottom w:val="single" w:sz="4" w:space="0" w:color="auto"/>
          <w:right w:val="single" w:sz="4" w:space="0" w:color="auto"/>
        </w:pBdr>
        <w:snapToGrid w:val="0"/>
        <w:spacing w:before="0" w:beforeAutospacing="0" w:after="0" w:afterAutospacing="0" w:line="360" w:lineRule="auto"/>
        <w:ind w:left="0" w:right="0" w:firstLine="0" w:leftChars="0" w:firstLineChars="0"/>
        <w:jc w:val="left"/>
        <w:rPr>
          <w:rFonts w:ascii="宋体" w:eastAsia="宋体" w:hAnsi="宋体" w:cs="Tahoma" w:hint="eastAsia"/>
          <w:color w:val="auto"/>
          <w:spacing w:val="0"/>
          <w:sz w:val="21"/>
          <w:szCs w:val="21"/>
          <w:highlight w:val="none"/>
        </w:rPr>
      </w:pPr>
      <w:r>
        <w:rPr>
          <w:rFonts w:ascii="宋体" w:eastAsia="宋体" w:hAnsi="宋体" w:cs="宋体" w:hint="eastAsia"/>
          <w:color w:val="auto"/>
          <w:spacing w:val="0"/>
          <w:kern w:val="0"/>
          <w:sz w:val="21"/>
          <w:szCs w:val="21"/>
          <w:highlight w:val="none"/>
          <w:lang w:val="en-US" w:eastAsia="zh-CN" w:bidi="ar"/>
        </w:rPr>
        <w:t>项目概况</w:t>
      </w:r>
    </w:p>
    <w:p>
      <w:pPr>
        <w:pStyle w:val="NormalWeb"/>
        <w:keepNext w:val="0"/>
        <w:keepLines w:val="0"/>
        <w:widowControl w:val="0"/>
        <w:suppressLineNumbers w:val="0"/>
        <w:pBdr>
          <w:top w:val="single" w:sz="4" w:space="0" w:color="auto"/>
          <w:left w:val="single" w:sz="4" w:space="0" w:color="auto"/>
          <w:bottom w:val="single" w:sz="4" w:space="0" w:color="auto"/>
          <w:right w:val="single" w:sz="4" w:space="0" w:color="auto"/>
        </w:pBdr>
        <w:snapToGrid w:val="0"/>
        <w:spacing w:before="0" w:beforeAutospacing="0" w:after="0" w:afterAutospacing="0" w:line="360" w:lineRule="auto"/>
        <w:ind w:left="0" w:right="0" w:firstLine="0" w:leftChars="0" w:firstLineChars="0"/>
        <w:jc w:val="left"/>
        <w:rPr>
          <w:rFonts w:ascii="宋体" w:eastAsia="宋体" w:hAnsi="宋体" w:cs="宋体" w:hint="eastAsia"/>
          <w:color w:val="auto"/>
          <w:spacing w:val="-20"/>
          <w:szCs w:val="24"/>
          <w:highlight w:val="none"/>
        </w:rPr>
      </w:pPr>
      <w:r>
        <w:rPr>
          <w:rFonts w:ascii="宋体" w:eastAsia="宋体" w:hAnsi="宋体" w:cs="宋体" w:hint="eastAsia"/>
          <w:color w:val="auto"/>
          <w:spacing w:val="-20"/>
          <w:kern w:val="0"/>
          <w:sz w:val="24"/>
          <w:szCs w:val="24"/>
          <w:highlight w:val="none"/>
          <w:lang w:val="en-US" w:eastAsia="zh-CN" w:bidi="ar"/>
        </w:rPr>
        <w:t xml:space="preserve"> </w:t>
      </w:r>
      <w:r>
        <w:rPr>
          <w:rFonts w:ascii="宋体" w:eastAsia="宋体" w:hAnsi="宋体" w:cs="宋体" w:hint="eastAsia"/>
          <w:color w:val="auto"/>
          <w:spacing w:val="0"/>
          <w:kern w:val="0"/>
          <w:sz w:val="21"/>
          <w:szCs w:val="21"/>
          <w:highlight w:val="none"/>
          <w:u w:val="single"/>
          <w:lang w:val="en-US" w:eastAsia="zh-CN" w:bidi="ar"/>
        </w:rPr>
        <w:t>(</w:t>
      </w:r>
      <w:r>
        <w:rPr>
          <w:rFonts w:cs="宋体" w:hint="eastAsia"/>
          <w:color w:val="auto"/>
          <w:spacing w:val="0"/>
          <w:kern w:val="0"/>
          <w:sz w:val="21"/>
          <w:szCs w:val="21"/>
          <w:highlight w:val="none"/>
          <w:u w:val="single"/>
          <w:lang w:val="en-US" w:eastAsia="zh-CN" w:bidi="ar"/>
        </w:rPr>
        <w:t>兴宁市残疾人康复中心设备器材采购项目</w:t>
      </w:r>
      <w:r>
        <w:rPr>
          <w:rFonts w:ascii="宋体" w:eastAsia="宋体" w:hAnsi="宋体" w:cs="宋体" w:hint="eastAsia"/>
          <w:color w:val="auto"/>
          <w:spacing w:val="0"/>
          <w:kern w:val="0"/>
          <w:sz w:val="21"/>
          <w:szCs w:val="21"/>
          <w:highlight w:val="none"/>
          <w:u w:val="single"/>
          <w:lang w:val="en-US" w:eastAsia="zh-CN" w:bidi="ar"/>
        </w:rPr>
        <w:t xml:space="preserve">) </w:t>
      </w:r>
      <w:r>
        <w:rPr>
          <w:rFonts w:ascii="宋体" w:eastAsia="宋体" w:hAnsi="宋体" w:cs="宋体" w:hint="eastAsia"/>
          <w:color w:val="auto"/>
          <w:spacing w:val="0"/>
          <w:kern w:val="0"/>
          <w:sz w:val="21"/>
          <w:szCs w:val="21"/>
          <w:highlight w:val="none"/>
          <w:lang w:val="en-US" w:eastAsia="zh-CN" w:bidi="ar"/>
        </w:rPr>
        <w:t>招标项目的潜在投标人应在（</w:t>
      </w:r>
      <w:r>
        <w:rPr>
          <w:rFonts w:ascii="宋体" w:eastAsia="宋体" w:hAnsi="宋体" w:cs="宋体" w:hint="eastAsia"/>
          <w:color w:val="auto"/>
          <w:spacing w:val="0"/>
          <w:kern w:val="0"/>
          <w:sz w:val="21"/>
          <w:szCs w:val="21"/>
          <w:highlight w:val="none"/>
          <w:u w:val="single"/>
          <w:lang w:val="en-US" w:eastAsia="zh-CN" w:bidi="ar"/>
        </w:rPr>
        <w:t>兴宁市福兴毛屋坝宁江新城六期4栋13号</w:t>
      </w:r>
      <w:r>
        <w:rPr>
          <w:rFonts w:ascii="宋体" w:eastAsia="宋体" w:hAnsi="宋体" w:cs="宋体" w:hint="eastAsia"/>
          <w:color w:val="auto"/>
          <w:spacing w:val="0"/>
          <w:kern w:val="0"/>
          <w:sz w:val="21"/>
          <w:szCs w:val="21"/>
          <w:highlight w:val="none"/>
          <w:lang w:val="en-US" w:eastAsia="zh-CN" w:bidi="ar"/>
        </w:rPr>
        <w:t>）获取招标文件，并于</w:t>
      </w:r>
      <w:r>
        <w:rPr>
          <w:rFonts w:ascii="宋体" w:eastAsia="宋体" w:hAnsi="宋体" w:cs="Tahoma" w:hint="eastAsia"/>
          <w:color w:val="auto"/>
          <w:spacing w:val="0"/>
          <w:kern w:val="0"/>
          <w:sz w:val="21"/>
          <w:szCs w:val="21"/>
          <w:highlight w:val="none"/>
          <w:u w:val="single"/>
          <w:lang w:val="en-US" w:eastAsia="zh-CN" w:bidi="ar"/>
        </w:rPr>
        <w:t xml:space="preserve"> </w:t>
      </w:r>
      <w:r>
        <w:rPr>
          <w:rFonts w:cs="Tahoma" w:hint="eastAsia"/>
          <w:color w:val="auto"/>
          <w:spacing w:val="0"/>
          <w:kern w:val="0"/>
          <w:sz w:val="21"/>
          <w:szCs w:val="21"/>
          <w:highlight w:val="none"/>
          <w:u w:val="single"/>
          <w:lang w:val="en-US" w:eastAsia="zh-CN" w:bidi="ar"/>
        </w:rPr>
        <w:t>2022</w:t>
      </w:r>
      <w:r>
        <w:rPr>
          <w:rFonts w:ascii="宋体" w:eastAsia="宋体" w:hAnsi="宋体" w:cs="Tahoma" w:hint="eastAsia"/>
          <w:color w:val="auto"/>
          <w:spacing w:val="0"/>
          <w:kern w:val="0"/>
          <w:sz w:val="21"/>
          <w:szCs w:val="21"/>
          <w:highlight w:val="none"/>
          <w:u w:val="single"/>
          <w:lang w:val="en-US" w:eastAsia="zh-CN" w:bidi="ar"/>
        </w:rPr>
        <w:t xml:space="preserve"> </w:t>
      </w:r>
      <w:r>
        <w:rPr>
          <w:rFonts w:ascii="宋体" w:eastAsia="宋体" w:hAnsi="宋体" w:cs="Tahoma" w:hint="eastAsia"/>
          <w:color w:val="auto"/>
          <w:spacing w:val="0"/>
          <w:kern w:val="0"/>
          <w:sz w:val="21"/>
          <w:szCs w:val="21"/>
          <w:highlight w:val="none"/>
          <w:lang w:val="en-US" w:eastAsia="zh-CN" w:bidi="ar"/>
        </w:rPr>
        <w:t xml:space="preserve"> </w:t>
      </w:r>
      <w:r>
        <w:rPr>
          <w:rFonts w:ascii="宋体" w:eastAsia="宋体" w:hAnsi="宋体" w:cs="宋体" w:hint="eastAsia"/>
          <w:color w:val="auto"/>
          <w:spacing w:val="0"/>
          <w:kern w:val="0"/>
          <w:sz w:val="21"/>
          <w:szCs w:val="21"/>
          <w:highlight w:val="none"/>
          <w:lang w:val="en-US" w:eastAsia="zh-CN" w:bidi="ar"/>
        </w:rPr>
        <w:t>年</w:t>
      </w:r>
      <w:r>
        <w:rPr>
          <w:rFonts w:ascii="宋体" w:eastAsia="宋体" w:hAnsi="宋体" w:cs="Tahoma" w:hint="eastAsia"/>
          <w:color w:val="auto"/>
          <w:spacing w:val="0"/>
          <w:kern w:val="0"/>
          <w:sz w:val="21"/>
          <w:szCs w:val="21"/>
          <w:highlight w:val="none"/>
          <w:u w:val="single"/>
          <w:lang w:val="en-US" w:eastAsia="zh-CN" w:bidi="ar"/>
        </w:rPr>
        <w:t xml:space="preserve"> </w:t>
      </w:r>
      <w:r>
        <w:rPr>
          <w:rFonts w:ascii="宋体" w:hAnsi="宋体" w:cs="Tahoma" w:hint="eastAsia"/>
          <w:color w:val="auto"/>
          <w:spacing w:val="0"/>
          <w:kern w:val="0"/>
          <w:sz w:val="21"/>
          <w:szCs w:val="21"/>
          <w:highlight w:val="none"/>
          <w:u w:val="single"/>
          <w:lang w:val="en-US" w:eastAsia="zh-CN" w:bidi="ar"/>
        </w:rPr>
        <w:t xml:space="preserve"> 9 </w:t>
      </w:r>
      <w:r>
        <w:rPr>
          <w:rFonts w:cs="Tahoma" w:hint="eastAsia"/>
          <w:color w:val="auto"/>
          <w:spacing w:val="0"/>
          <w:kern w:val="0"/>
          <w:sz w:val="21"/>
          <w:szCs w:val="21"/>
          <w:highlight w:val="none"/>
          <w:u w:val="single"/>
          <w:lang w:val="en-US" w:eastAsia="zh-CN" w:bidi="ar"/>
        </w:rPr>
        <w:t xml:space="preserve"> </w:t>
      </w:r>
      <w:r>
        <w:rPr>
          <w:rFonts w:ascii="宋体" w:eastAsia="宋体" w:hAnsi="宋体" w:cs="宋体" w:hint="eastAsia"/>
          <w:color w:val="auto"/>
          <w:spacing w:val="0"/>
          <w:kern w:val="0"/>
          <w:sz w:val="21"/>
          <w:szCs w:val="21"/>
          <w:highlight w:val="none"/>
          <w:lang w:val="en-US" w:eastAsia="zh-CN" w:bidi="ar"/>
        </w:rPr>
        <w:t>月</w:t>
      </w:r>
      <w:r>
        <w:rPr>
          <w:rFonts w:ascii="宋体" w:eastAsia="宋体" w:hAnsi="宋体" w:cs="Tahoma" w:hint="eastAsia"/>
          <w:color w:val="auto"/>
          <w:spacing w:val="0"/>
          <w:kern w:val="0"/>
          <w:sz w:val="21"/>
          <w:szCs w:val="21"/>
          <w:highlight w:val="none"/>
          <w:u w:val="single"/>
          <w:lang w:val="en-US" w:eastAsia="zh-CN" w:bidi="ar"/>
        </w:rPr>
        <w:t xml:space="preserve"> </w:t>
      </w:r>
      <w:r>
        <w:rPr>
          <w:rFonts w:ascii="宋体" w:hAnsi="宋体" w:cs="Tahoma" w:hint="eastAsia"/>
          <w:color w:val="auto"/>
          <w:spacing w:val="0"/>
          <w:kern w:val="0"/>
          <w:sz w:val="21"/>
          <w:szCs w:val="21"/>
          <w:highlight w:val="none"/>
          <w:u w:val="single"/>
          <w:lang w:val="en-US" w:eastAsia="zh-CN" w:bidi="ar"/>
        </w:rPr>
        <w:t xml:space="preserve"> 5 </w:t>
      </w:r>
      <w:r>
        <w:rPr>
          <w:rFonts w:ascii="宋体" w:eastAsia="宋体" w:hAnsi="宋体" w:cs="Tahoma" w:hint="eastAsia"/>
          <w:color w:val="auto"/>
          <w:spacing w:val="0"/>
          <w:kern w:val="0"/>
          <w:sz w:val="21"/>
          <w:szCs w:val="21"/>
          <w:highlight w:val="none"/>
          <w:u w:val="single"/>
          <w:lang w:val="en-US" w:eastAsia="zh-CN" w:bidi="ar"/>
        </w:rPr>
        <w:t xml:space="preserve"> </w:t>
      </w:r>
      <w:r>
        <w:rPr>
          <w:rFonts w:ascii="宋体" w:eastAsia="宋体" w:hAnsi="宋体" w:cs="宋体" w:hint="eastAsia"/>
          <w:color w:val="auto"/>
          <w:spacing w:val="0"/>
          <w:kern w:val="0"/>
          <w:sz w:val="21"/>
          <w:szCs w:val="21"/>
          <w:highlight w:val="none"/>
          <w:lang w:val="en-US" w:eastAsia="zh-CN" w:bidi="ar"/>
        </w:rPr>
        <w:t>日</w:t>
      </w:r>
      <w:r>
        <w:rPr>
          <w:rFonts w:ascii="宋体" w:eastAsia="宋体" w:hAnsi="宋体" w:cs="Tahoma" w:hint="eastAsia"/>
          <w:color w:val="auto"/>
          <w:spacing w:val="0"/>
          <w:kern w:val="0"/>
          <w:sz w:val="21"/>
          <w:szCs w:val="21"/>
          <w:highlight w:val="none"/>
          <w:u w:val="single"/>
          <w:lang w:val="en-US" w:eastAsia="zh-CN" w:bidi="ar"/>
        </w:rPr>
        <w:t xml:space="preserve"> </w:t>
      </w:r>
      <w:r>
        <w:rPr>
          <w:rFonts w:cs="宋体" w:hint="eastAsia"/>
          <w:color w:val="auto"/>
          <w:spacing w:val="0"/>
          <w:kern w:val="0"/>
          <w:sz w:val="21"/>
          <w:szCs w:val="21"/>
          <w:highlight w:val="none"/>
          <w:u w:val="single"/>
          <w:lang w:val="en-US" w:eastAsia="zh-CN" w:bidi="ar"/>
        </w:rPr>
        <w:t>15</w:t>
      </w:r>
      <w:r>
        <w:rPr>
          <w:rFonts w:ascii="宋体" w:eastAsia="宋体" w:hAnsi="宋体" w:cs="宋体" w:hint="eastAsia"/>
          <w:color w:val="auto"/>
          <w:spacing w:val="0"/>
          <w:kern w:val="0"/>
          <w:sz w:val="21"/>
          <w:szCs w:val="21"/>
          <w:highlight w:val="none"/>
          <w:u w:val="single"/>
          <w:lang w:val="en-US" w:eastAsia="zh-CN" w:bidi="ar"/>
        </w:rPr>
        <w:t xml:space="preserve"> </w:t>
      </w:r>
      <w:r>
        <w:rPr>
          <w:rFonts w:ascii="宋体" w:eastAsia="宋体" w:hAnsi="宋体" w:cs="宋体" w:hint="eastAsia"/>
          <w:color w:val="auto"/>
          <w:spacing w:val="0"/>
          <w:kern w:val="0"/>
          <w:sz w:val="21"/>
          <w:szCs w:val="21"/>
          <w:highlight w:val="none"/>
          <w:lang w:val="en-US" w:eastAsia="zh-CN" w:bidi="ar"/>
        </w:rPr>
        <w:t>点00分（北京时间）前递交投标文件。</w:t>
      </w:r>
    </w:p>
    <w:p>
      <w:pPr>
        <w:pStyle w:val="NormalWeb"/>
        <w:keepNext w:val="0"/>
        <w:keepLines w:val="0"/>
        <w:widowControl w:val="0"/>
        <w:suppressLineNumbers w:val="0"/>
        <w:snapToGrid w:val="0"/>
        <w:spacing w:before="0" w:beforeAutospacing="0" w:after="0" w:afterAutospacing="0" w:line="360" w:lineRule="auto"/>
        <w:ind w:left="0" w:right="0" w:firstLine="0" w:leftChars="0" w:firstLineChars="0"/>
        <w:jc w:val="left"/>
        <w:rPr>
          <w:rFonts w:ascii="宋体" w:eastAsia="宋体" w:hAnsi="宋体" w:cs="Tahoma" w:hint="eastAsia"/>
          <w:b/>
          <w:bCs/>
          <w:color w:val="auto"/>
          <w:spacing w:val="0"/>
          <w:sz w:val="21"/>
          <w:szCs w:val="21"/>
          <w:highlight w:val="none"/>
        </w:rPr>
      </w:pPr>
      <w:r>
        <w:rPr>
          <w:rFonts w:ascii="宋体" w:eastAsia="宋体" w:hAnsi="宋体" w:cs="宋体" w:hint="eastAsia"/>
          <w:b/>
          <w:bCs/>
          <w:color w:val="auto"/>
          <w:spacing w:val="0"/>
          <w:kern w:val="0"/>
          <w:sz w:val="21"/>
          <w:szCs w:val="21"/>
          <w:highlight w:val="none"/>
          <w:lang w:val="en-US" w:eastAsia="zh-CN" w:bidi="ar"/>
        </w:rPr>
        <w:t>一、项目基本情况</w:t>
      </w:r>
    </w:p>
    <w:p>
      <w:pPr>
        <w:pStyle w:val="NormalWeb"/>
        <w:keepNext w:val="0"/>
        <w:keepLines w:val="0"/>
        <w:widowControl w:val="0"/>
        <w:suppressLineNumbers w:val="0"/>
        <w:snapToGrid w:val="0"/>
        <w:spacing w:before="0" w:beforeAutospacing="0" w:after="0" w:afterAutospacing="0" w:line="360" w:lineRule="auto"/>
        <w:ind w:left="0" w:right="0" w:firstLine="0" w:leftChars="0" w:firstLineChars="0"/>
        <w:jc w:val="left"/>
        <w:rPr>
          <w:rFonts w:ascii="宋体" w:eastAsia="宋体" w:hAnsi="宋体" w:cs="宋体" w:hint="eastAsia"/>
          <w:color w:val="auto"/>
          <w:spacing w:val="0"/>
          <w:kern w:val="0"/>
          <w:sz w:val="21"/>
          <w:szCs w:val="21"/>
          <w:highlight w:val="none"/>
          <w:lang w:val="en-US" w:eastAsia="zh-CN" w:bidi="ar"/>
        </w:rPr>
      </w:pPr>
      <w:r>
        <w:rPr>
          <w:rFonts w:ascii="宋体" w:eastAsia="宋体" w:hAnsi="宋体" w:cs="宋体" w:hint="eastAsia"/>
          <w:color w:val="auto"/>
          <w:spacing w:val="0"/>
          <w:kern w:val="0"/>
          <w:sz w:val="21"/>
          <w:szCs w:val="21"/>
          <w:highlight w:val="none"/>
          <w:lang w:val="en-US" w:eastAsia="zh-CN" w:bidi="ar"/>
        </w:rPr>
        <w:t xml:space="preserve">采购计划编号：GDYNMZ20220801 </w:t>
      </w:r>
    </w:p>
    <w:p>
      <w:pPr>
        <w:pStyle w:val="NormalWeb"/>
        <w:keepNext w:val="0"/>
        <w:keepLines w:val="0"/>
        <w:widowControl w:val="0"/>
        <w:suppressLineNumbers w:val="0"/>
        <w:snapToGrid w:val="0"/>
        <w:spacing w:before="0" w:beforeAutospacing="0" w:after="0" w:afterAutospacing="0" w:line="360" w:lineRule="auto"/>
        <w:ind w:left="0" w:right="0" w:firstLine="0" w:leftChars="0" w:firstLineChars="0"/>
        <w:jc w:val="left"/>
        <w:rPr>
          <w:rFonts w:ascii="宋体" w:eastAsia="宋体" w:hAnsi="宋体" w:cs="Tahoma" w:hint="eastAsia"/>
          <w:color w:val="auto"/>
          <w:spacing w:val="0"/>
          <w:sz w:val="21"/>
          <w:szCs w:val="21"/>
          <w:highlight w:val="none"/>
        </w:rPr>
      </w:pPr>
      <w:r>
        <w:rPr>
          <w:rFonts w:ascii="宋体" w:eastAsia="宋体" w:hAnsi="宋体" w:cs="宋体" w:hint="eastAsia"/>
          <w:color w:val="auto"/>
          <w:spacing w:val="0"/>
          <w:kern w:val="0"/>
          <w:sz w:val="21"/>
          <w:szCs w:val="21"/>
          <w:highlight w:val="none"/>
          <w:lang w:val="en-US" w:eastAsia="zh-CN" w:bidi="ar"/>
        </w:rPr>
        <w:t>项目编号：</w:t>
      </w:r>
      <w:r>
        <w:rPr>
          <w:rFonts w:ascii="宋体" w:hAnsi="宋体" w:cs="宋体" w:hint="eastAsia"/>
          <w:color w:val="auto"/>
          <w:spacing w:val="0"/>
          <w:kern w:val="0"/>
          <w:sz w:val="21"/>
          <w:szCs w:val="21"/>
          <w:highlight w:val="none"/>
          <w:lang w:val="en-US" w:eastAsia="zh-CN" w:bidi="ar"/>
        </w:rPr>
        <w:t>GDYNMZ20220801</w:t>
      </w:r>
      <w:r>
        <w:rPr>
          <w:rFonts w:cs="宋体" w:hint="eastAsia"/>
          <w:color w:val="auto"/>
          <w:spacing w:val="0"/>
          <w:kern w:val="0"/>
          <w:sz w:val="21"/>
          <w:szCs w:val="21"/>
          <w:highlight w:val="none"/>
          <w:lang w:val="en-US" w:eastAsia="zh-CN" w:bidi="ar"/>
        </w:rPr>
        <w:t xml:space="preserve"> </w:t>
      </w:r>
    </w:p>
    <w:p>
      <w:pPr>
        <w:pStyle w:val="NormalWeb"/>
        <w:keepNext w:val="0"/>
        <w:keepLines w:val="0"/>
        <w:widowControl w:val="0"/>
        <w:suppressLineNumbers w:val="0"/>
        <w:snapToGrid w:val="0"/>
        <w:spacing w:before="0" w:beforeAutospacing="0" w:after="0" w:afterAutospacing="0" w:line="360" w:lineRule="auto"/>
        <w:ind w:left="0" w:right="0" w:firstLine="0" w:leftChars="0" w:firstLineChars="0"/>
        <w:jc w:val="left"/>
        <w:rPr>
          <w:rFonts w:ascii="宋体" w:eastAsia="宋体" w:hAnsi="宋体" w:cs="Tahoma" w:hint="eastAsia"/>
          <w:color w:val="auto"/>
          <w:spacing w:val="0"/>
          <w:kern w:val="0"/>
          <w:sz w:val="21"/>
          <w:szCs w:val="21"/>
          <w:highlight w:val="none"/>
          <w:lang w:val="en-US" w:eastAsia="zh-CN" w:bidi="ar"/>
        </w:rPr>
      </w:pPr>
      <w:r>
        <w:rPr>
          <w:rFonts w:ascii="宋体" w:eastAsia="宋体" w:hAnsi="宋体" w:cs="宋体" w:hint="eastAsia"/>
          <w:color w:val="auto"/>
          <w:spacing w:val="0"/>
          <w:kern w:val="0"/>
          <w:sz w:val="21"/>
          <w:szCs w:val="21"/>
          <w:highlight w:val="none"/>
          <w:lang w:val="en-US" w:eastAsia="zh-CN" w:bidi="ar"/>
        </w:rPr>
        <w:t>项目名称：</w:t>
      </w:r>
      <w:r>
        <w:rPr>
          <w:rFonts w:cs="宋体" w:hint="eastAsia"/>
          <w:color w:val="auto"/>
          <w:spacing w:val="0"/>
          <w:kern w:val="0"/>
          <w:sz w:val="21"/>
          <w:szCs w:val="21"/>
          <w:highlight w:val="none"/>
          <w:lang w:val="en-US" w:eastAsia="zh-CN" w:bidi="ar"/>
        </w:rPr>
        <w:t>兴宁市残疾人康复中心设备器材采购项目</w:t>
      </w:r>
      <w:r>
        <w:rPr>
          <w:rFonts w:ascii="宋体" w:eastAsia="宋体" w:hAnsi="宋体" w:cs="Tahoma" w:hint="eastAsia"/>
          <w:color w:val="auto"/>
          <w:spacing w:val="0"/>
          <w:kern w:val="0"/>
          <w:sz w:val="21"/>
          <w:szCs w:val="21"/>
          <w:highlight w:val="none"/>
          <w:lang w:val="en-US" w:eastAsia="zh-CN" w:bidi="ar"/>
        </w:rPr>
        <w:t xml:space="preserve"> </w:t>
      </w:r>
    </w:p>
    <w:p>
      <w:pPr>
        <w:pStyle w:val="NormalWeb"/>
        <w:keepNext w:val="0"/>
        <w:keepLines w:val="0"/>
        <w:widowControl w:val="0"/>
        <w:suppressLineNumbers w:val="0"/>
        <w:snapToGrid w:val="0"/>
        <w:spacing w:before="0" w:beforeAutospacing="0" w:after="0" w:afterAutospacing="0" w:line="360" w:lineRule="auto"/>
        <w:ind w:left="0" w:right="0" w:firstLine="0" w:leftChars="0" w:firstLineChars="0"/>
        <w:jc w:val="left"/>
        <w:rPr>
          <w:rFonts w:ascii="宋体" w:eastAsia="宋体" w:hAnsi="宋体" w:cs="宋体" w:hint="eastAsia"/>
          <w:color w:val="auto"/>
          <w:spacing w:val="0"/>
          <w:kern w:val="0"/>
          <w:sz w:val="21"/>
          <w:szCs w:val="21"/>
          <w:highlight w:val="none"/>
          <w:lang w:val="en-US" w:eastAsia="zh-CN" w:bidi="ar"/>
        </w:rPr>
      </w:pPr>
      <w:r>
        <w:rPr>
          <w:rFonts w:ascii="宋体" w:eastAsia="宋体" w:hAnsi="宋体" w:cs="宋体" w:hint="eastAsia"/>
          <w:color w:val="auto"/>
          <w:spacing w:val="0"/>
          <w:kern w:val="0"/>
          <w:sz w:val="21"/>
          <w:szCs w:val="21"/>
          <w:highlight w:val="none"/>
          <w:lang w:val="en-US" w:eastAsia="zh-CN" w:bidi="ar"/>
        </w:rPr>
        <w:t>采购方式：公开招标</w:t>
      </w:r>
    </w:p>
    <w:p>
      <w:pPr>
        <w:pStyle w:val="NormalWeb"/>
        <w:keepNext w:val="0"/>
        <w:keepLines w:val="0"/>
        <w:widowControl w:val="0"/>
        <w:suppressLineNumbers w:val="0"/>
        <w:snapToGrid w:val="0"/>
        <w:spacing w:before="0" w:beforeAutospacing="0" w:after="0" w:afterAutospacing="0" w:line="360" w:lineRule="auto"/>
        <w:ind w:left="0" w:right="0" w:firstLine="0" w:leftChars="0" w:firstLineChars="0"/>
        <w:jc w:val="left"/>
        <w:rPr>
          <w:rFonts w:ascii="宋体" w:eastAsia="宋体" w:hAnsi="宋体" w:cs="Tahoma" w:hint="default"/>
          <w:color w:val="auto"/>
          <w:spacing w:val="0"/>
          <w:sz w:val="21"/>
          <w:szCs w:val="21"/>
          <w:highlight w:val="none"/>
          <w:lang w:val="en-US" w:eastAsia="zh-CN"/>
        </w:rPr>
      </w:pPr>
      <w:r>
        <w:rPr>
          <w:rFonts w:ascii="宋体" w:eastAsia="宋体" w:hAnsi="宋体" w:cs="宋体" w:hint="eastAsia"/>
          <w:color w:val="auto"/>
          <w:spacing w:val="0"/>
          <w:kern w:val="0"/>
          <w:sz w:val="21"/>
          <w:szCs w:val="21"/>
          <w:highlight w:val="none"/>
          <w:lang w:val="en-US" w:eastAsia="zh-CN" w:bidi="ar"/>
        </w:rPr>
        <w:t>预算金额：¥367070</w:t>
      </w:r>
      <w:r>
        <w:rPr>
          <w:rFonts w:ascii="宋体" w:hAnsi="宋体" w:cs="宋体" w:hint="eastAsia"/>
          <w:color w:val="auto"/>
          <w:spacing w:val="0"/>
          <w:kern w:val="0"/>
          <w:sz w:val="21"/>
          <w:szCs w:val="21"/>
          <w:highlight w:val="none"/>
          <w:lang w:val="en-US" w:eastAsia="zh-CN" w:bidi="ar"/>
        </w:rPr>
        <w:t>.00</w:t>
      </w:r>
      <w:r>
        <w:rPr>
          <w:rFonts w:ascii="宋体" w:eastAsia="宋体" w:hAnsi="宋体" w:cs="宋体" w:hint="eastAsia"/>
          <w:color w:val="auto"/>
          <w:spacing w:val="0"/>
          <w:kern w:val="0"/>
          <w:sz w:val="21"/>
          <w:szCs w:val="21"/>
          <w:highlight w:val="none"/>
          <w:lang w:val="en-US" w:eastAsia="zh-CN" w:bidi="ar"/>
        </w:rPr>
        <w:t>元</w:t>
      </w:r>
    </w:p>
    <w:p>
      <w:pPr>
        <w:pStyle w:val="NormalWeb"/>
        <w:keepNext w:val="0"/>
        <w:keepLines w:val="0"/>
        <w:widowControl w:val="0"/>
        <w:suppressLineNumbers w:val="0"/>
        <w:snapToGrid w:val="0"/>
        <w:spacing w:before="0" w:beforeAutospacing="0" w:after="0" w:afterAutospacing="0" w:line="360" w:lineRule="auto"/>
        <w:ind w:left="0" w:right="0" w:firstLine="0" w:leftChars="0" w:firstLineChars="0"/>
        <w:jc w:val="left"/>
        <w:rPr>
          <w:rFonts w:ascii="宋体" w:eastAsia="宋体" w:hAnsi="宋体" w:cs="Tahoma" w:hint="eastAsia"/>
          <w:color w:val="auto"/>
          <w:spacing w:val="0"/>
          <w:sz w:val="21"/>
          <w:szCs w:val="21"/>
          <w:highlight w:val="none"/>
        </w:rPr>
      </w:pPr>
      <w:r>
        <w:rPr>
          <w:rFonts w:ascii="宋体" w:eastAsia="宋体" w:hAnsi="宋体" w:cs="宋体" w:hint="eastAsia"/>
          <w:color w:val="auto"/>
          <w:spacing w:val="0"/>
          <w:kern w:val="0"/>
          <w:sz w:val="21"/>
          <w:szCs w:val="21"/>
          <w:highlight w:val="none"/>
          <w:lang w:val="en-US" w:eastAsia="zh-CN" w:bidi="ar"/>
        </w:rPr>
        <w:t>最高限价（如有）：367070</w:t>
      </w:r>
      <w:r>
        <w:rPr>
          <w:rFonts w:ascii="宋体" w:hAnsi="宋体" w:cs="宋体" w:hint="eastAsia"/>
          <w:color w:val="auto"/>
          <w:spacing w:val="0"/>
          <w:kern w:val="0"/>
          <w:sz w:val="21"/>
          <w:szCs w:val="21"/>
          <w:highlight w:val="none"/>
          <w:lang w:val="en-US" w:eastAsia="zh-CN" w:bidi="ar"/>
        </w:rPr>
        <w:t>.00</w:t>
      </w:r>
      <w:r>
        <w:rPr>
          <w:rFonts w:ascii="宋体" w:eastAsia="宋体" w:hAnsi="宋体" w:cs="宋体" w:hint="eastAsia"/>
          <w:color w:val="auto"/>
          <w:spacing w:val="0"/>
          <w:kern w:val="0"/>
          <w:sz w:val="21"/>
          <w:szCs w:val="21"/>
          <w:highlight w:val="none"/>
          <w:lang w:val="en-US" w:eastAsia="zh-CN" w:bidi="ar"/>
        </w:rPr>
        <w:t>元</w:t>
      </w:r>
    </w:p>
    <w:p>
      <w:pPr>
        <w:pStyle w:val="NormalWeb"/>
        <w:keepNext w:val="0"/>
        <w:keepLines w:val="0"/>
        <w:widowControl w:val="0"/>
        <w:suppressLineNumbers w:val="0"/>
        <w:snapToGrid w:val="0"/>
        <w:spacing w:before="0" w:beforeAutospacing="0" w:after="0" w:afterAutospacing="0" w:line="360" w:lineRule="auto"/>
        <w:ind w:left="0" w:right="0" w:firstLine="0" w:leftChars="0" w:firstLineChars="0"/>
        <w:jc w:val="left"/>
        <w:rPr>
          <w:rFonts w:ascii="宋体" w:eastAsia="宋体" w:hAnsi="宋体" w:cs="宋体" w:hint="eastAsia"/>
          <w:color w:val="auto"/>
          <w:spacing w:val="0"/>
          <w:kern w:val="0"/>
          <w:sz w:val="21"/>
          <w:szCs w:val="21"/>
          <w:highlight w:val="none"/>
          <w:lang w:val="en-US" w:eastAsia="zh-CN" w:bidi="ar"/>
        </w:rPr>
      </w:pPr>
      <w:r>
        <w:rPr>
          <w:rFonts w:ascii="宋体" w:eastAsia="宋体" w:hAnsi="宋体" w:cs="宋体" w:hint="eastAsia"/>
          <w:color w:val="auto"/>
          <w:spacing w:val="0"/>
          <w:kern w:val="0"/>
          <w:sz w:val="21"/>
          <w:szCs w:val="21"/>
          <w:highlight w:val="none"/>
          <w:lang w:val="en-US" w:eastAsia="zh-CN" w:bidi="ar"/>
        </w:rPr>
        <w:t>采购需求：</w:t>
      </w:r>
    </w:p>
    <w:p>
      <w:pPr>
        <w:pStyle w:val="NormalWeb"/>
        <w:keepNext w:val="0"/>
        <w:keepLines w:val="0"/>
        <w:widowControl w:val="0"/>
        <w:suppressLineNumbers w:val="0"/>
        <w:snapToGrid w:val="0"/>
        <w:spacing w:before="0" w:beforeAutospacing="0" w:after="0" w:afterAutospacing="0" w:line="360" w:lineRule="auto"/>
        <w:ind w:left="0" w:right="0" w:firstLine="0" w:leftChars="0" w:firstLineChars="0"/>
        <w:jc w:val="left"/>
        <w:rPr>
          <w:color w:val="auto"/>
          <w:sz w:val="21"/>
          <w:szCs w:val="21"/>
          <w:highlight w:val="none"/>
        </w:rPr>
      </w:pPr>
      <w:r>
        <w:rPr>
          <w:rFonts w:ascii="宋体" w:eastAsia="宋体" w:hAnsi="宋体" w:cs="宋体" w:hint="eastAsia"/>
          <w:color w:val="auto"/>
          <w:spacing w:val="0"/>
          <w:kern w:val="0"/>
          <w:sz w:val="21"/>
          <w:szCs w:val="21"/>
          <w:highlight w:val="none"/>
          <w:lang w:val="en-US" w:eastAsia="zh-CN" w:bidi="ar"/>
        </w:rPr>
        <w:t>合同</w:t>
      </w:r>
      <w:r>
        <w:rPr>
          <w:color w:val="auto"/>
          <w:sz w:val="21"/>
          <w:szCs w:val="21"/>
          <w:highlight w:val="none"/>
        </w:rPr>
        <w:t>包1(</w:t>
      </w:r>
      <w:r>
        <w:rPr>
          <w:rFonts w:ascii="宋体" w:eastAsia="宋体" w:hAnsi="宋体" w:cs="宋体" w:hint="default"/>
          <w:b w:val="0"/>
          <w:bCs w:val="0"/>
          <w:color w:val="auto"/>
          <w:sz w:val="21"/>
          <w:szCs w:val="21"/>
          <w:lang w:val="en-US" w:eastAsia="zh-CN" w:bidi="ar-SA"/>
        </w:rPr>
        <w:t>兴宁市残疾人康复中心设备设施采购</w:t>
      </w:r>
      <w:r>
        <w:rPr>
          <w:color w:val="auto"/>
          <w:sz w:val="21"/>
          <w:szCs w:val="21"/>
          <w:highlight w:val="none"/>
        </w:rPr>
        <w:t>):</w:t>
      </w:r>
    </w:p>
    <w:p>
      <w:pPr>
        <w:pStyle w:val="NormalWeb"/>
        <w:keepNext w:val="0"/>
        <w:keepLines w:val="0"/>
        <w:widowControl/>
        <w:suppressLineNumbers w:val="0"/>
        <w:ind w:left="0" w:firstLine="630"/>
        <w:rPr>
          <w:rFonts w:ascii="宋体" w:eastAsia="宋体" w:hAnsi="宋体" w:cs="宋体" w:hint="eastAsia"/>
          <w:color w:val="auto"/>
          <w:spacing w:val="0"/>
          <w:kern w:val="0"/>
          <w:sz w:val="21"/>
          <w:szCs w:val="21"/>
          <w:highlight w:val="none"/>
          <w:lang w:val="en-US" w:eastAsia="zh-CN" w:bidi="ar"/>
        </w:rPr>
      </w:pPr>
      <w:r>
        <w:rPr>
          <w:color w:val="auto"/>
          <w:sz w:val="21"/>
          <w:szCs w:val="21"/>
          <w:highlight w:val="none"/>
        </w:rPr>
        <w:t>合同包预算金额：</w:t>
      </w:r>
      <w:r>
        <w:rPr>
          <w:rFonts w:hint="eastAsia"/>
          <w:color w:val="auto"/>
          <w:sz w:val="21"/>
          <w:szCs w:val="21"/>
          <w:highlight w:val="none"/>
          <w:lang w:val="en-US" w:eastAsia="zh-CN"/>
        </w:rPr>
        <w:t>367070.00</w:t>
      </w:r>
      <w:r>
        <w:rPr>
          <w:color w:val="auto"/>
          <w:sz w:val="21"/>
          <w:szCs w:val="21"/>
          <w:highlight w:val="none"/>
        </w:rPr>
        <w:t>元</w:t>
      </w:r>
    </w:p>
    <w:tbl>
      <w:tblPr>
        <w:tblStyle w:val="TableNormal"/>
        <w:tblW w:w="5000" w:type="pct"/>
        <w:tblCellSpacing w:w="0" w:type="dxa"/>
        <w:tblInd w:w="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
      <w:tblGrid>
        <w:gridCol w:w="669"/>
        <w:gridCol w:w="1783"/>
        <w:gridCol w:w="1783"/>
        <w:gridCol w:w="846"/>
        <w:gridCol w:w="1382"/>
        <w:gridCol w:w="1357"/>
        <w:gridCol w:w="1357"/>
      </w:tblGrid>
      <w:tr>
        <w:tblPrEx>
          <w:tblW w:w="5000" w:type="pct"/>
          <w:tblCellSpacing w:w="0" w:type="dxa"/>
          <w:tblInd w:w="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Ex>
        <w:trPr>
          <w:tblHeader/>
          <w:tblCellSpacing w:w="0" w:type="dxa"/>
        </w:trPr>
        <w:tc>
          <w:tcPr>
            <w:tcW w:w="669" w:type="dxa"/>
            <w:noWrap w:val="0"/>
            <w:vAlign w:val="center"/>
          </w:tcPr>
          <w:p>
            <w:pPr>
              <w:keepNext w:val="0"/>
              <w:keepLines w:val="0"/>
              <w:widowControl/>
              <w:suppressLineNumbers w:val="0"/>
              <w:jc w:val="center"/>
              <w:rPr>
                <w:b/>
                <w:bCs/>
                <w:color w:val="auto"/>
                <w:szCs w:val="21"/>
                <w:highlight w:val="none"/>
              </w:rPr>
            </w:pPr>
            <w:r>
              <w:rPr>
                <w:rFonts w:ascii="宋体" w:eastAsia="宋体" w:hAnsi="宋体" w:cs="宋体"/>
                <w:b/>
                <w:bCs/>
                <w:color w:val="auto"/>
                <w:kern w:val="0"/>
                <w:sz w:val="21"/>
                <w:szCs w:val="21"/>
                <w:highlight w:val="none"/>
                <w:lang w:val="en-US" w:eastAsia="zh-CN" w:bidi="ar"/>
              </w:rPr>
              <w:t>品目号</w:t>
            </w:r>
          </w:p>
        </w:tc>
        <w:tc>
          <w:tcPr>
            <w:tcW w:w="1783" w:type="dxa"/>
            <w:noWrap w:val="0"/>
            <w:vAlign w:val="center"/>
          </w:tcPr>
          <w:p>
            <w:pPr>
              <w:keepNext w:val="0"/>
              <w:keepLines w:val="0"/>
              <w:widowControl/>
              <w:suppressLineNumbers w:val="0"/>
              <w:jc w:val="center"/>
              <w:rPr>
                <w:b/>
                <w:bCs/>
                <w:color w:val="auto"/>
                <w:szCs w:val="21"/>
                <w:highlight w:val="none"/>
              </w:rPr>
            </w:pPr>
            <w:r>
              <w:rPr>
                <w:rFonts w:ascii="宋体" w:eastAsia="宋体" w:hAnsi="宋体" w:cs="宋体"/>
                <w:b/>
                <w:bCs/>
                <w:color w:val="auto"/>
                <w:kern w:val="0"/>
                <w:sz w:val="21"/>
                <w:szCs w:val="21"/>
                <w:highlight w:val="none"/>
                <w:lang w:val="en-US" w:eastAsia="zh-CN" w:bidi="ar"/>
              </w:rPr>
              <w:t>品目名称</w:t>
            </w:r>
          </w:p>
        </w:tc>
        <w:tc>
          <w:tcPr>
            <w:tcW w:w="1783" w:type="dxa"/>
            <w:noWrap w:val="0"/>
            <w:vAlign w:val="center"/>
          </w:tcPr>
          <w:p>
            <w:pPr>
              <w:keepNext w:val="0"/>
              <w:keepLines w:val="0"/>
              <w:widowControl/>
              <w:suppressLineNumbers w:val="0"/>
              <w:jc w:val="center"/>
              <w:rPr>
                <w:b/>
                <w:bCs/>
                <w:color w:val="auto"/>
                <w:szCs w:val="21"/>
                <w:highlight w:val="none"/>
              </w:rPr>
            </w:pPr>
            <w:r>
              <w:rPr>
                <w:rFonts w:ascii="宋体" w:eastAsia="宋体" w:hAnsi="宋体" w:cs="宋体"/>
                <w:b/>
                <w:bCs/>
                <w:color w:val="auto"/>
                <w:kern w:val="0"/>
                <w:sz w:val="21"/>
                <w:szCs w:val="21"/>
                <w:highlight w:val="none"/>
                <w:lang w:val="en-US" w:eastAsia="zh-CN" w:bidi="ar"/>
              </w:rPr>
              <w:t>采购标的</w:t>
            </w:r>
          </w:p>
        </w:tc>
        <w:tc>
          <w:tcPr>
            <w:tcW w:w="846" w:type="dxa"/>
            <w:noWrap w:val="0"/>
            <w:vAlign w:val="center"/>
          </w:tcPr>
          <w:p>
            <w:pPr>
              <w:keepNext w:val="0"/>
              <w:keepLines w:val="0"/>
              <w:widowControl/>
              <w:suppressLineNumbers w:val="0"/>
              <w:jc w:val="center"/>
              <w:rPr>
                <w:b/>
                <w:bCs/>
                <w:color w:val="auto"/>
                <w:szCs w:val="21"/>
                <w:highlight w:val="none"/>
              </w:rPr>
            </w:pPr>
            <w:r>
              <w:rPr>
                <w:rFonts w:ascii="宋体" w:eastAsia="宋体" w:hAnsi="宋体" w:cs="宋体"/>
                <w:b/>
                <w:bCs/>
                <w:color w:val="auto"/>
                <w:kern w:val="0"/>
                <w:sz w:val="21"/>
                <w:szCs w:val="21"/>
                <w:highlight w:val="none"/>
                <w:lang w:val="en-US" w:eastAsia="zh-CN" w:bidi="ar"/>
              </w:rPr>
              <w:t>数量（单位）</w:t>
            </w:r>
          </w:p>
        </w:tc>
        <w:tc>
          <w:tcPr>
            <w:tcW w:w="1382" w:type="dxa"/>
            <w:noWrap w:val="0"/>
            <w:vAlign w:val="center"/>
          </w:tcPr>
          <w:p>
            <w:pPr>
              <w:keepNext w:val="0"/>
              <w:keepLines w:val="0"/>
              <w:widowControl/>
              <w:suppressLineNumbers w:val="0"/>
              <w:jc w:val="center"/>
              <w:rPr>
                <w:b/>
                <w:bCs/>
                <w:color w:val="auto"/>
                <w:szCs w:val="21"/>
                <w:highlight w:val="none"/>
              </w:rPr>
            </w:pPr>
            <w:r>
              <w:rPr>
                <w:rFonts w:ascii="宋体" w:eastAsia="宋体" w:hAnsi="宋体" w:cs="宋体"/>
                <w:b/>
                <w:bCs/>
                <w:color w:val="auto"/>
                <w:kern w:val="0"/>
                <w:sz w:val="21"/>
                <w:szCs w:val="21"/>
                <w:highlight w:val="none"/>
                <w:lang w:val="en-US" w:eastAsia="zh-CN" w:bidi="ar"/>
              </w:rPr>
              <w:t>技术规格、参数及要求</w:t>
            </w:r>
          </w:p>
        </w:tc>
        <w:tc>
          <w:tcPr>
            <w:tcW w:w="1357" w:type="dxa"/>
            <w:noWrap w:val="0"/>
            <w:vAlign w:val="center"/>
          </w:tcPr>
          <w:p>
            <w:pPr>
              <w:keepNext w:val="0"/>
              <w:keepLines w:val="0"/>
              <w:widowControl/>
              <w:suppressLineNumbers w:val="0"/>
              <w:jc w:val="center"/>
              <w:rPr>
                <w:b/>
                <w:bCs/>
                <w:color w:val="auto"/>
                <w:szCs w:val="21"/>
                <w:highlight w:val="none"/>
              </w:rPr>
            </w:pPr>
            <w:r>
              <w:rPr>
                <w:rFonts w:ascii="宋体" w:eastAsia="宋体" w:hAnsi="宋体" w:cs="宋体"/>
                <w:b/>
                <w:bCs/>
                <w:color w:val="auto"/>
                <w:kern w:val="0"/>
                <w:sz w:val="21"/>
                <w:szCs w:val="21"/>
                <w:highlight w:val="none"/>
                <w:lang w:val="en-US" w:eastAsia="zh-CN" w:bidi="ar"/>
              </w:rPr>
              <w:t>品目预算(元)</w:t>
            </w:r>
          </w:p>
        </w:tc>
        <w:tc>
          <w:tcPr>
            <w:tcW w:w="1357" w:type="dxa"/>
            <w:noWrap w:val="0"/>
            <w:vAlign w:val="center"/>
          </w:tcPr>
          <w:p>
            <w:pPr>
              <w:keepNext w:val="0"/>
              <w:keepLines w:val="0"/>
              <w:widowControl/>
              <w:suppressLineNumbers w:val="0"/>
              <w:jc w:val="center"/>
              <w:rPr>
                <w:b/>
                <w:bCs/>
                <w:color w:val="auto"/>
                <w:szCs w:val="21"/>
                <w:highlight w:val="none"/>
              </w:rPr>
            </w:pPr>
            <w:r>
              <w:rPr>
                <w:rFonts w:ascii="宋体" w:eastAsia="宋体" w:hAnsi="宋体" w:cs="宋体"/>
                <w:b/>
                <w:bCs/>
                <w:color w:val="auto"/>
                <w:kern w:val="0"/>
                <w:sz w:val="21"/>
                <w:szCs w:val="21"/>
                <w:highlight w:val="none"/>
                <w:lang w:val="en-US" w:eastAsia="zh-CN" w:bidi="ar"/>
              </w:rPr>
              <w:t>最高限价(元)</w:t>
            </w:r>
          </w:p>
        </w:tc>
      </w:tr>
      <w:tr>
        <w:tblPrEx>
          <w:tblW w:w="5000" w:type="pct"/>
          <w:tblCellSpacing w:w="0" w:type="dxa"/>
          <w:tblInd w:w="17" w:type="dxa"/>
          <w:tblCellMar>
            <w:top w:w="15" w:type="dxa"/>
            <w:left w:w="15" w:type="dxa"/>
            <w:bottom w:w="15" w:type="dxa"/>
            <w:right w:w="15" w:type="dxa"/>
          </w:tblCellMar>
        </w:tblPrEx>
        <w:trPr>
          <w:tblCellSpacing w:w="0" w:type="dxa"/>
        </w:trPr>
        <w:tc>
          <w:tcPr>
            <w:tcW w:w="669" w:type="dxa"/>
            <w:noWrap w:val="0"/>
            <w:vAlign w:val="center"/>
          </w:tcPr>
          <w:p>
            <w:pPr>
              <w:keepNext w:val="0"/>
              <w:keepLines w:val="0"/>
              <w:widowControl/>
              <w:suppressLineNumbers w:val="0"/>
              <w:jc w:val="center"/>
              <w:rPr>
                <w:rFonts w:ascii="宋体" w:hAnsi="宋体" w:cs="宋体" w:hint="eastAsia"/>
                <w:color w:val="auto"/>
                <w:kern w:val="0"/>
                <w:szCs w:val="21"/>
                <w:highlight w:val="none"/>
                <w:lang w:bidi="ar"/>
              </w:rPr>
            </w:pPr>
            <w:r>
              <w:rPr>
                <w:rFonts w:ascii="宋体" w:eastAsia="宋体" w:hAnsi="宋体" w:cs="宋体" w:hint="eastAsia"/>
                <w:color w:val="auto"/>
                <w:kern w:val="0"/>
                <w:sz w:val="21"/>
                <w:szCs w:val="21"/>
                <w:highlight w:val="none"/>
                <w:lang w:val="en-US" w:eastAsia="zh-CN" w:bidi="ar"/>
              </w:rPr>
              <w:t>1-1</w:t>
            </w:r>
          </w:p>
        </w:tc>
        <w:tc>
          <w:tcPr>
            <w:tcW w:w="1783" w:type="dxa"/>
            <w:noWrap w:val="0"/>
            <w:vAlign w:val="center"/>
          </w:tcPr>
          <w:p>
            <w:pPr>
              <w:keepNext w:val="0"/>
              <w:keepLines w:val="0"/>
              <w:widowControl/>
              <w:suppressLineNumbers w:val="0"/>
              <w:jc w:val="center"/>
              <w:rPr>
                <w:rFonts w:ascii="宋体" w:hAnsi="宋体" w:cs="宋体" w:hint="default"/>
                <w:color w:val="auto"/>
                <w:kern w:val="0"/>
                <w:szCs w:val="21"/>
                <w:highlight w:val="none"/>
                <w:lang w:bidi="ar"/>
              </w:rPr>
            </w:pPr>
            <w:r>
              <w:rPr>
                <w:rFonts w:ascii="宋体" w:hAnsi="宋体" w:cs="宋体" w:hint="eastAsia"/>
                <w:color w:val="auto"/>
                <w:kern w:val="0"/>
                <w:sz w:val="21"/>
                <w:szCs w:val="21"/>
                <w:highlight w:val="none"/>
                <w:lang w:val="en-US" w:eastAsia="zh-CN" w:bidi="ar"/>
              </w:rPr>
              <w:t>其他货物</w:t>
            </w:r>
          </w:p>
        </w:tc>
        <w:tc>
          <w:tcPr>
            <w:tcW w:w="1783" w:type="dxa"/>
            <w:noWrap w:val="0"/>
            <w:vAlign w:val="center"/>
          </w:tcPr>
          <w:p>
            <w:pPr>
              <w:keepNext w:val="0"/>
              <w:keepLines w:val="0"/>
              <w:widowControl/>
              <w:suppressLineNumbers w:val="0"/>
              <w:jc w:val="center"/>
              <w:rPr>
                <w:rFonts w:ascii="宋体" w:hAnsi="宋体" w:cs="宋体" w:hint="default"/>
                <w:b w:val="0"/>
                <w:bCs w:val="0"/>
                <w:color w:val="auto"/>
                <w:szCs w:val="21"/>
              </w:rPr>
            </w:pPr>
            <w:r>
              <w:rPr>
                <w:rFonts w:ascii="宋体" w:eastAsia="宋体" w:hAnsi="宋体" w:cs="宋体" w:hint="default"/>
                <w:b w:val="0"/>
                <w:bCs w:val="0"/>
                <w:color w:val="auto"/>
                <w:sz w:val="21"/>
                <w:szCs w:val="21"/>
                <w:lang w:val="en-US" w:eastAsia="zh-CN" w:bidi="ar-SA"/>
              </w:rPr>
              <w:t>兴宁市残疾人康复中心设备器材采购项目</w:t>
            </w:r>
          </w:p>
        </w:tc>
        <w:tc>
          <w:tcPr>
            <w:tcW w:w="846" w:type="dxa"/>
            <w:noWrap w:val="0"/>
            <w:vAlign w:val="center"/>
          </w:tcPr>
          <w:p>
            <w:pPr>
              <w:keepNext w:val="0"/>
              <w:keepLines w:val="0"/>
              <w:widowControl/>
              <w:suppressLineNumbers w:val="0"/>
              <w:jc w:val="center"/>
              <w:rPr>
                <w:rFonts w:ascii="宋体" w:hAnsi="宋体" w:cs="宋体" w:hint="default"/>
                <w:b w:val="0"/>
                <w:bCs w:val="0"/>
                <w:color w:val="auto"/>
                <w:szCs w:val="21"/>
              </w:rPr>
            </w:pPr>
            <w:r>
              <w:rPr>
                <w:rFonts w:ascii="宋体" w:hAnsi="宋体" w:cs="宋体" w:hint="eastAsia"/>
                <w:b w:val="0"/>
                <w:bCs w:val="0"/>
                <w:color w:val="auto"/>
                <w:sz w:val="21"/>
                <w:szCs w:val="21"/>
                <w:lang w:val="en-US" w:eastAsia="zh-CN" w:bidi="ar-SA"/>
              </w:rPr>
              <w:t>一批</w:t>
            </w:r>
          </w:p>
        </w:tc>
        <w:tc>
          <w:tcPr>
            <w:tcW w:w="1382" w:type="dxa"/>
            <w:noWrap w:val="0"/>
            <w:vAlign w:val="center"/>
          </w:tcPr>
          <w:p>
            <w:pPr>
              <w:keepNext w:val="0"/>
              <w:keepLines w:val="0"/>
              <w:widowControl/>
              <w:suppressLineNumbers w:val="0"/>
              <w:jc w:val="center"/>
              <w:rPr>
                <w:rFonts w:ascii="宋体" w:hAnsi="宋体" w:cs="宋体" w:hint="default"/>
                <w:b w:val="0"/>
                <w:bCs w:val="0"/>
                <w:color w:val="auto"/>
                <w:szCs w:val="21"/>
              </w:rPr>
            </w:pPr>
            <w:r>
              <w:rPr>
                <w:rFonts w:ascii="宋体" w:eastAsia="宋体" w:hAnsi="宋体" w:cs="宋体" w:hint="eastAsia"/>
                <w:b w:val="0"/>
                <w:bCs w:val="0"/>
                <w:color w:val="auto"/>
                <w:sz w:val="21"/>
                <w:szCs w:val="21"/>
                <w:lang w:val="en-US" w:eastAsia="zh-CN" w:bidi="ar-SA"/>
              </w:rPr>
              <w:t>详见</w:t>
            </w:r>
            <w:r>
              <w:rPr>
                <w:rFonts w:ascii="宋体" w:hAnsi="宋体" w:cs="宋体" w:hint="eastAsia"/>
                <w:b w:val="0"/>
                <w:bCs w:val="0"/>
                <w:color w:val="auto"/>
                <w:sz w:val="21"/>
                <w:szCs w:val="21"/>
                <w:lang w:val="en-US" w:eastAsia="zh-CN" w:bidi="ar-SA"/>
              </w:rPr>
              <w:t>项目内容技术要求</w:t>
            </w:r>
          </w:p>
        </w:tc>
        <w:tc>
          <w:tcPr>
            <w:tcW w:w="1357" w:type="dxa"/>
            <w:noWrap w:val="0"/>
            <w:vAlign w:val="center"/>
          </w:tcPr>
          <w:p>
            <w:pPr>
              <w:keepNext w:val="0"/>
              <w:keepLines w:val="0"/>
              <w:widowControl/>
              <w:suppressLineNumbers w:val="0"/>
              <w:jc w:val="center"/>
              <w:rPr>
                <w:rFonts w:ascii="宋体" w:hAnsi="宋体" w:cs="宋体" w:hint="default"/>
                <w:b w:val="0"/>
                <w:bCs w:val="0"/>
                <w:color w:val="auto"/>
                <w:szCs w:val="21"/>
              </w:rPr>
            </w:pPr>
            <w:r>
              <w:rPr>
                <w:rFonts w:ascii="宋体" w:eastAsia="宋体" w:hAnsi="宋体" w:cs="宋体" w:hint="eastAsia"/>
                <w:color w:val="auto"/>
                <w:spacing w:val="0"/>
                <w:kern w:val="0"/>
                <w:sz w:val="21"/>
                <w:szCs w:val="21"/>
                <w:highlight w:val="none"/>
                <w:lang w:val="en-US" w:eastAsia="zh-CN" w:bidi="ar"/>
              </w:rPr>
              <w:t>367070</w:t>
            </w:r>
            <w:r>
              <w:rPr>
                <w:rFonts w:ascii="宋体" w:hAnsi="宋体" w:cs="宋体" w:hint="eastAsia"/>
                <w:color w:val="auto"/>
                <w:spacing w:val="0"/>
                <w:kern w:val="0"/>
                <w:sz w:val="21"/>
                <w:szCs w:val="21"/>
                <w:highlight w:val="none"/>
                <w:lang w:val="en-US" w:eastAsia="zh-CN" w:bidi="ar"/>
              </w:rPr>
              <w:t>.00</w:t>
            </w:r>
          </w:p>
        </w:tc>
        <w:tc>
          <w:tcPr>
            <w:tcW w:w="1357" w:type="dxa"/>
            <w:noWrap w:val="0"/>
            <w:vAlign w:val="center"/>
          </w:tcPr>
          <w:p>
            <w:pPr>
              <w:keepNext w:val="0"/>
              <w:keepLines w:val="0"/>
              <w:widowControl/>
              <w:suppressLineNumbers w:val="0"/>
              <w:jc w:val="center"/>
              <w:rPr>
                <w:rFonts w:ascii="宋体" w:hAnsi="宋体" w:cs="宋体" w:hint="default"/>
                <w:b w:val="0"/>
                <w:bCs w:val="0"/>
                <w:color w:val="auto"/>
                <w:szCs w:val="21"/>
              </w:rPr>
            </w:pPr>
            <w:r>
              <w:rPr>
                <w:rFonts w:ascii="宋体" w:eastAsia="宋体" w:hAnsi="宋体" w:cs="宋体" w:hint="eastAsia"/>
                <w:color w:val="auto"/>
                <w:spacing w:val="0"/>
                <w:kern w:val="0"/>
                <w:sz w:val="21"/>
                <w:szCs w:val="21"/>
                <w:highlight w:val="none"/>
                <w:lang w:val="en-US" w:eastAsia="zh-CN" w:bidi="ar"/>
              </w:rPr>
              <w:t>367070</w:t>
            </w:r>
            <w:r>
              <w:rPr>
                <w:rFonts w:ascii="宋体" w:hAnsi="宋体" w:cs="宋体" w:hint="eastAsia"/>
                <w:color w:val="auto"/>
                <w:spacing w:val="0"/>
                <w:kern w:val="0"/>
                <w:sz w:val="21"/>
                <w:szCs w:val="21"/>
                <w:highlight w:val="none"/>
                <w:lang w:val="en-US" w:eastAsia="zh-CN" w:bidi="ar"/>
              </w:rPr>
              <w:t>.00</w:t>
            </w:r>
          </w:p>
        </w:tc>
      </w:tr>
    </w:tbl>
    <w:p>
      <w:pPr>
        <w:pStyle w:val="NormalWeb"/>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ascii="宋体" w:eastAsia="宋体" w:hAnsi="宋体" w:cs="宋体" w:hint="eastAsia"/>
          <w:b w:val="0"/>
          <w:bCs w:val="0"/>
          <w:color w:val="auto"/>
          <w:sz w:val="21"/>
          <w:szCs w:val="21"/>
          <w:lang w:val="en-US" w:eastAsia="zh-CN" w:bidi="ar-SA"/>
        </w:rPr>
      </w:pPr>
      <w:r>
        <w:rPr>
          <w:rFonts w:ascii="宋体" w:eastAsia="宋体" w:hAnsi="宋体" w:cs="宋体" w:hint="eastAsia"/>
          <w:b w:val="0"/>
          <w:bCs w:val="0"/>
          <w:color w:val="auto"/>
          <w:sz w:val="21"/>
          <w:szCs w:val="21"/>
          <w:lang w:val="en-US" w:eastAsia="zh-CN" w:bidi="ar-SA"/>
        </w:rPr>
        <w:t>本合同包不接受联合体投标</w:t>
      </w:r>
    </w:p>
    <w:p>
      <w:pPr>
        <w:pStyle w:val="NormalWeb"/>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ascii="宋体" w:eastAsia="宋体" w:hAnsi="宋体" w:cs="宋体" w:hint="eastAsia"/>
          <w:b w:val="0"/>
          <w:bCs w:val="0"/>
          <w:color w:val="auto"/>
          <w:sz w:val="21"/>
          <w:szCs w:val="21"/>
          <w:lang w:val="en-US" w:eastAsia="zh-CN" w:bidi="ar-SA"/>
        </w:rPr>
      </w:pPr>
      <w:r>
        <w:rPr>
          <w:color w:val="auto"/>
          <w:sz w:val="21"/>
          <w:szCs w:val="21"/>
          <w:highlight w:val="none"/>
        </w:rPr>
        <w:t>合同</w:t>
      </w:r>
      <w:r>
        <w:rPr>
          <w:rFonts w:ascii="宋体" w:eastAsia="宋体" w:hAnsi="宋体" w:cs="宋体" w:hint="eastAsia"/>
          <w:b w:val="0"/>
          <w:bCs w:val="0"/>
          <w:color w:val="auto"/>
          <w:sz w:val="21"/>
          <w:szCs w:val="21"/>
          <w:lang w:val="en-US" w:eastAsia="zh-CN" w:bidi="ar-SA"/>
        </w:rPr>
        <w:t>履行期限：合同所约定的全部义务履行完毕之日止</w:t>
      </w:r>
    </w:p>
    <w:p>
      <w:pPr>
        <w:pStyle w:val="NormalWeb"/>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ascii="宋体" w:eastAsia="宋体" w:hAnsi="宋体" w:cs="宋体" w:hint="eastAsia"/>
          <w:b w:val="0"/>
          <w:bCs w:val="0"/>
          <w:color w:val="auto"/>
          <w:sz w:val="21"/>
          <w:szCs w:val="21"/>
          <w:lang w:val="en-US" w:eastAsia="zh-CN" w:bidi="ar-SA"/>
        </w:rPr>
      </w:pPr>
    </w:p>
    <w:p>
      <w:pPr>
        <w:pStyle w:val="NormalWeb"/>
        <w:keepNext w:val="0"/>
        <w:keepLines w:val="0"/>
        <w:widowControl/>
        <w:suppressLineNumbers w:val="0"/>
        <w:rPr>
          <w:rFonts w:ascii="宋体" w:eastAsia="宋体" w:hAnsi="宋体" w:cs="宋体" w:hint="eastAsia"/>
          <w:b w:val="0"/>
          <w:bCs w:val="0"/>
          <w:color w:val="auto"/>
          <w:sz w:val="21"/>
          <w:szCs w:val="21"/>
          <w:lang w:val="en-US" w:eastAsia="zh-CN" w:bidi="ar-SA"/>
        </w:rPr>
        <w:sectPr>
          <w:headerReference w:type="default" r:id="rId14"/>
          <w:footerReference w:type="default" r:id="rId15"/>
          <w:headerReference w:type="first" r:id="rId16"/>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2" w:chapStyle="1" w:chapSep="enDash"/>
          <w:cols w:num="1" w:space="720"/>
          <w:titlePg w:val="0"/>
          <w:rtlGutter w:val="0"/>
          <w:docGrid w:linePitch="312" w:charSpace="0"/>
        </w:sectPr>
      </w:pPr>
    </w:p>
    <w:p>
      <w:pPr>
        <w:tabs>
          <w:tab w:val="left" w:pos="7740"/>
        </w:tabs>
        <w:autoSpaceDE w:val="0"/>
        <w:autoSpaceDN w:val="0"/>
        <w:adjustRightInd w:val="0"/>
        <w:snapToGrid w:val="0"/>
        <w:spacing w:line="360" w:lineRule="auto"/>
        <w:rPr>
          <w:rFonts w:ascii="宋体" w:hAnsi="宋体" w:cs="宋体" w:hint="eastAsia"/>
          <w:b/>
          <w:color w:val="auto"/>
          <w:sz w:val="24"/>
          <w:szCs w:val="24"/>
          <w:highlight w:val="none"/>
        </w:rPr>
      </w:pPr>
      <w:r>
        <w:rPr>
          <w:rFonts w:ascii="宋体" w:eastAsia="宋体" w:hAnsi="宋体" w:cs="宋体" w:hint="eastAsia"/>
          <w:b/>
          <w:color w:val="auto"/>
          <w:sz w:val="24"/>
          <w:szCs w:val="24"/>
          <w:highlight w:val="none"/>
          <w:lang w:eastAsia="zh-CN"/>
        </w:rPr>
        <w:t>二</w:t>
      </w:r>
      <w:r>
        <w:rPr>
          <w:rFonts w:ascii="宋体" w:eastAsia="宋体" w:hAnsi="宋体" w:cs="宋体" w:hint="eastAsia"/>
          <w:b/>
          <w:color w:val="auto"/>
          <w:sz w:val="24"/>
          <w:szCs w:val="24"/>
          <w:highlight w:val="none"/>
        </w:rPr>
        <w:t>、合格投标人资格：</w:t>
      </w:r>
    </w:p>
    <w:p>
      <w:pPr>
        <w:pStyle w:val="NormalWeb"/>
        <w:keepNext w:val="0"/>
        <w:keepLines w:val="0"/>
        <w:pageBreakBefore w:val="0"/>
        <w:widowControl/>
        <w:suppressLineNumbers w:val="0"/>
        <w:kinsoku/>
        <w:wordWrap/>
        <w:overflowPunct/>
        <w:topLinePunct w:val="0"/>
        <w:autoSpaceDE/>
        <w:autoSpaceDN/>
        <w:bidi w:val="0"/>
        <w:adjustRightInd/>
        <w:spacing w:line="360" w:lineRule="auto"/>
        <w:textAlignment w:val="auto"/>
        <w:rPr>
          <w:rFonts w:ascii="宋体" w:eastAsia="宋体" w:hAnsi="宋体" w:cs="宋体" w:hint="eastAsia"/>
          <w:b/>
          <w:bCs/>
          <w:color w:val="auto"/>
          <w:sz w:val="21"/>
          <w:szCs w:val="21"/>
        </w:rPr>
      </w:pPr>
      <w:r>
        <w:rPr>
          <w:rFonts w:ascii="宋体" w:eastAsia="宋体" w:hAnsi="宋体" w:cs="宋体" w:hint="eastAsia"/>
          <w:b/>
          <w:bCs/>
          <w:color w:val="auto"/>
          <w:sz w:val="21"/>
          <w:szCs w:val="21"/>
        </w:rPr>
        <w:t>1.投标供应商应具备《政府采购法》第二十二条规定的条件，提供下列材料：</w:t>
      </w:r>
    </w:p>
    <w:p>
      <w:pPr>
        <w:keepNext w:val="0"/>
        <w:keepLines w:val="0"/>
        <w:pageBreakBefore w:val="0"/>
        <w:kinsoku/>
        <w:wordWrap/>
        <w:overflowPunct/>
        <w:topLinePunct w:val="0"/>
        <w:autoSpaceDE/>
        <w:autoSpaceDN/>
        <w:bidi w:val="0"/>
        <w:adjustRightInd/>
        <w:spacing w:line="360" w:lineRule="auto"/>
        <w:textAlignment w:val="auto"/>
        <w:rPr>
          <w:rFonts w:ascii="宋体" w:hAnsi="宋体" w:cs="宋体" w:hint="eastAsia"/>
          <w:b w:val="0"/>
          <w:bCs w:val="0"/>
          <w:color w:val="auto"/>
          <w:szCs w:val="21"/>
        </w:rPr>
      </w:pPr>
      <w:r>
        <w:rPr>
          <w:rFonts w:ascii="宋体" w:eastAsia="宋体" w:hAnsi="宋体" w:cs="宋体" w:hint="eastAsia"/>
          <w:b w:val="0"/>
          <w:bCs w:val="0"/>
          <w:color w:val="auto"/>
          <w:sz w:val="21"/>
          <w:szCs w:val="21"/>
        </w:rPr>
        <w:t>1）具有独立承担民事责任的能力：在中华人民共和国境内注册的法人或其他组织或自然人，提交有效的营业执照（或事业法人登记证或身份证等相关证明） 副本复印件。分支机构投标的，须提供总公司和分公司营业执照副本复印件，总公司出具给分支机构的授权书。</w:t>
      </w:r>
      <w:r>
        <w:rPr>
          <w:rFonts w:ascii="宋体" w:hAnsi="宋体" w:cs="宋体" w:hint="eastAsia"/>
          <w:b w:val="0"/>
          <w:bCs w:val="0"/>
          <w:color w:val="auto"/>
          <w:sz w:val="21"/>
          <w:szCs w:val="21"/>
          <w:lang w:eastAsia="zh-CN"/>
        </w:rPr>
        <w:t>（</w:t>
      </w:r>
      <w:r>
        <w:rPr>
          <w:rFonts w:ascii="宋体" w:eastAsia="宋体" w:hAnsi="宋体" w:cs="宋体" w:hint="eastAsia"/>
          <w:b w:val="0"/>
          <w:bCs w:val="0"/>
          <w:color w:val="auto"/>
          <w:sz w:val="21"/>
          <w:szCs w:val="21"/>
        </w:rPr>
        <w:t>复印件</w:t>
      </w:r>
      <w:r>
        <w:rPr>
          <w:rFonts w:ascii="宋体" w:hAnsi="宋体" w:cs="宋体" w:hint="eastAsia"/>
          <w:b w:val="0"/>
          <w:bCs w:val="0"/>
          <w:color w:val="auto"/>
          <w:sz w:val="21"/>
          <w:szCs w:val="21"/>
          <w:lang w:eastAsia="zh-CN"/>
        </w:rPr>
        <w:t>加盖公章）</w:t>
      </w:r>
    </w:p>
    <w:p>
      <w:pPr>
        <w:keepNext w:val="0"/>
        <w:keepLines w:val="0"/>
        <w:pageBreakBefore w:val="0"/>
        <w:kinsoku/>
        <w:wordWrap/>
        <w:overflowPunct/>
        <w:topLinePunct w:val="0"/>
        <w:autoSpaceDE/>
        <w:autoSpaceDN/>
        <w:bidi w:val="0"/>
        <w:adjustRightInd/>
        <w:spacing w:line="360" w:lineRule="auto"/>
        <w:textAlignment w:val="auto"/>
        <w:rPr>
          <w:rFonts w:ascii="宋体" w:hAnsi="宋体" w:cs="宋体" w:hint="eastAsia"/>
          <w:b w:val="0"/>
          <w:bCs w:val="0"/>
          <w:color w:val="auto"/>
          <w:szCs w:val="21"/>
        </w:rPr>
      </w:pPr>
      <w:r>
        <w:rPr>
          <w:rFonts w:ascii="宋体" w:eastAsia="宋体" w:hAnsi="宋体" w:cs="宋体" w:hint="eastAsia"/>
          <w:b w:val="0"/>
          <w:bCs w:val="0"/>
          <w:color w:val="auto"/>
          <w:sz w:val="21"/>
          <w:szCs w:val="21"/>
        </w:rPr>
        <w:t>2）有依法缴纳税收和社会保障资金的良好记录：提供投标截止日前6个月内任意1个月依法缴纳税收和社会保障资金的相关材料。如依法免税或不需要缴纳社会保障资金的，提供相应证明材料。</w:t>
      </w:r>
    </w:p>
    <w:p>
      <w:pPr>
        <w:keepNext w:val="0"/>
        <w:keepLines w:val="0"/>
        <w:pageBreakBefore w:val="0"/>
        <w:kinsoku/>
        <w:wordWrap/>
        <w:overflowPunct/>
        <w:topLinePunct w:val="0"/>
        <w:autoSpaceDE/>
        <w:autoSpaceDN/>
        <w:bidi w:val="0"/>
        <w:adjustRightInd/>
        <w:spacing w:line="360" w:lineRule="auto"/>
        <w:textAlignment w:val="auto"/>
        <w:rPr>
          <w:rFonts w:ascii="宋体" w:hAnsi="宋体" w:cs="宋体" w:hint="eastAsia"/>
          <w:b w:val="0"/>
          <w:bCs w:val="0"/>
          <w:color w:val="auto"/>
          <w:szCs w:val="21"/>
        </w:rPr>
      </w:pPr>
      <w:r>
        <w:rPr>
          <w:rFonts w:ascii="宋体" w:eastAsia="宋体" w:hAnsi="宋体" w:cs="宋体" w:hint="eastAsia"/>
          <w:b w:val="0"/>
          <w:bCs w:val="0"/>
          <w:color w:val="auto"/>
          <w:sz w:val="21"/>
          <w:szCs w:val="21"/>
        </w:rPr>
        <w:t>3）具有良好的商业信誉和健全的财务会计制度：</w:t>
      </w:r>
      <w:r>
        <w:rPr>
          <w:rFonts w:ascii="宋体" w:eastAsia="宋体" w:hAnsi="宋体" w:cs="Times New Roman"/>
          <w:color w:val="auto"/>
          <w:sz w:val="21"/>
          <w:szCs w:val="21"/>
        </w:rPr>
        <w:t>供应商必须具有良好的商业信誉和健全的财务会计制度（提供</w:t>
      </w:r>
      <w:r>
        <w:rPr>
          <w:rFonts w:ascii="宋体" w:hAnsi="宋体" w:cs="Times New Roman" w:hint="eastAsia"/>
          <w:color w:val="auto"/>
          <w:sz w:val="21"/>
          <w:szCs w:val="21"/>
          <w:lang w:val="en-US" w:eastAsia="zh-CN"/>
        </w:rPr>
        <w:t>2020年度或</w:t>
      </w:r>
      <w:r>
        <w:rPr>
          <w:rFonts w:ascii="宋体" w:eastAsia="宋体" w:hAnsi="宋体" w:cs="Times New Roman"/>
          <w:color w:val="auto"/>
          <w:sz w:val="21"/>
          <w:szCs w:val="21"/>
        </w:rPr>
        <w:t>202</w:t>
      </w:r>
      <w:r>
        <w:rPr>
          <w:rFonts w:ascii="宋体" w:hAnsi="宋体" w:cs="Times New Roman" w:hint="eastAsia"/>
          <w:color w:val="auto"/>
          <w:sz w:val="21"/>
          <w:szCs w:val="21"/>
          <w:lang w:val="en-US" w:eastAsia="zh-CN"/>
        </w:rPr>
        <w:t>1</w:t>
      </w:r>
      <w:r>
        <w:rPr>
          <w:rFonts w:ascii="宋体" w:eastAsia="宋体" w:hAnsi="宋体" w:cs="Times New Roman"/>
          <w:color w:val="auto"/>
          <w:sz w:val="21"/>
          <w:szCs w:val="21"/>
        </w:rPr>
        <w:t>年度财务状况报</w:t>
      </w:r>
      <w:r>
        <w:rPr>
          <w:rFonts w:ascii="宋体" w:eastAsia="宋体" w:hAnsi="宋体" w:cs="Times New Roman" w:hint="eastAsia"/>
          <w:color w:val="auto"/>
          <w:sz w:val="21"/>
          <w:szCs w:val="21"/>
          <w:lang w:eastAsia="zh-CN"/>
        </w:rPr>
        <w:t>表</w:t>
      </w:r>
      <w:r>
        <w:rPr>
          <w:rFonts w:ascii="宋体" w:eastAsia="宋体" w:hAnsi="宋体" w:cs="Times New Roman"/>
          <w:color w:val="auto"/>
          <w:sz w:val="21"/>
          <w:szCs w:val="21"/>
        </w:rPr>
        <w:t>（财务报</w:t>
      </w:r>
      <w:r>
        <w:rPr>
          <w:rFonts w:ascii="宋体" w:eastAsia="宋体" w:hAnsi="宋体" w:cs="Times New Roman" w:hint="eastAsia"/>
          <w:color w:val="auto"/>
          <w:sz w:val="21"/>
          <w:szCs w:val="21"/>
          <w:lang w:eastAsia="zh-CN"/>
        </w:rPr>
        <w:t>表</w:t>
      </w:r>
      <w:r>
        <w:rPr>
          <w:rFonts w:ascii="宋体" w:eastAsia="宋体" w:hAnsi="宋体" w:cs="Times New Roman"/>
          <w:color w:val="auto"/>
          <w:sz w:val="21"/>
          <w:szCs w:val="21"/>
        </w:rPr>
        <w:t>须包含资产负债表、利润表、现金流量表、）或基本开户行出具的资信证明）</w:t>
      </w:r>
      <w:r>
        <w:rPr>
          <w:rFonts w:ascii="宋体" w:eastAsia="宋体" w:hAnsi="宋体" w:cs="宋体" w:hint="eastAsia"/>
          <w:b w:val="0"/>
          <w:bCs w:val="0"/>
          <w:color w:val="auto"/>
          <w:sz w:val="21"/>
          <w:szCs w:val="21"/>
        </w:rPr>
        <w:t>。</w:t>
      </w:r>
    </w:p>
    <w:p>
      <w:pPr>
        <w:keepNext w:val="0"/>
        <w:keepLines w:val="0"/>
        <w:pageBreakBefore w:val="0"/>
        <w:kinsoku/>
        <w:wordWrap/>
        <w:overflowPunct/>
        <w:topLinePunct w:val="0"/>
        <w:autoSpaceDE/>
        <w:autoSpaceDN/>
        <w:bidi w:val="0"/>
        <w:adjustRightInd/>
        <w:spacing w:line="360" w:lineRule="auto"/>
        <w:textAlignment w:val="auto"/>
        <w:rPr>
          <w:rFonts w:ascii="宋体" w:hAnsi="宋体" w:cs="宋体" w:hint="eastAsia"/>
          <w:b w:val="0"/>
          <w:bCs w:val="0"/>
          <w:color w:val="auto"/>
          <w:szCs w:val="21"/>
        </w:rPr>
      </w:pPr>
      <w:r>
        <w:rPr>
          <w:rFonts w:ascii="宋体" w:eastAsia="宋体" w:hAnsi="宋体" w:cs="宋体" w:hint="eastAsia"/>
          <w:b w:val="0"/>
          <w:bCs w:val="0"/>
          <w:color w:val="auto"/>
          <w:sz w:val="21"/>
          <w:szCs w:val="21"/>
        </w:rPr>
        <w:t>4）</w:t>
      </w:r>
      <w:r>
        <w:rPr>
          <w:rFonts w:ascii="宋体" w:eastAsia="宋体" w:hAnsi="宋体" w:cs="Times New Roman" w:hint="eastAsia"/>
          <w:color w:val="auto"/>
          <w:sz w:val="21"/>
          <w:szCs w:val="21"/>
        </w:rPr>
        <w:t>履行合同所必须的设备和专业技术能力：</w:t>
      </w:r>
      <w:r>
        <w:rPr>
          <w:rFonts w:ascii="宋体" w:hAnsi="宋体" w:cs="Times New Roman" w:hint="eastAsia"/>
          <w:color w:val="auto"/>
          <w:sz w:val="21"/>
          <w:szCs w:val="21"/>
          <w:lang w:eastAsia="zh-CN"/>
        </w:rPr>
        <w:t>投标人</w:t>
      </w:r>
      <w:r>
        <w:rPr>
          <w:rFonts w:ascii="宋体" w:eastAsia="宋体" w:hAnsi="宋体" w:cs="Times New Roman" w:hint="eastAsia"/>
          <w:color w:val="auto"/>
          <w:sz w:val="21"/>
          <w:szCs w:val="21"/>
        </w:rPr>
        <w:t>履行合同所必须的设备和专业技术能力</w:t>
      </w:r>
      <w:r>
        <w:rPr>
          <w:rFonts w:ascii="宋体" w:eastAsia="宋体" w:hAnsi="宋体" w:cs="宋体" w:hint="eastAsia"/>
          <w:b w:val="0"/>
          <w:bCs w:val="0"/>
          <w:color w:val="auto"/>
          <w:sz w:val="21"/>
          <w:szCs w:val="21"/>
        </w:rPr>
        <w:t>（提供承诺函</w:t>
      </w:r>
      <w:r>
        <w:rPr>
          <w:rFonts w:ascii="宋体" w:eastAsia="宋体" w:hAnsi="宋体" w:cs="宋体" w:hint="eastAsia"/>
          <w:b w:val="0"/>
          <w:bCs w:val="0"/>
          <w:color w:val="auto"/>
          <w:sz w:val="21"/>
          <w:szCs w:val="21"/>
          <w:lang w:eastAsia="zh-CN"/>
        </w:rPr>
        <w:t>，格式自拟</w:t>
      </w:r>
      <w:r>
        <w:rPr>
          <w:rFonts w:ascii="宋体" w:eastAsia="宋体" w:hAnsi="宋体" w:cs="宋体" w:hint="eastAsia"/>
          <w:b w:val="0"/>
          <w:bCs w:val="0"/>
          <w:color w:val="auto"/>
          <w:sz w:val="21"/>
          <w:szCs w:val="21"/>
        </w:rPr>
        <w:t>）</w:t>
      </w:r>
      <w:r>
        <w:rPr>
          <w:rFonts w:ascii="宋体" w:eastAsia="宋体" w:hAnsi="宋体" w:cs="Times New Roman" w:hint="eastAsia"/>
          <w:color w:val="auto"/>
          <w:sz w:val="21"/>
          <w:szCs w:val="21"/>
        </w:rPr>
        <w:t>。</w:t>
      </w:r>
    </w:p>
    <w:p>
      <w:pPr>
        <w:keepNext w:val="0"/>
        <w:keepLines w:val="0"/>
        <w:pageBreakBefore w:val="0"/>
        <w:kinsoku/>
        <w:wordWrap/>
        <w:overflowPunct/>
        <w:topLinePunct w:val="0"/>
        <w:autoSpaceDE/>
        <w:autoSpaceDN/>
        <w:bidi w:val="0"/>
        <w:adjustRightInd/>
        <w:spacing w:line="360" w:lineRule="auto"/>
        <w:textAlignment w:val="auto"/>
        <w:rPr>
          <w:rFonts w:ascii="宋体" w:hAnsi="宋体" w:cs="宋体" w:hint="eastAsia"/>
          <w:b w:val="0"/>
          <w:bCs w:val="0"/>
          <w:color w:val="auto"/>
          <w:szCs w:val="21"/>
        </w:rPr>
      </w:pPr>
      <w:r>
        <w:rPr>
          <w:rFonts w:ascii="宋体" w:eastAsia="宋体" w:hAnsi="宋体" w:cs="宋体" w:hint="eastAsia"/>
          <w:b w:val="0"/>
          <w:bCs w:val="0"/>
          <w:color w:val="auto"/>
          <w:sz w:val="21"/>
          <w:szCs w:val="21"/>
        </w:rPr>
        <w:t>5）参加采购活动前3年内，在经营活动中没有重大违法记录：（提供承诺函</w:t>
      </w:r>
      <w:r>
        <w:rPr>
          <w:rFonts w:ascii="宋体" w:eastAsia="宋体" w:hAnsi="宋体" w:cs="宋体" w:hint="eastAsia"/>
          <w:b w:val="0"/>
          <w:bCs w:val="0"/>
          <w:color w:val="auto"/>
          <w:sz w:val="21"/>
          <w:szCs w:val="21"/>
          <w:lang w:eastAsia="zh-CN"/>
        </w:rPr>
        <w:t>，格式自拟</w:t>
      </w:r>
      <w:r>
        <w:rPr>
          <w:rFonts w:ascii="宋体" w:eastAsia="宋体" w:hAnsi="宋体" w:cs="宋体" w:hint="eastAsia"/>
          <w:b w:val="0"/>
          <w:bCs w:val="0"/>
          <w:color w:val="auto"/>
          <w:sz w:val="21"/>
          <w:szCs w:val="21"/>
        </w:rPr>
        <w:t>）。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r>
        <w:rPr>
          <w:rFonts w:ascii="宋体" w:hAnsi="宋体" w:cs="宋体" w:hint="eastAsia"/>
          <w:b w:val="0"/>
          <w:bCs w:val="0"/>
          <w:color w:val="auto"/>
          <w:sz w:val="21"/>
          <w:szCs w:val="21"/>
          <w:lang w:eastAsia="zh-CN"/>
        </w:rPr>
        <w:t>。</w:t>
      </w:r>
    </w:p>
    <w:p>
      <w:pPr>
        <w:pStyle w:val="NormalWeb"/>
        <w:keepNext w:val="0"/>
        <w:keepLines w:val="0"/>
        <w:pageBreakBefore w:val="0"/>
        <w:widowControl/>
        <w:suppressLineNumbers w:val="0"/>
        <w:kinsoku/>
        <w:wordWrap/>
        <w:overflowPunct/>
        <w:topLinePunct w:val="0"/>
        <w:autoSpaceDE/>
        <w:autoSpaceDN/>
        <w:bidi w:val="0"/>
        <w:adjustRightInd/>
        <w:spacing w:line="360" w:lineRule="auto"/>
        <w:textAlignment w:val="auto"/>
        <w:rPr>
          <w:rFonts w:ascii="宋体" w:eastAsia="宋体" w:hAnsi="宋体" w:cs="宋体" w:hint="eastAsia"/>
          <w:b/>
          <w:bCs/>
          <w:color w:val="auto"/>
          <w:sz w:val="21"/>
          <w:szCs w:val="21"/>
        </w:rPr>
      </w:pPr>
      <w:r>
        <w:rPr>
          <w:rFonts w:ascii="宋体" w:eastAsia="宋体" w:hAnsi="宋体" w:cs="宋体" w:hint="eastAsia"/>
          <w:b/>
          <w:bCs/>
          <w:color w:val="auto"/>
          <w:sz w:val="21"/>
          <w:szCs w:val="21"/>
        </w:rPr>
        <w:t>2.落实政府采购政策需满足的资格要求：</w:t>
      </w:r>
    </w:p>
    <w:p>
      <w:pPr>
        <w:pStyle w:val="a"/>
        <w:keepNext w:val="0"/>
        <w:keepLines w:val="0"/>
        <w:pageBreakBefore w:val="0"/>
        <w:kinsoku/>
        <w:wordWrap/>
        <w:overflowPunct/>
        <w:topLinePunct w:val="0"/>
        <w:autoSpaceDE/>
        <w:autoSpaceDN/>
        <w:bidi w:val="0"/>
        <w:adjustRightInd/>
        <w:spacing w:line="360" w:lineRule="auto"/>
        <w:ind w:firstLine="420" w:firstLineChars="200"/>
        <w:textAlignment w:val="auto"/>
        <w:rPr>
          <w:rFonts w:eastAsia="宋体" w:cs="宋体" w:hint="eastAsia"/>
          <w:b w:val="0"/>
          <w:bCs w:val="0"/>
          <w:color w:val="auto"/>
          <w:spacing w:val="0"/>
          <w:sz w:val="21"/>
          <w:szCs w:val="21"/>
          <w:lang w:val="en-US" w:eastAsia="zh-CN" w:bidi="ar-SA"/>
        </w:rPr>
      </w:pPr>
      <w:r>
        <w:rPr>
          <w:rFonts w:ascii="宋体" w:eastAsia="宋体" w:hAnsi="宋体" w:cs="宋体" w:hint="eastAsia"/>
          <w:b w:val="0"/>
          <w:bCs w:val="0"/>
          <w:color w:val="auto"/>
          <w:spacing w:val="0"/>
          <w:sz w:val="21"/>
          <w:szCs w:val="21"/>
          <w:lang w:val="en-US" w:eastAsia="zh-CN" w:bidi="ar-SA"/>
        </w:rPr>
        <w:t>本项目不属于专门面向中小企业采购的项目。落实政府采购相关政策及《政府采购促进中小企业发展管理办法》（财库〔2020〕46号）、《关于政府采购支持监狱企业发展有关问题的通知》(财库〔2014〕68号)、《关于促进残疾人就业政府采购政策的通知》（财库〔2017〕141号)、《关于调整优化节能产品、环境标志产品政府采购执行机制的通知》财库〔2019〕9号、《转发财政部 发展改革委 生态环境部 市场监管总局关于调整优化节能产品环境标志产品政府采购执行机制的通知》（粤财采购〔2019〕1号）、《转发省财政厅等4部门关于调整优化节能产品环境标志产品政府采购执行机制的通知》（梅市财采管〔2019〕1号）。</w:t>
      </w:r>
    </w:p>
    <w:p>
      <w:pPr>
        <w:pStyle w:val="a"/>
        <w:numPr>
          <w:ilvl w:val="0"/>
          <w:numId w:val="2"/>
        </w:numPr>
        <w:rPr>
          <w:rFonts w:eastAsia="宋体" w:cs="宋体" w:hint="eastAsia"/>
          <w:b/>
          <w:bCs/>
          <w:color w:val="auto"/>
          <w:spacing w:val="0"/>
          <w:sz w:val="21"/>
          <w:szCs w:val="21"/>
          <w:lang w:val="en-US" w:eastAsia="zh-CN" w:bidi="ar-SA"/>
        </w:rPr>
      </w:pPr>
      <w:r>
        <w:rPr>
          <w:rFonts w:ascii="宋体" w:eastAsia="宋体" w:hAnsi="宋体" w:cs="宋体" w:hint="eastAsia"/>
          <w:b/>
          <w:bCs/>
          <w:color w:val="auto"/>
          <w:spacing w:val="0"/>
          <w:sz w:val="21"/>
          <w:szCs w:val="21"/>
          <w:lang w:val="en-US" w:eastAsia="zh-CN" w:bidi="ar-SA"/>
        </w:rPr>
        <w:t>本项目的特定资格要求：</w:t>
      </w:r>
    </w:p>
    <w:p>
      <w:pPr>
        <w:pStyle w:val="NormalWeb"/>
        <w:keepNext w:val="0"/>
        <w:keepLines w:val="0"/>
        <w:widowControl/>
        <w:suppressLineNumbers w:val="0"/>
        <w:rPr>
          <w:rFonts w:ascii="宋体" w:eastAsia="宋体" w:hAnsi="宋体" w:cs="宋体" w:hint="eastAsia"/>
          <w:color w:val="auto"/>
        </w:rPr>
      </w:pPr>
      <w:r>
        <w:rPr>
          <w:rFonts w:ascii="宋体" w:eastAsia="宋体" w:hAnsi="宋体" w:cs="宋体" w:hint="eastAsia"/>
          <w:color w:val="auto"/>
        </w:rPr>
        <w:t>合同包1特定资格要求如下:</w:t>
      </w:r>
    </w:p>
    <w:p>
      <w:pPr>
        <w:pStyle w:val="NormalWeb"/>
        <w:keepNext w:val="0"/>
        <w:keepLines w:val="0"/>
        <w:widowControl/>
        <w:suppressLineNumbers w:val="0"/>
        <w:spacing w:line="360" w:lineRule="auto"/>
        <w:rPr>
          <w:rFonts w:ascii="宋体" w:eastAsia="宋体" w:hAnsi="宋体" w:cs="宋体" w:hint="eastAsia"/>
          <w:b w:val="0"/>
          <w:bCs w:val="0"/>
          <w:color w:val="auto"/>
          <w:spacing w:val="0"/>
          <w:sz w:val="21"/>
          <w:szCs w:val="21"/>
          <w:lang w:val="en-US" w:eastAsia="zh-CN" w:bidi="ar-SA"/>
        </w:rPr>
        <w:sectPr>
          <w:headerReference w:type="default" r:id="rId17"/>
          <w:footerReference w:type="default" r:id="rId18"/>
          <w:headerReference w:type="first" r:id="rId19"/>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3" w:chapStyle="1" w:chapSep="enDash"/>
          <w:cols w:num="1" w:space="720"/>
          <w:titlePg w:val="0"/>
          <w:rtlGutter w:val="0"/>
          <w:docGrid w:linePitch="312" w:charSpace="0"/>
        </w:sectPr>
      </w:pPr>
      <w:r>
        <w:rPr>
          <w:rFonts w:ascii="宋体" w:eastAsia="宋体" w:hAnsi="宋体" w:cs="宋体" w:hint="eastAsia"/>
          <w:b w:val="0"/>
          <w:bCs w:val="0"/>
          <w:color w:val="auto"/>
          <w:spacing w:val="0"/>
          <w:sz w:val="21"/>
          <w:szCs w:val="21"/>
          <w:lang w:val="en-US" w:eastAsia="zh-CN" w:bidi="ar-SA"/>
        </w:rPr>
        <w:t>3.1信用记录：供应商未被列入“信用中国”网站(www.creditchina.gov.cn)“记录失信被执行人或重大税收违法案件当事人名单”记录名单； 不处于中国政府采购网(www.ccgp.gov.cn)“政府采购严重违法失信行为信息记录”中的禁止参加政府采购活动期间。 （同时提供两个网站的信用记录查询结果打印页面或网页截图）。（以采购代理机构于投标（响应） 截止时间当天在“信用中国”网站（www.creditchina.gov.cn） 及中国政府采购网（http://www.ccgp.gov.cn/） 查询结果为准， 如相关失信记录已失效， 供应商需提供相关证明资料）。</w:t>
      </w:r>
    </w:p>
    <w:p>
      <w:pPr>
        <w:pStyle w:val="NormalWeb"/>
        <w:keepNext w:val="0"/>
        <w:keepLines w:val="0"/>
        <w:widowControl/>
        <w:suppressLineNumbers w:val="0"/>
        <w:spacing w:line="360" w:lineRule="auto"/>
        <w:rPr>
          <w:rFonts w:ascii="宋体" w:eastAsia="宋体" w:hAnsi="宋体" w:cs="宋体" w:hint="default"/>
          <w:b w:val="0"/>
          <w:bCs w:val="0"/>
          <w:color w:val="auto"/>
          <w:spacing w:val="0"/>
          <w:sz w:val="21"/>
          <w:szCs w:val="21"/>
          <w:lang w:val="en-US" w:eastAsia="zh-CN" w:bidi="ar-SA"/>
        </w:rPr>
      </w:pPr>
      <w:r>
        <w:rPr>
          <w:rFonts w:ascii="宋体" w:eastAsia="宋体" w:hAnsi="宋体" w:cs="宋体" w:hint="eastAsia"/>
          <w:b w:val="0"/>
          <w:bCs w:val="0"/>
          <w:color w:val="auto"/>
          <w:spacing w:val="0"/>
          <w:sz w:val="21"/>
          <w:szCs w:val="21"/>
          <w:lang w:val="en-US" w:eastAsia="zh-CN" w:bidi="ar-SA"/>
        </w:rPr>
        <w:t>3.2供应商必须符合法律、行政法规规定的其他条件：单位负责人为同一人或者存在直接控股、管理关系的不同供应商，不得同时参加本采购项目（或采购包）投标（响应）。为本项目提供整体设计、 规范编制或者项目管理、监理、检测等服务的供应商，不得再参与本项目投标（响应）。（提供承诺函，格式自拟）。</w:t>
      </w:r>
    </w:p>
    <w:p>
      <w:pPr>
        <w:pStyle w:val="NormalWeb"/>
        <w:keepNext w:val="0"/>
        <w:keepLines w:val="0"/>
        <w:widowControl/>
        <w:suppressLineNumbers w:val="0"/>
        <w:rPr>
          <w:rFonts w:ascii="宋体" w:eastAsia="宋体" w:hAnsi="宋体" w:cs="宋体" w:hint="eastAsia"/>
          <w:color w:val="auto"/>
        </w:rPr>
      </w:pPr>
      <w:r>
        <w:rPr>
          <w:rFonts w:ascii="宋体" w:eastAsia="宋体" w:hAnsi="宋体" w:cs="宋体" w:hint="eastAsia"/>
          <w:color w:val="auto"/>
          <w:kern w:val="2"/>
          <w:sz w:val="21"/>
          <w:szCs w:val="20"/>
          <w:lang w:val="en-US" w:eastAsia="zh-CN" w:bidi="ar-SA"/>
        </w:rPr>
        <w:t>3.3</w:t>
      </w:r>
      <w:r>
        <w:rPr>
          <w:rFonts w:ascii="宋体" w:eastAsia="宋体" w:hAnsi="宋体" w:cs="宋体" w:hint="eastAsia"/>
          <w:b w:val="0"/>
          <w:bCs w:val="0"/>
          <w:color w:val="auto"/>
          <w:spacing w:val="0"/>
          <w:sz w:val="21"/>
          <w:szCs w:val="21"/>
          <w:lang w:val="en-US" w:eastAsia="zh-CN" w:bidi="ar-SA"/>
        </w:rPr>
        <w:t>已依法获取本项目招标文件的供应商；（提供购买本项目招标文件的发票或收据凭证复印件）</w:t>
      </w:r>
    </w:p>
    <w:p>
      <w:pPr>
        <w:pStyle w:val="NormalWeb"/>
        <w:keepNext w:val="0"/>
        <w:keepLines w:val="0"/>
        <w:widowControl/>
        <w:suppressLineNumbers w:val="0"/>
        <w:rPr>
          <w:rFonts w:ascii="宋体" w:eastAsia="宋体" w:hAnsi="宋体" w:cs="宋体" w:hint="eastAsia"/>
          <w:color w:val="auto"/>
        </w:rPr>
      </w:pPr>
    </w:p>
    <w:p>
      <w:pPr>
        <w:pStyle w:val="NormalWeb"/>
        <w:keepNext w:val="0"/>
        <w:keepLines w:val="0"/>
        <w:widowControl/>
        <w:suppressLineNumbers w:val="0"/>
        <w:rPr>
          <w:rFonts w:ascii="宋体" w:eastAsia="宋体" w:hAnsi="宋体" w:cs="宋体" w:hint="default"/>
          <w:b w:val="0"/>
          <w:bCs w:val="0"/>
          <w:color w:val="auto"/>
          <w:spacing w:val="0"/>
          <w:sz w:val="21"/>
          <w:szCs w:val="21"/>
          <w:lang w:val="en-US" w:eastAsia="zh-CN" w:bidi="ar-SA"/>
        </w:rPr>
      </w:pPr>
    </w:p>
    <w:p>
      <w:pPr>
        <w:pStyle w:val="NormalWeb"/>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0" w:leftChars="0" w:firstLineChars="0"/>
        <w:jc w:val="left"/>
        <w:textAlignment w:val="auto"/>
        <w:rPr>
          <w:rFonts w:ascii="宋体" w:eastAsia="宋体" w:hAnsi="宋体" w:cs="宋体" w:hint="eastAsia"/>
          <w:b/>
          <w:color w:val="auto"/>
          <w:szCs w:val="24"/>
          <w:highlight w:val="none"/>
          <w:lang w:val="en-US" w:eastAsia="zh-CN" w:bidi="ar-SA"/>
        </w:rPr>
      </w:pPr>
      <w:r>
        <w:rPr>
          <w:rFonts w:ascii="宋体" w:eastAsia="宋体" w:hAnsi="宋体" w:cs="宋体" w:hint="eastAsia"/>
          <w:b/>
          <w:color w:val="auto"/>
          <w:sz w:val="24"/>
          <w:szCs w:val="24"/>
          <w:highlight w:val="none"/>
          <w:lang w:val="en-US" w:eastAsia="zh-CN" w:bidi="ar-SA"/>
        </w:rPr>
        <w:t>三、获取招标文件</w:t>
      </w:r>
    </w:p>
    <w:p>
      <w:pPr>
        <w:pStyle w:val="NormalWeb"/>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0" w:leftChars="0" w:firstLineChars="0"/>
        <w:jc w:val="left"/>
        <w:textAlignment w:val="auto"/>
        <w:rPr>
          <w:rFonts w:ascii="宋体" w:eastAsia="宋体" w:hAnsi="宋体" w:cs="Tahoma" w:hint="eastAsia"/>
          <w:color w:val="auto"/>
          <w:spacing w:val="0"/>
          <w:sz w:val="21"/>
          <w:szCs w:val="21"/>
          <w:highlight w:val="none"/>
        </w:rPr>
      </w:pPr>
      <w:r>
        <w:rPr>
          <w:rFonts w:ascii="宋体" w:eastAsia="宋体" w:hAnsi="宋体" w:cs="宋体" w:hint="eastAsia"/>
          <w:color w:val="auto"/>
          <w:spacing w:val="0"/>
          <w:kern w:val="0"/>
          <w:sz w:val="21"/>
          <w:szCs w:val="21"/>
          <w:highlight w:val="none"/>
          <w:lang w:val="en-US" w:eastAsia="zh-CN" w:bidi="ar"/>
        </w:rPr>
        <w:t>时间：</w:t>
      </w:r>
      <w:r>
        <w:rPr>
          <w:rFonts w:cs="Tahoma" w:hint="eastAsia"/>
          <w:color w:val="auto"/>
          <w:spacing w:val="0"/>
          <w:kern w:val="0"/>
          <w:sz w:val="21"/>
          <w:szCs w:val="21"/>
          <w:highlight w:val="none"/>
          <w:u w:val="single"/>
          <w:lang w:val="en-US" w:eastAsia="zh-CN" w:bidi="ar"/>
        </w:rPr>
        <w:t>2022</w:t>
      </w:r>
      <w:r>
        <w:rPr>
          <w:rFonts w:ascii="宋体" w:eastAsia="宋体" w:hAnsi="宋体" w:cs="Tahoma" w:hint="eastAsia"/>
          <w:color w:val="auto"/>
          <w:spacing w:val="0"/>
          <w:kern w:val="0"/>
          <w:sz w:val="21"/>
          <w:szCs w:val="21"/>
          <w:highlight w:val="none"/>
          <w:u w:val="single"/>
          <w:lang w:val="en-US" w:eastAsia="zh-CN" w:bidi="ar"/>
        </w:rPr>
        <w:t xml:space="preserve"> </w:t>
      </w:r>
      <w:r>
        <w:rPr>
          <w:rFonts w:ascii="宋体" w:eastAsia="宋体" w:hAnsi="宋体" w:cs="宋体" w:hint="eastAsia"/>
          <w:color w:val="auto"/>
          <w:spacing w:val="0"/>
          <w:kern w:val="0"/>
          <w:sz w:val="21"/>
          <w:szCs w:val="21"/>
          <w:highlight w:val="none"/>
          <w:lang w:val="en-US" w:eastAsia="zh-CN" w:bidi="ar"/>
        </w:rPr>
        <w:t>年</w:t>
      </w:r>
      <w:r>
        <w:rPr>
          <w:rFonts w:ascii="宋体" w:eastAsia="宋体" w:hAnsi="宋体" w:cs="Tahoma" w:hint="eastAsia"/>
          <w:color w:val="auto"/>
          <w:spacing w:val="0"/>
          <w:kern w:val="0"/>
          <w:sz w:val="21"/>
          <w:szCs w:val="21"/>
          <w:highlight w:val="none"/>
          <w:u w:val="single"/>
          <w:lang w:val="en-US" w:eastAsia="zh-CN" w:bidi="ar"/>
        </w:rPr>
        <w:t xml:space="preserve"> </w:t>
      </w:r>
      <w:r>
        <w:rPr>
          <w:rFonts w:ascii="宋体" w:hAnsi="宋体" w:cs="Tahoma" w:hint="eastAsia"/>
          <w:color w:val="auto"/>
          <w:spacing w:val="0"/>
          <w:kern w:val="0"/>
          <w:sz w:val="21"/>
          <w:szCs w:val="21"/>
          <w:highlight w:val="none"/>
          <w:u w:val="single"/>
          <w:lang w:val="en-US" w:eastAsia="zh-CN" w:bidi="ar"/>
        </w:rPr>
        <w:t xml:space="preserve">8  </w:t>
      </w:r>
      <w:r>
        <w:rPr>
          <w:rFonts w:ascii="宋体" w:eastAsia="宋体" w:hAnsi="宋体" w:cs="宋体" w:hint="eastAsia"/>
          <w:color w:val="auto"/>
          <w:spacing w:val="0"/>
          <w:kern w:val="0"/>
          <w:sz w:val="21"/>
          <w:szCs w:val="21"/>
          <w:highlight w:val="none"/>
          <w:lang w:val="en-US" w:eastAsia="zh-CN" w:bidi="ar"/>
        </w:rPr>
        <w:t>月</w:t>
      </w:r>
      <w:r>
        <w:rPr>
          <w:rFonts w:ascii="宋体" w:eastAsia="宋体" w:hAnsi="宋体" w:cs="Tahoma" w:hint="eastAsia"/>
          <w:color w:val="auto"/>
          <w:spacing w:val="0"/>
          <w:kern w:val="0"/>
          <w:sz w:val="21"/>
          <w:szCs w:val="21"/>
          <w:highlight w:val="none"/>
          <w:u w:val="single"/>
          <w:lang w:val="en-US" w:eastAsia="zh-CN" w:bidi="ar"/>
        </w:rPr>
        <w:t xml:space="preserve"> </w:t>
      </w:r>
      <w:r>
        <w:rPr>
          <w:rFonts w:ascii="宋体" w:hAnsi="宋体" w:cs="Tahoma" w:hint="eastAsia"/>
          <w:color w:val="auto"/>
          <w:spacing w:val="0"/>
          <w:kern w:val="0"/>
          <w:sz w:val="21"/>
          <w:szCs w:val="21"/>
          <w:highlight w:val="none"/>
          <w:u w:val="single"/>
          <w:lang w:val="en-US" w:eastAsia="zh-CN" w:bidi="ar"/>
        </w:rPr>
        <w:t xml:space="preserve">15  </w:t>
      </w:r>
      <w:r>
        <w:rPr>
          <w:rFonts w:cs="Tahoma" w:hint="eastAsia"/>
          <w:color w:val="auto"/>
          <w:spacing w:val="0"/>
          <w:kern w:val="0"/>
          <w:sz w:val="21"/>
          <w:szCs w:val="21"/>
          <w:highlight w:val="none"/>
          <w:u w:val="single"/>
          <w:lang w:val="en-US" w:eastAsia="zh-CN" w:bidi="ar"/>
        </w:rPr>
        <w:t xml:space="preserve"> </w:t>
      </w:r>
      <w:r>
        <w:rPr>
          <w:rFonts w:ascii="宋体" w:eastAsia="宋体" w:hAnsi="宋体" w:cs="宋体" w:hint="eastAsia"/>
          <w:color w:val="auto"/>
          <w:spacing w:val="0"/>
          <w:kern w:val="0"/>
          <w:sz w:val="21"/>
          <w:szCs w:val="21"/>
          <w:highlight w:val="none"/>
          <w:lang w:val="en-US" w:eastAsia="zh-CN" w:bidi="ar"/>
        </w:rPr>
        <w:t>日至</w:t>
      </w:r>
      <w:r>
        <w:rPr>
          <w:rFonts w:ascii="宋体" w:eastAsia="宋体" w:hAnsi="宋体" w:cs="Tahoma" w:hint="eastAsia"/>
          <w:color w:val="auto"/>
          <w:spacing w:val="0"/>
          <w:kern w:val="0"/>
          <w:sz w:val="21"/>
          <w:szCs w:val="21"/>
          <w:highlight w:val="none"/>
          <w:u w:val="single"/>
          <w:lang w:val="en-US" w:eastAsia="zh-CN" w:bidi="ar"/>
        </w:rPr>
        <w:t xml:space="preserve"> </w:t>
      </w:r>
      <w:r>
        <w:rPr>
          <w:rFonts w:cs="Tahoma" w:hint="eastAsia"/>
          <w:color w:val="auto"/>
          <w:spacing w:val="0"/>
          <w:kern w:val="0"/>
          <w:sz w:val="21"/>
          <w:szCs w:val="21"/>
          <w:highlight w:val="none"/>
          <w:u w:val="single"/>
          <w:lang w:val="en-US" w:eastAsia="zh-CN" w:bidi="ar"/>
        </w:rPr>
        <w:t>2022</w:t>
      </w:r>
      <w:r>
        <w:rPr>
          <w:rFonts w:ascii="宋体" w:eastAsia="宋体" w:hAnsi="宋体" w:cs="Tahoma" w:hint="eastAsia"/>
          <w:color w:val="auto"/>
          <w:spacing w:val="0"/>
          <w:kern w:val="0"/>
          <w:sz w:val="21"/>
          <w:szCs w:val="21"/>
          <w:highlight w:val="none"/>
          <w:u w:val="single"/>
          <w:lang w:val="en-US" w:eastAsia="zh-CN" w:bidi="ar"/>
        </w:rPr>
        <w:t xml:space="preserve"> </w:t>
      </w:r>
      <w:r>
        <w:rPr>
          <w:rFonts w:ascii="宋体" w:eastAsia="宋体" w:hAnsi="宋体" w:cs="宋体" w:hint="eastAsia"/>
          <w:color w:val="auto"/>
          <w:spacing w:val="0"/>
          <w:kern w:val="0"/>
          <w:sz w:val="21"/>
          <w:szCs w:val="21"/>
          <w:highlight w:val="none"/>
          <w:lang w:val="en-US" w:eastAsia="zh-CN" w:bidi="ar"/>
        </w:rPr>
        <w:t>年</w:t>
      </w:r>
      <w:r>
        <w:rPr>
          <w:rFonts w:cs="Tahoma" w:hint="eastAsia"/>
          <w:color w:val="auto"/>
          <w:spacing w:val="0"/>
          <w:kern w:val="0"/>
          <w:sz w:val="21"/>
          <w:szCs w:val="21"/>
          <w:highlight w:val="none"/>
          <w:u w:val="single"/>
          <w:lang w:val="en-US" w:eastAsia="zh-CN" w:bidi="ar"/>
        </w:rPr>
        <w:t xml:space="preserve">  8  </w:t>
      </w:r>
      <w:r>
        <w:rPr>
          <w:rFonts w:ascii="宋体" w:eastAsia="宋体" w:hAnsi="宋体" w:cs="宋体" w:hint="eastAsia"/>
          <w:color w:val="auto"/>
          <w:spacing w:val="0"/>
          <w:kern w:val="0"/>
          <w:sz w:val="21"/>
          <w:szCs w:val="21"/>
          <w:highlight w:val="none"/>
          <w:lang w:val="en-US" w:eastAsia="zh-CN" w:bidi="ar"/>
        </w:rPr>
        <w:t>月</w:t>
      </w:r>
      <w:r>
        <w:rPr>
          <w:rFonts w:cs="Tahoma" w:hint="eastAsia"/>
          <w:color w:val="auto"/>
          <w:spacing w:val="0"/>
          <w:kern w:val="0"/>
          <w:sz w:val="21"/>
          <w:szCs w:val="21"/>
          <w:highlight w:val="none"/>
          <w:u w:val="single"/>
          <w:lang w:val="en-US" w:eastAsia="zh-CN" w:bidi="ar"/>
        </w:rPr>
        <w:t xml:space="preserve"> 19   </w:t>
      </w:r>
      <w:r>
        <w:rPr>
          <w:rFonts w:ascii="宋体" w:eastAsia="宋体" w:hAnsi="宋体" w:cs="宋体" w:hint="eastAsia"/>
          <w:color w:val="auto"/>
          <w:spacing w:val="0"/>
          <w:kern w:val="0"/>
          <w:sz w:val="21"/>
          <w:szCs w:val="21"/>
          <w:highlight w:val="none"/>
          <w:lang w:val="en-US" w:eastAsia="zh-CN" w:bidi="ar"/>
        </w:rPr>
        <w:t>日（提供期限自本公告发布之日起不得少于5个工作日），每天上午09:00至12:00，下午14:30至17：30（北京时间，法定节假日除外）</w:t>
      </w:r>
    </w:p>
    <w:p>
      <w:pPr>
        <w:pStyle w:val="NormalWeb"/>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0" w:leftChars="0" w:firstLineChars="0"/>
        <w:jc w:val="left"/>
        <w:textAlignment w:val="auto"/>
        <w:rPr>
          <w:rFonts w:ascii="宋体" w:eastAsia="宋体" w:hAnsi="宋体" w:cs="Tahoma" w:hint="eastAsia"/>
          <w:color w:val="auto"/>
          <w:spacing w:val="0"/>
          <w:sz w:val="21"/>
          <w:szCs w:val="21"/>
          <w:highlight w:val="none"/>
        </w:rPr>
      </w:pPr>
      <w:r>
        <w:rPr>
          <w:rFonts w:ascii="宋体" w:eastAsia="宋体" w:hAnsi="宋体" w:cs="宋体" w:hint="eastAsia"/>
          <w:color w:val="auto"/>
          <w:spacing w:val="0"/>
          <w:kern w:val="0"/>
          <w:sz w:val="21"/>
          <w:szCs w:val="21"/>
          <w:highlight w:val="none"/>
          <w:lang w:val="en-US" w:eastAsia="zh-CN" w:bidi="ar"/>
        </w:rPr>
        <w:t>地点：兴宁市福兴毛屋坝宁江新城六期4栋13号</w:t>
      </w:r>
    </w:p>
    <w:p>
      <w:pPr>
        <w:pStyle w:val="NormalWeb"/>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0" w:leftChars="0" w:firstLineChars="0"/>
        <w:jc w:val="left"/>
        <w:textAlignment w:val="auto"/>
        <w:rPr>
          <w:rFonts w:ascii="宋体" w:eastAsia="宋体" w:hAnsi="宋体" w:cs="Tahoma" w:hint="eastAsia"/>
          <w:color w:val="auto"/>
          <w:spacing w:val="0"/>
          <w:sz w:val="21"/>
          <w:szCs w:val="21"/>
          <w:highlight w:val="none"/>
        </w:rPr>
      </w:pPr>
      <w:r>
        <w:rPr>
          <w:rFonts w:ascii="宋体" w:eastAsia="宋体" w:hAnsi="宋体" w:cs="宋体" w:hint="eastAsia"/>
          <w:color w:val="auto"/>
          <w:spacing w:val="0"/>
          <w:kern w:val="0"/>
          <w:sz w:val="21"/>
          <w:szCs w:val="21"/>
          <w:highlight w:val="none"/>
          <w:lang w:val="en-US" w:eastAsia="zh-CN" w:bidi="ar"/>
        </w:rPr>
        <w:t>方式：现场购买</w:t>
      </w:r>
    </w:p>
    <w:p>
      <w:pPr>
        <w:pStyle w:val="NormalWeb"/>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0" w:leftChars="0" w:firstLineChars="0"/>
        <w:jc w:val="left"/>
        <w:textAlignment w:val="auto"/>
        <w:rPr>
          <w:rFonts w:ascii="宋体" w:eastAsia="宋体" w:hAnsi="宋体" w:cs="Tahoma" w:hint="eastAsia"/>
          <w:color w:val="auto"/>
          <w:spacing w:val="0"/>
          <w:sz w:val="21"/>
          <w:szCs w:val="21"/>
          <w:highlight w:val="none"/>
        </w:rPr>
      </w:pPr>
      <w:r>
        <w:rPr>
          <w:rFonts w:ascii="宋体" w:eastAsia="宋体" w:hAnsi="宋体" w:cs="宋体" w:hint="eastAsia"/>
          <w:color w:val="auto"/>
          <w:spacing w:val="0"/>
          <w:kern w:val="0"/>
          <w:sz w:val="21"/>
          <w:szCs w:val="21"/>
          <w:highlight w:val="none"/>
          <w:lang w:val="en-US" w:eastAsia="zh-CN" w:bidi="ar"/>
        </w:rPr>
        <w:t>售价：200元</w:t>
      </w:r>
    </w:p>
    <w:p>
      <w:pPr>
        <w:pStyle w:val="NormalWeb"/>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0" w:leftChars="0" w:firstLineChars="0"/>
        <w:jc w:val="left"/>
        <w:textAlignment w:val="auto"/>
        <w:rPr>
          <w:rFonts w:ascii="宋体" w:eastAsia="宋体" w:hAnsi="宋体" w:cs="宋体" w:hint="eastAsia"/>
          <w:b/>
          <w:color w:val="auto"/>
          <w:szCs w:val="24"/>
          <w:highlight w:val="none"/>
          <w:lang w:val="en-US" w:eastAsia="zh-CN" w:bidi="ar-SA"/>
        </w:rPr>
      </w:pPr>
      <w:r>
        <w:rPr>
          <w:rFonts w:ascii="宋体" w:eastAsia="宋体" w:hAnsi="宋体" w:cs="宋体" w:hint="eastAsia"/>
          <w:b/>
          <w:color w:val="auto"/>
          <w:sz w:val="24"/>
          <w:szCs w:val="24"/>
          <w:highlight w:val="none"/>
          <w:lang w:val="en-US" w:eastAsia="zh-CN" w:bidi="ar-SA"/>
        </w:rPr>
        <w:t>四、提交投标文件截止时间、开标时间和地点</w:t>
      </w:r>
    </w:p>
    <w:p>
      <w:pPr>
        <w:pStyle w:val="NormalWeb"/>
        <w:keepNext w:val="0"/>
        <w:keepLines w:val="0"/>
        <w:widowControl w:val="0"/>
        <w:suppressLineNumbers w:val="0"/>
        <w:snapToGrid w:val="0"/>
        <w:spacing w:before="0" w:beforeAutospacing="0" w:after="0" w:afterAutospacing="0" w:line="360" w:lineRule="auto"/>
        <w:ind w:left="0" w:right="0" w:firstLine="0" w:leftChars="0" w:firstLineChars="0"/>
        <w:jc w:val="left"/>
        <w:rPr>
          <w:rFonts w:ascii="宋体" w:eastAsia="宋体" w:hAnsi="宋体" w:cs="Tahoma" w:hint="eastAsia"/>
          <w:color w:val="auto"/>
          <w:spacing w:val="0"/>
          <w:sz w:val="21"/>
          <w:szCs w:val="21"/>
          <w:highlight w:val="none"/>
        </w:rPr>
      </w:pPr>
      <w:r>
        <w:rPr>
          <w:rFonts w:ascii="宋体" w:eastAsia="宋体" w:hAnsi="宋体" w:cs="Tahoma" w:hint="eastAsia"/>
          <w:color w:val="auto"/>
          <w:spacing w:val="0"/>
          <w:kern w:val="0"/>
          <w:sz w:val="21"/>
          <w:szCs w:val="21"/>
          <w:highlight w:val="none"/>
          <w:u w:val="single"/>
          <w:lang w:val="en-US" w:eastAsia="zh-CN" w:bidi="ar"/>
        </w:rPr>
        <w:t xml:space="preserve"> </w:t>
      </w:r>
      <w:r>
        <w:rPr>
          <w:rFonts w:cs="Tahoma" w:hint="eastAsia"/>
          <w:color w:val="auto"/>
          <w:spacing w:val="0"/>
          <w:kern w:val="0"/>
          <w:sz w:val="21"/>
          <w:szCs w:val="21"/>
          <w:highlight w:val="none"/>
          <w:u w:val="single"/>
          <w:lang w:val="en-US" w:eastAsia="zh-CN" w:bidi="ar"/>
        </w:rPr>
        <w:t>2022</w:t>
      </w:r>
      <w:r>
        <w:rPr>
          <w:rFonts w:ascii="宋体" w:eastAsia="宋体" w:hAnsi="宋体" w:cs="Tahoma" w:hint="eastAsia"/>
          <w:color w:val="auto"/>
          <w:spacing w:val="0"/>
          <w:kern w:val="0"/>
          <w:sz w:val="21"/>
          <w:szCs w:val="21"/>
          <w:highlight w:val="none"/>
          <w:u w:val="single"/>
          <w:lang w:val="en-US" w:eastAsia="zh-CN" w:bidi="ar"/>
        </w:rPr>
        <w:t xml:space="preserve"> </w:t>
      </w:r>
      <w:r>
        <w:rPr>
          <w:rFonts w:ascii="宋体" w:eastAsia="宋体" w:hAnsi="宋体" w:cs="宋体" w:hint="eastAsia"/>
          <w:color w:val="auto"/>
          <w:spacing w:val="0"/>
          <w:kern w:val="0"/>
          <w:sz w:val="21"/>
          <w:szCs w:val="21"/>
          <w:highlight w:val="none"/>
          <w:lang w:val="en-US" w:eastAsia="zh-CN" w:bidi="ar"/>
        </w:rPr>
        <w:t>年</w:t>
      </w:r>
      <w:r>
        <w:rPr>
          <w:rFonts w:ascii="宋体" w:eastAsia="宋体" w:hAnsi="宋体" w:cs="Tahoma" w:hint="eastAsia"/>
          <w:color w:val="auto"/>
          <w:spacing w:val="0"/>
          <w:kern w:val="0"/>
          <w:sz w:val="21"/>
          <w:szCs w:val="21"/>
          <w:highlight w:val="none"/>
          <w:u w:val="single"/>
          <w:lang w:val="en-US" w:eastAsia="zh-CN" w:bidi="ar"/>
        </w:rPr>
        <w:t xml:space="preserve"> </w:t>
      </w:r>
      <w:r>
        <w:rPr>
          <w:rFonts w:ascii="宋体" w:hAnsi="宋体" w:cs="Tahoma" w:hint="eastAsia"/>
          <w:color w:val="auto"/>
          <w:spacing w:val="0"/>
          <w:kern w:val="0"/>
          <w:sz w:val="21"/>
          <w:szCs w:val="21"/>
          <w:highlight w:val="none"/>
          <w:u w:val="single"/>
          <w:lang w:val="en-US" w:eastAsia="zh-CN" w:bidi="ar"/>
        </w:rPr>
        <w:t xml:space="preserve"> 9 </w:t>
      </w:r>
      <w:r>
        <w:rPr>
          <w:rFonts w:ascii="宋体" w:eastAsia="宋体" w:hAnsi="宋体" w:cs="Tahoma" w:hint="eastAsia"/>
          <w:color w:val="auto"/>
          <w:spacing w:val="0"/>
          <w:kern w:val="0"/>
          <w:sz w:val="21"/>
          <w:szCs w:val="21"/>
          <w:highlight w:val="none"/>
          <w:u w:val="single"/>
          <w:lang w:val="en-US" w:eastAsia="zh-CN" w:bidi="ar"/>
        </w:rPr>
        <w:t xml:space="preserve"> </w:t>
      </w:r>
      <w:r>
        <w:rPr>
          <w:rFonts w:ascii="宋体" w:eastAsia="宋体" w:hAnsi="宋体" w:cs="宋体" w:hint="eastAsia"/>
          <w:color w:val="auto"/>
          <w:spacing w:val="0"/>
          <w:kern w:val="0"/>
          <w:sz w:val="21"/>
          <w:szCs w:val="21"/>
          <w:highlight w:val="none"/>
          <w:lang w:val="en-US" w:eastAsia="zh-CN" w:bidi="ar"/>
        </w:rPr>
        <w:t>月</w:t>
      </w:r>
      <w:r>
        <w:rPr>
          <w:rFonts w:ascii="宋体" w:eastAsia="宋体" w:hAnsi="宋体" w:cs="Tahoma" w:hint="eastAsia"/>
          <w:color w:val="auto"/>
          <w:spacing w:val="0"/>
          <w:kern w:val="0"/>
          <w:sz w:val="21"/>
          <w:szCs w:val="21"/>
          <w:highlight w:val="none"/>
          <w:lang w:val="en-US" w:eastAsia="zh-CN" w:bidi="ar"/>
        </w:rPr>
        <w:t xml:space="preserve"> </w:t>
      </w:r>
      <w:r>
        <w:rPr>
          <w:rFonts w:cs="Tahoma" w:hint="eastAsia"/>
          <w:color w:val="auto"/>
          <w:spacing w:val="0"/>
          <w:kern w:val="0"/>
          <w:sz w:val="21"/>
          <w:szCs w:val="21"/>
          <w:highlight w:val="none"/>
          <w:u w:val="single"/>
          <w:lang w:val="en-US" w:eastAsia="zh-CN" w:bidi="ar"/>
        </w:rPr>
        <w:t xml:space="preserve">  5  </w:t>
      </w:r>
      <w:r>
        <w:rPr>
          <w:rFonts w:ascii="宋体" w:eastAsia="宋体" w:hAnsi="宋体" w:cs="宋体" w:hint="eastAsia"/>
          <w:color w:val="auto"/>
          <w:spacing w:val="0"/>
          <w:kern w:val="0"/>
          <w:sz w:val="21"/>
          <w:szCs w:val="21"/>
          <w:highlight w:val="none"/>
          <w:lang w:val="en-US" w:eastAsia="zh-CN" w:bidi="ar"/>
        </w:rPr>
        <w:t>日</w:t>
      </w:r>
      <w:r>
        <w:rPr>
          <w:rFonts w:cs="宋体" w:hint="eastAsia"/>
          <w:color w:val="auto"/>
          <w:spacing w:val="0"/>
          <w:kern w:val="0"/>
          <w:sz w:val="21"/>
          <w:szCs w:val="21"/>
          <w:highlight w:val="none"/>
          <w:u w:val="none"/>
          <w:lang w:val="en-US" w:eastAsia="zh-CN" w:bidi="ar"/>
        </w:rPr>
        <w:t xml:space="preserve">  15 </w:t>
      </w:r>
      <w:r>
        <w:rPr>
          <w:rFonts w:ascii="宋体" w:eastAsia="宋体" w:hAnsi="宋体" w:cs="宋体" w:hint="eastAsia"/>
          <w:color w:val="auto"/>
          <w:spacing w:val="0"/>
          <w:kern w:val="0"/>
          <w:sz w:val="21"/>
          <w:szCs w:val="21"/>
          <w:highlight w:val="none"/>
          <w:lang w:val="en-US" w:eastAsia="zh-CN" w:bidi="ar"/>
        </w:rPr>
        <w:t>点 00 分（北京时间）（自招标文件开始发出之日起至投标人提交投标文件截止之日止，不得少于20日）</w:t>
      </w:r>
    </w:p>
    <w:p>
      <w:pPr>
        <w:pStyle w:val="NormalWeb"/>
        <w:keepNext w:val="0"/>
        <w:keepLines w:val="0"/>
        <w:widowControl w:val="0"/>
        <w:suppressLineNumbers w:val="0"/>
        <w:snapToGrid w:val="0"/>
        <w:spacing w:before="0" w:beforeAutospacing="0" w:after="0" w:afterAutospacing="0" w:line="360" w:lineRule="auto"/>
        <w:ind w:left="0" w:right="0" w:firstLine="0" w:leftChars="0" w:firstLineChars="0"/>
        <w:jc w:val="left"/>
        <w:rPr>
          <w:rFonts w:ascii="宋体" w:eastAsia="宋体" w:hAnsi="宋体" w:cs="Tahoma" w:hint="eastAsia"/>
          <w:color w:val="auto"/>
          <w:spacing w:val="0"/>
          <w:sz w:val="21"/>
          <w:szCs w:val="21"/>
          <w:highlight w:val="none"/>
        </w:rPr>
      </w:pPr>
      <w:r>
        <w:rPr>
          <w:rFonts w:ascii="宋体" w:eastAsia="宋体" w:hAnsi="宋体" w:cs="宋体" w:hint="eastAsia"/>
          <w:color w:val="auto"/>
          <w:spacing w:val="0"/>
          <w:kern w:val="0"/>
          <w:sz w:val="21"/>
          <w:szCs w:val="21"/>
          <w:highlight w:val="none"/>
          <w:lang w:val="en-US" w:eastAsia="zh-CN" w:bidi="ar"/>
        </w:rPr>
        <w:t>地点：梅州市梅江区东汇城D10栋客创汇B座506</w:t>
      </w:r>
    </w:p>
    <w:p>
      <w:pPr>
        <w:pStyle w:val="NormalWeb"/>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0" w:leftChars="0" w:firstLineChars="0"/>
        <w:jc w:val="left"/>
        <w:textAlignment w:val="auto"/>
        <w:rPr>
          <w:rFonts w:ascii="宋体" w:eastAsia="宋体" w:hAnsi="宋体" w:cs="宋体" w:hint="eastAsia"/>
          <w:b/>
          <w:color w:val="auto"/>
          <w:szCs w:val="24"/>
          <w:highlight w:val="none"/>
          <w:lang w:val="en-US" w:eastAsia="zh-CN" w:bidi="ar-SA"/>
        </w:rPr>
      </w:pPr>
      <w:r>
        <w:rPr>
          <w:rFonts w:ascii="宋体" w:eastAsia="宋体" w:hAnsi="宋体" w:cs="宋体" w:hint="eastAsia"/>
          <w:b/>
          <w:color w:val="auto"/>
          <w:sz w:val="24"/>
          <w:szCs w:val="24"/>
          <w:highlight w:val="none"/>
          <w:lang w:val="en-US" w:eastAsia="zh-CN" w:bidi="ar-SA"/>
        </w:rPr>
        <w:t>五、公告期限</w:t>
      </w:r>
    </w:p>
    <w:p>
      <w:pPr>
        <w:pStyle w:val="NormalWeb"/>
        <w:keepNext w:val="0"/>
        <w:keepLines w:val="0"/>
        <w:widowControl w:val="0"/>
        <w:suppressLineNumbers w:val="0"/>
        <w:snapToGrid w:val="0"/>
        <w:spacing w:before="0" w:beforeAutospacing="0" w:after="0" w:afterAutospacing="0" w:line="360" w:lineRule="auto"/>
        <w:ind w:left="0" w:right="0" w:firstLine="0" w:leftChars="0" w:firstLineChars="0"/>
        <w:jc w:val="left"/>
        <w:rPr>
          <w:rFonts w:ascii="宋体" w:eastAsia="宋体" w:hAnsi="宋体" w:cs="宋体" w:hint="eastAsia"/>
          <w:color w:val="auto"/>
          <w:spacing w:val="0"/>
          <w:kern w:val="0"/>
          <w:sz w:val="21"/>
          <w:szCs w:val="21"/>
          <w:highlight w:val="none"/>
          <w:lang w:val="en-US" w:eastAsia="zh-CN" w:bidi="ar"/>
        </w:rPr>
      </w:pPr>
      <w:r>
        <w:rPr>
          <w:rFonts w:ascii="宋体" w:eastAsia="宋体" w:hAnsi="宋体" w:cs="宋体" w:hint="eastAsia"/>
          <w:color w:val="auto"/>
          <w:spacing w:val="0"/>
          <w:kern w:val="0"/>
          <w:sz w:val="21"/>
          <w:szCs w:val="21"/>
          <w:highlight w:val="none"/>
          <w:lang w:val="en-US" w:eastAsia="zh-CN" w:bidi="ar"/>
        </w:rPr>
        <w:t>自本公告发布之日起5个工作日。</w:t>
      </w:r>
    </w:p>
    <w:p>
      <w:pPr>
        <w:pStyle w:val="NormalWeb"/>
        <w:keepNext w:val="0"/>
        <w:keepLines w:val="0"/>
        <w:widowControl w:val="0"/>
        <w:suppressLineNumbers w:val="0"/>
        <w:snapToGrid w:val="0"/>
        <w:spacing w:before="0" w:beforeAutospacing="0" w:after="0" w:afterAutospacing="0" w:line="360" w:lineRule="auto"/>
        <w:ind w:left="0" w:right="0" w:firstLine="0" w:leftChars="0" w:firstLineChars="0"/>
        <w:jc w:val="left"/>
        <w:rPr>
          <w:rFonts w:ascii="宋体" w:eastAsia="宋体" w:hAnsi="宋体" w:cs="宋体" w:hint="eastAsia"/>
          <w:color w:val="auto"/>
          <w:spacing w:val="0"/>
          <w:kern w:val="0"/>
          <w:sz w:val="21"/>
          <w:szCs w:val="21"/>
          <w:highlight w:val="none"/>
          <w:lang w:val="en-US" w:eastAsia="zh-CN" w:bidi="ar"/>
        </w:rPr>
      </w:pPr>
    </w:p>
    <w:p>
      <w:pPr>
        <w:pStyle w:val="NormalWeb"/>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0" w:leftChars="0" w:firstLineChars="0"/>
        <w:jc w:val="left"/>
        <w:textAlignment w:val="auto"/>
        <w:rPr>
          <w:rFonts w:ascii="宋体" w:eastAsia="宋体" w:hAnsi="宋体" w:cs="宋体" w:hint="eastAsia"/>
          <w:b/>
          <w:color w:val="auto"/>
          <w:szCs w:val="24"/>
          <w:highlight w:val="none"/>
          <w:lang w:val="en-US" w:eastAsia="zh-CN" w:bidi="ar-SA"/>
        </w:rPr>
      </w:pPr>
      <w:r>
        <w:rPr>
          <w:rFonts w:ascii="宋体" w:eastAsia="宋体" w:hAnsi="宋体" w:cs="宋体" w:hint="eastAsia"/>
          <w:b/>
          <w:color w:val="auto"/>
          <w:sz w:val="24"/>
          <w:szCs w:val="24"/>
          <w:highlight w:val="none"/>
          <w:lang w:val="en-US" w:eastAsia="zh-CN" w:bidi="ar-SA"/>
        </w:rPr>
        <w:t>六、其他补充事宜</w:t>
      </w:r>
    </w:p>
    <w:p>
      <w:pPr>
        <w:pStyle w:val="NormalWeb"/>
        <w:keepNext w:val="0"/>
        <w:keepLines w:val="0"/>
        <w:widowControl w:val="0"/>
        <w:suppressLineNumbers w:val="0"/>
        <w:snapToGrid w:val="0"/>
        <w:spacing w:before="0" w:beforeAutospacing="0" w:after="0" w:afterAutospacing="0" w:line="360" w:lineRule="auto"/>
        <w:ind w:left="0" w:right="0" w:firstLine="0" w:leftChars="0" w:firstLineChars="0"/>
        <w:jc w:val="left"/>
        <w:rPr>
          <w:rFonts w:ascii="宋体" w:eastAsia="宋体" w:hAnsi="宋体" w:cs="Tahoma" w:hint="eastAsia"/>
          <w:color w:val="auto"/>
          <w:spacing w:val="0"/>
          <w:sz w:val="21"/>
          <w:szCs w:val="21"/>
          <w:highlight w:val="none"/>
        </w:rPr>
      </w:pPr>
      <w:r>
        <w:rPr>
          <w:rFonts w:ascii="宋体" w:eastAsia="宋体" w:hAnsi="宋体" w:cs="宋体" w:hint="eastAsia"/>
          <w:color w:val="auto"/>
          <w:spacing w:val="0"/>
          <w:kern w:val="0"/>
          <w:sz w:val="21"/>
          <w:szCs w:val="21"/>
          <w:highlight w:val="none"/>
          <w:lang w:val="en-US" w:eastAsia="zh-CN" w:bidi="ar"/>
        </w:rPr>
        <w:t>获取招标文件的方式：符合条件的申请人自行前往购买，购买招标文件时应提供以下资料（以下要求的资料须加盖投标人公章）：《采购文件发售登记表》（由采购代理机构提供或从指定媒体下载）；</w:t>
      </w:r>
    </w:p>
    <w:p>
      <w:pPr>
        <w:pStyle w:val="NormalWeb"/>
        <w:keepNext w:val="0"/>
        <w:keepLines w:val="0"/>
        <w:widowControl w:val="0"/>
        <w:suppressLineNumbers w:val="0"/>
        <w:snapToGrid w:val="0"/>
        <w:spacing w:before="0" w:beforeAutospacing="0" w:after="0" w:afterAutospacing="0" w:line="360" w:lineRule="auto"/>
        <w:ind w:left="0" w:right="0" w:firstLine="0" w:leftChars="0" w:firstLineChars="0"/>
        <w:jc w:val="left"/>
        <w:rPr>
          <w:rFonts w:ascii="宋体" w:eastAsia="宋体" w:hAnsi="宋体" w:cs="宋体" w:hint="eastAsia"/>
          <w:color w:val="auto"/>
          <w:spacing w:val="0"/>
          <w:kern w:val="0"/>
          <w:sz w:val="21"/>
          <w:szCs w:val="21"/>
          <w:highlight w:val="none"/>
          <w:lang w:val="en-US" w:eastAsia="zh-CN" w:bidi="ar"/>
        </w:rPr>
      </w:pPr>
      <w:r>
        <w:rPr>
          <w:rFonts w:ascii="宋体" w:eastAsia="宋体" w:hAnsi="宋体" w:cs="宋体" w:hint="eastAsia"/>
          <w:color w:val="auto"/>
          <w:spacing w:val="0"/>
          <w:kern w:val="0"/>
          <w:sz w:val="21"/>
          <w:szCs w:val="21"/>
          <w:highlight w:val="none"/>
          <w:lang w:val="en-US" w:eastAsia="zh-CN" w:bidi="ar"/>
        </w:rPr>
        <w:t>注：1）已办理成功购买招标文件的供应商参加投标的，不代表通过资格性审查。</w:t>
      </w:r>
    </w:p>
    <w:p>
      <w:pPr>
        <w:pStyle w:val="NormalWeb"/>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0" w:leftChars="0" w:firstLineChars="0"/>
        <w:jc w:val="left"/>
        <w:textAlignment w:val="auto"/>
        <w:rPr>
          <w:rFonts w:ascii="宋体" w:eastAsia="宋体" w:hAnsi="宋体" w:cs="宋体" w:hint="eastAsia"/>
          <w:b/>
          <w:color w:val="auto"/>
          <w:szCs w:val="24"/>
          <w:highlight w:val="none"/>
          <w:lang w:val="en-US" w:eastAsia="zh-CN" w:bidi="ar-SA"/>
        </w:rPr>
      </w:pPr>
      <w:r>
        <w:rPr>
          <w:rFonts w:ascii="宋体" w:eastAsia="宋体" w:hAnsi="宋体" w:cs="宋体" w:hint="eastAsia"/>
          <w:b/>
          <w:color w:val="auto"/>
          <w:sz w:val="24"/>
          <w:szCs w:val="24"/>
          <w:highlight w:val="none"/>
          <w:lang w:val="en-US" w:eastAsia="zh-CN" w:bidi="ar-SA"/>
        </w:rPr>
        <w:t>七、对本次招标提出询问，请按以下方式联系。</w:t>
      </w:r>
    </w:p>
    <w:p>
      <w:pPr>
        <w:numPr>
          <w:ilvl w:val="0"/>
          <w:numId w:val="3"/>
        </w:numPr>
        <w:spacing w:line="360" w:lineRule="auto"/>
        <w:rPr>
          <w:rFonts w:ascii="宋体" w:hAnsi="宋体" w:cs="宋体" w:hint="eastAsia"/>
          <w:color w:val="auto"/>
          <w:szCs w:val="21"/>
          <w:highlight w:val="none"/>
        </w:rPr>
      </w:pPr>
      <w:r>
        <w:rPr>
          <w:rFonts w:ascii="宋体" w:eastAsia="宋体" w:hAnsi="宋体" w:cs="宋体" w:hint="eastAsia"/>
          <w:color w:val="auto"/>
          <w:sz w:val="21"/>
          <w:szCs w:val="21"/>
          <w:highlight w:val="none"/>
        </w:rPr>
        <w:t>采购人：</w:t>
      </w:r>
      <w:r>
        <w:rPr>
          <w:rFonts w:ascii="宋体" w:hAnsi="宋体" w:cs="宋体" w:hint="eastAsia"/>
          <w:color w:val="auto"/>
          <w:sz w:val="21"/>
          <w:szCs w:val="21"/>
          <w:highlight w:val="none"/>
          <w:lang w:eastAsia="zh-CN"/>
        </w:rPr>
        <w:t>兴宁市残疾人康复中心</w:t>
      </w:r>
      <w:r>
        <w:rPr>
          <w:rFonts w:ascii="宋体" w:eastAsia="宋体" w:hAnsi="宋体" w:cs="宋体" w:hint="eastAsia"/>
          <w:color w:val="auto"/>
          <w:sz w:val="21"/>
          <w:szCs w:val="21"/>
          <w:highlight w:val="none"/>
          <w:lang w:eastAsia="zh-CN"/>
        </w:rPr>
        <w:t xml:space="preserve"> </w:t>
      </w:r>
    </w:p>
    <w:p>
      <w:pPr>
        <w:tabs>
          <w:tab w:val="left" w:pos="7740"/>
        </w:tabs>
        <w:adjustRightInd w:val="0"/>
        <w:snapToGrid w:val="0"/>
        <w:spacing w:line="360" w:lineRule="auto"/>
        <w:rPr>
          <w:rFonts w:ascii="宋体" w:hAnsi="宋体" w:cs="宋体" w:hint="default"/>
          <w:color w:val="auto"/>
          <w:kern w:val="0"/>
          <w:szCs w:val="21"/>
          <w:highlight w:val="none"/>
        </w:rPr>
      </w:pPr>
      <w:r>
        <w:rPr>
          <w:rFonts w:ascii="宋体" w:eastAsia="宋体" w:hAnsi="宋体" w:cs="宋体" w:hint="eastAsia"/>
          <w:color w:val="auto"/>
          <w:kern w:val="0"/>
          <w:sz w:val="21"/>
          <w:szCs w:val="21"/>
          <w:highlight w:val="none"/>
        </w:rPr>
        <w:t xml:space="preserve">   联系</w:t>
      </w:r>
      <w:r>
        <w:rPr>
          <w:rFonts w:ascii="宋体" w:hAnsi="宋体" w:cs="宋体" w:hint="eastAsia"/>
          <w:color w:val="auto"/>
          <w:kern w:val="0"/>
          <w:sz w:val="21"/>
          <w:szCs w:val="21"/>
          <w:highlight w:val="none"/>
          <w:lang w:eastAsia="zh-CN"/>
        </w:rPr>
        <w:t>电话</w:t>
      </w:r>
      <w:r>
        <w:rPr>
          <w:rFonts w:ascii="宋体" w:eastAsia="宋体" w:hAnsi="宋体" w:cs="宋体" w:hint="eastAsia"/>
          <w:color w:val="auto"/>
          <w:kern w:val="0"/>
          <w:sz w:val="21"/>
          <w:szCs w:val="21"/>
          <w:highlight w:val="none"/>
        </w:rPr>
        <w:t>：</w:t>
      </w:r>
      <w:r>
        <w:rPr>
          <w:rFonts w:ascii="宋体" w:hAnsi="宋体" w:cs="宋体" w:hint="eastAsia"/>
          <w:color w:val="auto"/>
          <w:kern w:val="0"/>
          <w:sz w:val="21"/>
          <w:szCs w:val="21"/>
          <w:highlight w:val="none"/>
          <w:lang w:val="en-US" w:eastAsia="zh-CN"/>
        </w:rPr>
        <w:t xml:space="preserve">0753-3258159 </w:t>
      </w:r>
    </w:p>
    <w:p>
      <w:pPr>
        <w:numPr>
          <w:ilvl w:val="0"/>
          <w:numId w:val="3"/>
        </w:numPr>
        <w:spacing w:line="360" w:lineRule="auto"/>
        <w:rPr>
          <w:rFonts w:ascii="宋体" w:hAnsi="宋体" w:cs="宋体" w:hint="eastAsia"/>
          <w:color w:val="auto"/>
          <w:szCs w:val="21"/>
          <w:highlight w:val="none"/>
        </w:rPr>
      </w:pPr>
      <w:r>
        <w:rPr>
          <w:rFonts w:ascii="宋体" w:eastAsia="宋体" w:hAnsi="宋体" w:cs="宋体" w:hint="eastAsia"/>
          <w:color w:val="auto"/>
          <w:sz w:val="21"/>
          <w:szCs w:val="21"/>
          <w:highlight w:val="none"/>
        </w:rPr>
        <w:t>采购代理机构联系人：</w:t>
      </w:r>
      <w:r>
        <w:rPr>
          <w:rFonts w:ascii="宋体" w:eastAsia="宋体" w:hAnsi="宋体" w:cs="宋体" w:hint="eastAsia"/>
          <w:color w:val="auto"/>
          <w:sz w:val="21"/>
          <w:szCs w:val="21"/>
          <w:highlight w:val="none"/>
          <w:lang w:val="en-US" w:eastAsia="zh-CN"/>
        </w:rPr>
        <w:t>王先生</w:t>
      </w:r>
    </w:p>
    <w:p>
      <w:pPr>
        <w:spacing w:line="360" w:lineRule="auto"/>
        <w:rPr>
          <w:rFonts w:ascii="宋体" w:hAnsi="宋体" w:cs="宋体" w:hint="eastAsia"/>
          <w:color w:val="auto"/>
          <w:szCs w:val="21"/>
          <w:highlight w:val="none"/>
        </w:rPr>
      </w:pPr>
      <w:r>
        <w:rPr>
          <w:rFonts w:ascii="宋体" w:eastAsia="宋体" w:hAnsi="宋体" w:cs="宋体" w:hint="eastAsia"/>
          <w:color w:val="auto"/>
          <w:sz w:val="21"/>
          <w:szCs w:val="21"/>
          <w:highlight w:val="none"/>
        </w:rPr>
        <w:t xml:space="preserve">   电话：</w:t>
      </w:r>
      <w:r>
        <w:rPr>
          <w:rFonts w:ascii="宋体" w:eastAsia="宋体" w:hAnsi="宋体" w:cs="宋体" w:hint="eastAsia"/>
          <w:color w:val="auto"/>
          <w:sz w:val="21"/>
          <w:szCs w:val="21"/>
          <w:highlight w:val="none"/>
          <w:lang w:eastAsia="zh-CN"/>
        </w:rPr>
        <w:t>0753-</w:t>
      </w:r>
      <w:r>
        <w:rPr>
          <w:rFonts w:ascii="宋体" w:eastAsia="宋体" w:hAnsi="宋体" w:cs="宋体" w:hint="eastAsia"/>
          <w:color w:val="auto"/>
          <w:sz w:val="21"/>
          <w:szCs w:val="21"/>
          <w:highlight w:val="none"/>
          <w:lang w:val="en-US" w:eastAsia="zh-CN"/>
        </w:rPr>
        <w:t xml:space="preserve">3681980  </w:t>
      </w:r>
      <w:r>
        <w:rPr>
          <w:rFonts w:ascii="宋体" w:eastAsia="宋体" w:hAnsi="宋体" w:cs="宋体" w:hint="eastAsia"/>
          <w:color w:val="auto"/>
          <w:sz w:val="21"/>
          <w:szCs w:val="21"/>
          <w:highlight w:val="none"/>
          <w:lang w:eastAsia="zh-CN"/>
        </w:rPr>
        <w:t xml:space="preserve"> </w:t>
      </w:r>
      <w:r>
        <w:rPr>
          <w:rFonts w:ascii="宋体" w:eastAsia="宋体" w:hAnsi="宋体" w:cs="宋体" w:hint="eastAsia"/>
          <w:color w:val="auto"/>
          <w:sz w:val="21"/>
          <w:szCs w:val="21"/>
          <w:highlight w:val="none"/>
        </w:rPr>
        <w:t xml:space="preserve">      </w:t>
      </w:r>
    </w:p>
    <w:p>
      <w:pPr>
        <w:spacing w:line="360" w:lineRule="auto"/>
        <w:rPr>
          <w:rFonts w:ascii="宋体" w:hAnsi="宋体" w:cs="宋体" w:hint="eastAsia"/>
          <w:color w:val="auto"/>
          <w:szCs w:val="21"/>
          <w:highlight w:val="none"/>
          <w:u w:val="single"/>
        </w:rPr>
      </w:pPr>
      <w:r>
        <w:rPr>
          <w:rFonts w:ascii="宋体" w:eastAsia="宋体" w:hAnsi="宋体" w:cs="宋体" w:hint="eastAsia"/>
          <w:color w:val="auto"/>
          <w:sz w:val="21"/>
          <w:szCs w:val="21"/>
          <w:highlight w:val="none"/>
        </w:rPr>
        <w:t xml:space="preserve">   </w:t>
      </w:r>
      <w:r>
        <w:rPr>
          <w:rFonts w:ascii="宋体" w:eastAsia="宋体" w:hAnsi="宋体" w:cs="宋体" w:hint="eastAsia"/>
          <w:color w:val="auto"/>
          <w:sz w:val="21"/>
          <w:szCs w:val="21"/>
          <w:highlight w:val="none"/>
          <w:lang w:val="zh-CN"/>
        </w:rPr>
        <w:t>联系地址：</w:t>
      </w:r>
      <w:r>
        <w:rPr>
          <w:rFonts w:ascii="宋体" w:eastAsia="宋体" w:hAnsi="宋体" w:cs="宋体" w:hint="eastAsia"/>
          <w:color w:val="auto"/>
          <w:sz w:val="21"/>
          <w:szCs w:val="21"/>
          <w:highlight w:val="none"/>
          <w:lang w:val="zh-CN" w:eastAsia="zh-CN"/>
        </w:rPr>
        <w:t>梅州市梅江区东汇城D10栋客创汇B座506</w:t>
      </w:r>
      <w:r>
        <w:rPr>
          <w:rFonts w:ascii="宋体" w:eastAsia="宋体" w:hAnsi="宋体" w:cs="宋体" w:hint="eastAsia"/>
          <w:color w:val="auto"/>
          <w:sz w:val="21"/>
          <w:szCs w:val="21"/>
          <w:highlight w:val="none"/>
          <w:lang w:val="en-US" w:eastAsia="zh-CN"/>
        </w:rPr>
        <w:t xml:space="preserve"> </w:t>
      </w:r>
    </w:p>
    <w:p>
      <w:pPr>
        <w:tabs>
          <w:tab w:val="left" w:pos="7740"/>
        </w:tabs>
        <w:adjustRightInd w:val="0"/>
        <w:snapToGrid w:val="0"/>
        <w:spacing w:line="360" w:lineRule="auto"/>
        <w:rPr>
          <w:color w:val="auto"/>
          <w:szCs w:val="21"/>
          <w:highlight w:val="none"/>
        </w:rPr>
      </w:pPr>
      <w:r>
        <w:rPr>
          <w:rFonts w:ascii="宋体" w:eastAsia="宋体" w:hAnsi="宋体" w:cs="宋体" w:hint="eastAsia"/>
          <w:color w:val="auto"/>
          <w:sz w:val="21"/>
          <w:szCs w:val="21"/>
          <w:highlight w:val="none"/>
        </w:rPr>
        <w:t xml:space="preserve">   </w:t>
      </w:r>
      <w:r>
        <w:rPr>
          <w:rFonts w:ascii="宋体" w:eastAsia="宋体" w:hAnsi="宋体" w:cs="宋体" w:hint="eastAsia"/>
          <w:color w:val="auto"/>
          <w:sz w:val="21"/>
          <w:szCs w:val="21"/>
          <w:highlight w:val="none"/>
          <w:lang w:val="zh-CN"/>
        </w:rPr>
        <w:t>邮编：</w:t>
      </w:r>
      <w:r>
        <w:rPr>
          <w:rFonts w:ascii="宋体" w:eastAsia="宋体" w:hAnsi="宋体" w:cs="宋体" w:hint="eastAsia"/>
          <w:color w:val="auto"/>
          <w:sz w:val="21"/>
          <w:szCs w:val="21"/>
          <w:highlight w:val="none"/>
          <w:u w:val="none"/>
          <w:lang w:val="zh-CN"/>
        </w:rPr>
        <w:t>514</w:t>
      </w:r>
      <w:r>
        <w:rPr>
          <w:rFonts w:ascii="宋体" w:eastAsia="宋体" w:hAnsi="宋体" w:cs="宋体" w:hint="eastAsia"/>
          <w:color w:val="auto"/>
          <w:sz w:val="21"/>
          <w:szCs w:val="21"/>
          <w:highlight w:val="none"/>
          <w:u w:val="none"/>
          <w:lang w:val="en-US" w:eastAsia="zh-CN"/>
        </w:rPr>
        <w:t>5</w:t>
      </w:r>
      <w:r>
        <w:rPr>
          <w:rFonts w:ascii="宋体" w:eastAsia="宋体" w:hAnsi="宋体" w:cs="宋体" w:hint="eastAsia"/>
          <w:color w:val="auto"/>
          <w:sz w:val="21"/>
          <w:szCs w:val="21"/>
          <w:highlight w:val="none"/>
          <w:u w:val="none"/>
          <w:lang w:val="zh-CN"/>
        </w:rPr>
        <w:t>00</w:t>
      </w:r>
    </w:p>
    <w:p>
      <w:pPr>
        <w:rPr>
          <w:color w:val="auto"/>
          <w:szCs w:val="21"/>
          <w:highlight w:val="none"/>
        </w:rPr>
      </w:pPr>
    </w:p>
    <w:p>
      <w:pPr>
        <w:tabs>
          <w:tab w:val="left" w:pos="7740"/>
        </w:tabs>
        <w:wordWrap/>
        <w:adjustRightInd w:val="0"/>
        <w:snapToGrid w:val="0"/>
        <w:spacing w:line="360" w:lineRule="auto"/>
        <w:ind w:firstLine="3719" w:firstLineChars="1771"/>
        <w:jc w:val="right"/>
        <w:rPr>
          <w:rFonts w:ascii="宋体" w:hAnsi="宋体" w:cs="宋体" w:hint="eastAsia"/>
          <w:color w:val="auto"/>
          <w:szCs w:val="21"/>
          <w:highlight w:val="none"/>
          <w:u w:val="none"/>
        </w:rPr>
        <w:sectPr>
          <w:headerReference w:type="default" r:id="rId20"/>
          <w:footerReference w:type="default" r:id="rId21"/>
          <w:headerReference w:type="first" r:id="rId22"/>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4" w:chapStyle="1" w:chapSep="enDash"/>
          <w:cols w:num="1" w:space="720"/>
          <w:titlePg w:val="0"/>
          <w:rtlGutter w:val="0"/>
          <w:docGrid w:linePitch="312" w:charSpace="0"/>
        </w:sectPr>
      </w:pPr>
      <w:r>
        <w:rPr>
          <w:rFonts w:ascii="宋体" w:eastAsia="宋体" w:hAnsi="宋体" w:cs="宋体" w:hint="eastAsia"/>
          <w:color w:val="auto"/>
          <w:sz w:val="21"/>
          <w:szCs w:val="21"/>
          <w:highlight w:val="none"/>
          <w:lang w:eastAsia="zh-CN"/>
        </w:rPr>
        <w:t xml:space="preserve">广东粤能工程管理有限公司 </w:t>
      </w:r>
    </w:p>
    <w:p>
      <w:pPr>
        <w:spacing w:line="360" w:lineRule="auto"/>
        <w:jc w:val="right"/>
        <w:rPr>
          <w:rFonts w:ascii="宋体" w:hAnsi="宋体" w:cs="宋体" w:hint="eastAsia"/>
          <w:b/>
          <w:color w:val="auto"/>
          <w:sz w:val="44"/>
        </w:rPr>
      </w:pPr>
      <w:r>
        <w:rPr>
          <w:rFonts w:ascii="宋体" w:eastAsia="宋体" w:hAnsi="宋体" w:cs="宋体" w:hint="eastAsia"/>
          <w:color w:val="auto"/>
          <w:sz w:val="21"/>
          <w:szCs w:val="21"/>
          <w:highlight w:val="none"/>
          <w:u w:val="none"/>
          <w:lang w:val="en-US" w:eastAsia="zh-CN"/>
        </w:rPr>
        <w:t xml:space="preserve">                                                     </w:t>
      </w:r>
      <w:r>
        <w:rPr>
          <w:rFonts w:ascii="宋体" w:cs="宋体" w:hint="eastAsia"/>
          <w:color w:val="auto"/>
          <w:sz w:val="21"/>
          <w:szCs w:val="21"/>
          <w:highlight w:val="none"/>
          <w:u w:val="none"/>
          <w:lang w:val="en-US" w:eastAsia="zh-CN"/>
        </w:rPr>
        <w:t xml:space="preserve">        </w:t>
      </w:r>
      <w:r>
        <w:rPr>
          <w:rFonts w:ascii="宋体" w:eastAsia="宋体" w:hAnsi="宋体" w:cs="宋体" w:hint="eastAsia"/>
          <w:color w:val="auto"/>
          <w:sz w:val="21"/>
          <w:szCs w:val="21"/>
          <w:highlight w:val="none"/>
          <w:u w:val="none"/>
          <w:lang w:val="en-US" w:eastAsia="zh-CN"/>
        </w:rPr>
        <w:t xml:space="preserve"> </w:t>
      </w:r>
      <w:r>
        <w:rPr>
          <w:rFonts w:ascii="宋体" w:eastAsia="宋体" w:hAnsi="宋体" w:cs="宋体" w:hint="eastAsia"/>
          <w:color w:val="auto"/>
          <w:sz w:val="21"/>
          <w:szCs w:val="21"/>
          <w:highlight w:val="none"/>
          <w:u w:val="none"/>
        </w:rPr>
        <w:t>20</w:t>
      </w:r>
      <w:r>
        <w:rPr>
          <w:rFonts w:ascii="宋体" w:eastAsia="宋体" w:hAnsi="宋体" w:cs="宋体" w:hint="eastAsia"/>
          <w:color w:val="auto"/>
          <w:sz w:val="21"/>
          <w:szCs w:val="21"/>
          <w:highlight w:val="none"/>
          <w:u w:val="none"/>
          <w:lang w:val="en-US" w:eastAsia="zh-CN"/>
        </w:rPr>
        <w:t>2</w:t>
      </w:r>
      <w:r>
        <w:rPr>
          <w:rFonts w:ascii="宋体" w:cs="宋体" w:hint="eastAsia"/>
          <w:color w:val="auto"/>
          <w:sz w:val="21"/>
          <w:szCs w:val="21"/>
          <w:highlight w:val="none"/>
          <w:u w:val="none"/>
          <w:lang w:val="en-US" w:eastAsia="zh-CN"/>
        </w:rPr>
        <w:t>2</w:t>
      </w:r>
      <w:r>
        <w:rPr>
          <w:rFonts w:ascii="宋体" w:eastAsia="宋体" w:hAnsi="宋体" w:cs="宋体" w:hint="eastAsia"/>
          <w:color w:val="auto"/>
          <w:sz w:val="21"/>
          <w:szCs w:val="21"/>
          <w:highlight w:val="none"/>
          <w:u w:val="none"/>
        </w:rPr>
        <w:t>年</w:t>
      </w:r>
      <w:r>
        <w:rPr>
          <w:rFonts w:ascii="宋体" w:cs="宋体" w:hint="eastAsia"/>
          <w:color w:val="auto"/>
          <w:sz w:val="21"/>
          <w:szCs w:val="21"/>
          <w:highlight w:val="none"/>
          <w:u w:val="none"/>
          <w:lang w:val="en-US" w:eastAsia="zh-CN"/>
        </w:rPr>
        <w:t>08</w:t>
      </w:r>
      <w:r>
        <w:rPr>
          <w:rFonts w:ascii="宋体" w:eastAsia="宋体" w:hAnsi="宋体" w:cs="宋体" w:hint="eastAsia"/>
          <w:color w:val="auto"/>
          <w:sz w:val="21"/>
          <w:szCs w:val="21"/>
          <w:highlight w:val="none"/>
          <w:u w:val="none"/>
        </w:rPr>
        <w:t>月</w:t>
      </w:r>
      <w:r>
        <w:rPr>
          <w:rFonts w:ascii="宋体" w:hAnsi="宋体" w:cs="宋体" w:hint="eastAsia"/>
          <w:color w:val="auto"/>
          <w:sz w:val="21"/>
          <w:szCs w:val="21"/>
          <w:highlight w:val="none"/>
          <w:u w:val="none"/>
          <w:lang w:val="en-US" w:eastAsia="zh-CN"/>
        </w:rPr>
        <w:t>12</w:t>
      </w:r>
      <w:r>
        <w:rPr>
          <w:rFonts w:ascii="宋体" w:eastAsia="宋体" w:hAnsi="宋体" w:cs="宋体" w:hint="eastAsia"/>
          <w:color w:val="auto"/>
          <w:sz w:val="21"/>
          <w:szCs w:val="21"/>
          <w:highlight w:val="none"/>
          <w:u w:val="none"/>
        </w:rPr>
        <w:t>日</w:t>
      </w:r>
    </w:p>
    <w:p>
      <w:pPr>
        <w:spacing w:line="360" w:lineRule="auto"/>
        <w:jc w:val="center"/>
        <w:rPr>
          <w:rFonts w:ascii="宋体" w:hAnsi="宋体" w:cs="宋体" w:hint="eastAsia"/>
          <w:b/>
          <w:color w:val="auto"/>
          <w:sz w:val="44"/>
        </w:rPr>
      </w:pPr>
    </w:p>
    <w:p>
      <w:pPr>
        <w:spacing w:line="360" w:lineRule="auto"/>
        <w:jc w:val="center"/>
        <w:rPr>
          <w:rFonts w:ascii="宋体" w:hAnsi="宋体" w:cs="宋体" w:hint="eastAsia"/>
          <w:b/>
          <w:color w:val="auto"/>
          <w:sz w:val="44"/>
        </w:rPr>
      </w:pPr>
    </w:p>
    <w:p>
      <w:pPr>
        <w:spacing w:line="360" w:lineRule="auto"/>
        <w:jc w:val="center"/>
        <w:rPr>
          <w:rFonts w:ascii="宋体" w:hAnsi="宋体" w:cs="宋体" w:hint="eastAsia"/>
          <w:b/>
          <w:color w:val="auto"/>
          <w:sz w:val="44"/>
        </w:rPr>
      </w:pPr>
    </w:p>
    <w:p>
      <w:pPr>
        <w:spacing w:line="360" w:lineRule="auto"/>
        <w:jc w:val="center"/>
        <w:rPr>
          <w:rFonts w:ascii="宋体" w:hAnsi="宋体" w:cs="宋体" w:hint="eastAsia"/>
          <w:b/>
          <w:color w:val="auto"/>
          <w:sz w:val="44"/>
        </w:rPr>
      </w:pPr>
    </w:p>
    <w:p>
      <w:pPr>
        <w:spacing w:line="360" w:lineRule="auto"/>
        <w:jc w:val="center"/>
        <w:rPr>
          <w:rFonts w:ascii="宋体" w:hAnsi="宋体" w:cs="宋体" w:hint="eastAsia"/>
          <w:b/>
          <w:color w:val="auto"/>
          <w:sz w:val="44"/>
        </w:rPr>
      </w:pPr>
      <w:r>
        <w:rPr>
          <w:rFonts w:ascii="宋体" w:eastAsia="宋体" w:hAnsi="宋体" w:cs="宋体" w:hint="eastAsia"/>
          <w:b/>
          <w:color w:val="auto"/>
          <w:sz w:val="44"/>
        </w:rPr>
        <w:t>第二部分</w:t>
      </w:r>
    </w:p>
    <w:p>
      <w:pPr>
        <w:tabs>
          <w:tab w:val="left" w:pos="3210"/>
        </w:tabs>
        <w:jc w:val="center"/>
        <w:rPr>
          <w:rFonts w:ascii="宋体" w:hAnsi="宋体" w:cs="宋体" w:hint="eastAsia"/>
          <w:b/>
          <w:color w:val="auto"/>
          <w:sz w:val="32"/>
          <w:szCs w:val="32"/>
        </w:rPr>
        <w:sectPr>
          <w:headerReference w:type="default" r:id="rId23"/>
          <w:footerReference w:type="default" r:id="rId24"/>
          <w:headerReference w:type="first" r:id="rId25"/>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5" w:chapStyle="1" w:chapSep="enDash"/>
          <w:cols w:num="1" w:space="720"/>
          <w:titlePg w:val="0"/>
          <w:rtlGutter w:val="0"/>
          <w:docGrid w:linePitch="312" w:charSpace="0"/>
        </w:sectPr>
      </w:pPr>
      <w:r>
        <w:rPr>
          <w:rFonts w:ascii="宋体" w:eastAsia="宋体" w:hAnsi="宋体" w:cs="宋体" w:hint="eastAsia"/>
          <w:b/>
          <w:color w:val="auto"/>
          <w:sz w:val="44"/>
        </w:rPr>
        <w:t>采购项目内容</w:t>
      </w:r>
    </w:p>
    <w:p>
      <w:pPr>
        <w:tabs>
          <w:tab w:val="left" w:pos="3210"/>
        </w:tabs>
        <w:jc w:val="center"/>
        <w:rPr>
          <w:rFonts w:ascii="宋体" w:hAnsi="宋体" w:cs="宋体" w:hint="eastAsia"/>
          <w:b/>
          <w:color w:val="auto"/>
          <w:sz w:val="32"/>
          <w:szCs w:val="32"/>
        </w:rPr>
      </w:pPr>
      <w:r>
        <w:rPr>
          <w:rFonts w:ascii="宋体" w:eastAsia="宋体" w:hAnsi="宋体" w:cs="宋体" w:hint="eastAsia"/>
          <w:b/>
          <w:color w:val="auto"/>
          <w:sz w:val="32"/>
          <w:szCs w:val="32"/>
        </w:rPr>
        <w:t>采购项目内容</w:t>
      </w:r>
    </w:p>
    <w:p>
      <w:pPr>
        <w:numPr>
          <w:ilvl w:val="0"/>
          <w:numId w:val="0"/>
        </w:numPr>
        <w:tabs>
          <w:tab w:val="left" w:pos="800"/>
          <w:tab w:val="left" w:pos="4500"/>
        </w:tabs>
        <w:autoSpaceDE w:val="0"/>
        <w:autoSpaceDN w:val="0"/>
        <w:adjustRightInd w:val="0"/>
        <w:spacing w:before="240" w:beforeLines="100" w:after="240" w:afterLines="100" w:line="360" w:lineRule="auto"/>
        <w:ind w:right="4031" w:rightChars="0"/>
        <w:jc w:val="left"/>
        <w:rPr>
          <w:rFonts w:ascii="宋体" w:hAnsi="宋体" w:cs="宋体" w:hint="eastAsia"/>
          <w:b/>
          <w:color w:val="auto"/>
          <w:sz w:val="32"/>
          <w:szCs w:val="32"/>
        </w:rPr>
      </w:pPr>
      <w:r>
        <w:rPr>
          <w:rFonts w:ascii="宋体" w:hAnsi="宋体" w:cs="宋体" w:hint="eastAsia"/>
          <w:b/>
          <w:color w:val="auto"/>
          <w:kern w:val="0"/>
          <w:sz w:val="24"/>
          <w:szCs w:val="24"/>
          <w:lang w:val="en-US" w:eastAsia="zh-CN"/>
        </w:rPr>
        <w:t>一：</w:t>
      </w:r>
      <w:r>
        <w:rPr>
          <w:rFonts w:ascii="宋体" w:eastAsia="宋体" w:hAnsi="宋体" w:cs="宋体" w:hint="eastAsia"/>
          <w:b/>
          <w:color w:val="auto"/>
          <w:kern w:val="0"/>
          <w:sz w:val="24"/>
          <w:szCs w:val="24"/>
        </w:rPr>
        <w:t>采购项目需求一览表</w:t>
      </w:r>
    </w:p>
    <w:p>
      <w:pPr>
        <w:pStyle w:val="NormalWeb"/>
        <w:keepNext w:val="0"/>
        <w:keepLines w:val="0"/>
        <w:widowControl w:val="0"/>
        <w:suppressLineNumbers w:val="0"/>
        <w:snapToGrid w:val="0"/>
        <w:spacing w:before="0" w:beforeAutospacing="0" w:after="0" w:afterAutospacing="0" w:line="360" w:lineRule="auto"/>
        <w:ind w:left="0" w:right="0" w:firstLine="0" w:leftChars="0" w:firstLineChars="0"/>
        <w:jc w:val="left"/>
        <w:rPr>
          <w:rFonts w:ascii="宋体" w:eastAsia="宋体" w:hAnsi="宋体" w:cs="宋体" w:hint="eastAsia"/>
          <w:color w:val="auto"/>
          <w:spacing w:val="0"/>
          <w:kern w:val="0"/>
          <w:sz w:val="21"/>
          <w:szCs w:val="21"/>
          <w:highlight w:val="none"/>
          <w:lang w:val="en-US" w:eastAsia="zh-CN" w:bidi="ar"/>
        </w:rPr>
      </w:pPr>
      <w:r>
        <w:rPr>
          <w:rFonts w:ascii="宋体" w:eastAsia="宋体" w:hAnsi="宋体" w:cs="宋体" w:hint="eastAsia"/>
          <w:color w:val="auto"/>
          <w:spacing w:val="0"/>
          <w:kern w:val="0"/>
          <w:sz w:val="21"/>
          <w:szCs w:val="21"/>
          <w:highlight w:val="none"/>
          <w:lang w:val="en-US" w:eastAsia="zh-CN" w:bidi="ar"/>
        </w:rPr>
        <w:t>采购需求：</w:t>
      </w:r>
    </w:p>
    <w:p>
      <w:pPr>
        <w:pStyle w:val="NormalWeb"/>
        <w:keepNext w:val="0"/>
        <w:keepLines w:val="0"/>
        <w:widowControl w:val="0"/>
        <w:suppressLineNumbers w:val="0"/>
        <w:snapToGrid w:val="0"/>
        <w:spacing w:before="0" w:beforeAutospacing="0" w:after="0" w:afterAutospacing="0" w:line="360" w:lineRule="auto"/>
        <w:ind w:left="0" w:right="0" w:firstLine="0" w:leftChars="0" w:firstLineChars="0"/>
        <w:jc w:val="left"/>
        <w:rPr>
          <w:color w:val="auto"/>
          <w:sz w:val="21"/>
          <w:szCs w:val="21"/>
          <w:highlight w:val="none"/>
        </w:rPr>
      </w:pPr>
      <w:r>
        <w:rPr>
          <w:rFonts w:ascii="宋体" w:eastAsia="宋体" w:hAnsi="宋体" w:cs="宋体" w:hint="eastAsia"/>
          <w:color w:val="auto"/>
          <w:spacing w:val="0"/>
          <w:kern w:val="0"/>
          <w:sz w:val="21"/>
          <w:szCs w:val="21"/>
          <w:highlight w:val="none"/>
          <w:lang w:val="en-US" w:eastAsia="zh-CN" w:bidi="ar"/>
        </w:rPr>
        <w:t>合同</w:t>
      </w:r>
      <w:r>
        <w:rPr>
          <w:color w:val="auto"/>
          <w:sz w:val="21"/>
          <w:szCs w:val="21"/>
          <w:highlight w:val="none"/>
        </w:rPr>
        <w:t>包1(</w:t>
      </w:r>
      <w:r>
        <w:rPr>
          <w:rFonts w:ascii="宋体" w:eastAsia="宋体" w:hAnsi="宋体" w:cs="宋体" w:hint="default"/>
          <w:b w:val="0"/>
          <w:bCs w:val="0"/>
          <w:color w:val="auto"/>
          <w:sz w:val="21"/>
          <w:szCs w:val="21"/>
          <w:lang w:val="en-US" w:eastAsia="zh-CN" w:bidi="ar-SA"/>
        </w:rPr>
        <w:t>兴宁市残疾人康复中心设备设施采购</w:t>
      </w:r>
      <w:r>
        <w:rPr>
          <w:color w:val="auto"/>
          <w:sz w:val="21"/>
          <w:szCs w:val="21"/>
          <w:highlight w:val="none"/>
        </w:rPr>
        <w:t>):</w:t>
      </w:r>
    </w:p>
    <w:p>
      <w:pPr>
        <w:pStyle w:val="NormalWeb"/>
        <w:keepNext w:val="0"/>
        <w:keepLines w:val="0"/>
        <w:widowControl/>
        <w:suppressLineNumbers w:val="0"/>
        <w:ind w:left="0" w:firstLine="630"/>
        <w:rPr>
          <w:rFonts w:ascii="宋体" w:eastAsia="宋体" w:hAnsi="宋体" w:cs="宋体" w:hint="eastAsia"/>
          <w:color w:val="auto"/>
          <w:spacing w:val="0"/>
          <w:kern w:val="0"/>
          <w:sz w:val="21"/>
          <w:szCs w:val="21"/>
          <w:highlight w:val="none"/>
          <w:lang w:val="en-US" w:eastAsia="zh-CN" w:bidi="ar"/>
        </w:rPr>
      </w:pPr>
      <w:r>
        <w:rPr>
          <w:color w:val="auto"/>
          <w:sz w:val="21"/>
          <w:szCs w:val="21"/>
          <w:highlight w:val="none"/>
        </w:rPr>
        <w:t>合同包预算金额：</w:t>
      </w:r>
      <w:r>
        <w:rPr>
          <w:rFonts w:hint="eastAsia"/>
          <w:color w:val="auto"/>
          <w:sz w:val="21"/>
          <w:szCs w:val="21"/>
          <w:highlight w:val="none"/>
          <w:lang w:val="en-US" w:eastAsia="zh-CN"/>
        </w:rPr>
        <w:t>367070.00</w:t>
      </w:r>
      <w:r>
        <w:rPr>
          <w:color w:val="auto"/>
          <w:sz w:val="21"/>
          <w:szCs w:val="21"/>
          <w:highlight w:val="none"/>
        </w:rPr>
        <w:t>元</w:t>
      </w:r>
    </w:p>
    <w:tbl>
      <w:tblPr>
        <w:tblStyle w:val="TableNormal"/>
        <w:tblW w:w="5000" w:type="pct"/>
        <w:tblCellSpacing w:w="0" w:type="dxa"/>
        <w:tblInd w:w="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
      <w:tblGrid>
        <w:gridCol w:w="669"/>
        <w:gridCol w:w="1783"/>
        <w:gridCol w:w="1783"/>
        <w:gridCol w:w="846"/>
        <w:gridCol w:w="1382"/>
        <w:gridCol w:w="1357"/>
        <w:gridCol w:w="1357"/>
      </w:tblGrid>
      <w:tr>
        <w:tblPrEx>
          <w:tblW w:w="5000" w:type="pct"/>
          <w:tblCellSpacing w:w="0" w:type="dxa"/>
          <w:tblInd w:w="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Ex>
        <w:trPr>
          <w:tblHeader/>
          <w:tblCellSpacing w:w="0" w:type="dxa"/>
        </w:trPr>
        <w:tc>
          <w:tcPr>
            <w:tcW w:w="669" w:type="dxa"/>
            <w:noWrap w:val="0"/>
            <w:vAlign w:val="center"/>
          </w:tcPr>
          <w:p>
            <w:pPr>
              <w:keepNext w:val="0"/>
              <w:keepLines w:val="0"/>
              <w:widowControl/>
              <w:suppressLineNumbers w:val="0"/>
              <w:jc w:val="center"/>
              <w:rPr>
                <w:b/>
                <w:bCs/>
                <w:color w:val="auto"/>
                <w:szCs w:val="21"/>
                <w:highlight w:val="none"/>
              </w:rPr>
            </w:pPr>
            <w:r>
              <w:rPr>
                <w:rFonts w:ascii="宋体" w:eastAsia="宋体" w:hAnsi="宋体" w:cs="宋体"/>
                <w:b/>
                <w:bCs/>
                <w:color w:val="auto"/>
                <w:kern w:val="0"/>
                <w:sz w:val="21"/>
                <w:szCs w:val="21"/>
                <w:highlight w:val="none"/>
                <w:lang w:val="en-US" w:eastAsia="zh-CN" w:bidi="ar"/>
              </w:rPr>
              <w:t>品目号</w:t>
            </w:r>
          </w:p>
        </w:tc>
        <w:tc>
          <w:tcPr>
            <w:tcW w:w="1783" w:type="dxa"/>
            <w:noWrap w:val="0"/>
            <w:vAlign w:val="center"/>
          </w:tcPr>
          <w:p>
            <w:pPr>
              <w:keepNext w:val="0"/>
              <w:keepLines w:val="0"/>
              <w:widowControl/>
              <w:suppressLineNumbers w:val="0"/>
              <w:jc w:val="center"/>
              <w:rPr>
                <w:b/>
                <w:bCs/>
                <w:color w:val="auto"/>
                <w:szCs w:val="21"/>
                <w:highlight w:val="none"/>
              </w:rPr>
            </w:pPr>
            <w:r>
              <w:rPr>
                <w:rFonts w:ascii="宋体" w:eastAsia="宋体" w:hAnsi="宋体" w:cs="宋体"/>
                <w:b/>
                <w:bCs/>
                <w:color w:val="auto"/>
                <w:kern w:val="0"/>
                <w:sz w:val="21"/>
                <w:szCs w:val="21"/>
                <w:highlight w:val="none"/>
                <w:lang w:val="en-US" w:eastAsia="zh-CN" w:bidi="ar"/>
              </w:rPr>
              <w:t>品目名称</w:t>
            </w:r>
          </w:p>
        </w:tc>
        <w:tc>
          <w:tcPr>
            <w:tcW w:w="1783" w:type="dxa"/>
            <w:noWrap w:val="0"/>
            <w:vAlign w:val="center"/>
          </w:tcPr>
          <w:p>
            <w:pPr>
              <w:keepNext w:val="0"/>
              <w:keepLines w:val="0"/>
              <w:widowControl/>
              <w:suppressLineNumbers w:val="0"/>
              <w:jc w:val="center"/>
              <w:rPr>
                <w:b/>
                <w:bCs/>
                <w:color w:val="auto"/>
                <w:szCs w:val="21"/>
                <w:highlight w:val="none"/>
              </w:rPr>
            </w:pPr>
            <w:r>
              <w:rPr>
                <w:rFonts w:ascii="宋体" w:eastAsia="宋体" w:hAnsi="宋体" w:cs="宋体"/>
                <w:b/>
                <w:bCs/>
                <w:color w:val="auto"/>
                <w:kern w:val="0"/>
                <w:sz w:val="21"/>
                <w:szCs w:val="21"/>
                <w:highlight w:val="none"/>
                <w:lang w:val="en-US" w:eastAsia="zh-CN" w:bidi="ar"/>
              </w:rPr>
              <w:t>采购标的</w:t>
            </w:r>
          </w:p>
        </w:tc>
        <w:tc>
          <w:tcPr>
            <w:tcW w:w="846" w:type="dxa"/>
            <w:noWrap w:val="0"/>
            <w:vAlign w:val="center"/>
          </w:tcPr>
          <w:p>
            <w:pPr>
              <w:keepNext w:val="0"/>
              <w:keepLines w:val="0"/>
              <w:widowControl/>
              <w:suppressLineNumbers w:val="0"/>
              <w:jc w:val="center"/>
              <w:rPr>
                <w:b/>
                <w:bCs/>
                <w:color w:val="auto"/>
                <w:szCs w:val="21"/>
                <w:highlight w:val="none"/>
              </w:rPr>
            </w:pPr>
            <w:r>
              <w:rPr>
                <w:rFonts w:ascii="宋体" w:eastAsia="宋体" w:hAnsi="宋体" w:cs="宋体"/>
                <w:b/>
                <w:bCs/>
                <w:color w:val="auto"/>
                <w:kern w:val="0"/>
                <w:sz w:val="21"/>
                <w:szCs w:val="21"/>
                <w:highlight w:val="none"/>
                <w:lang w:val="en-US" w:eastAsia="zh-CN" w:bidi="ar"/>
              </w:rPr>
              <w:t>数量（单位）</w:t>
            </w:r>
          </w:p>
        </w:tc>
        <w:tc>
          <w:tcPr>
            <w:tcW w:w="1382" w:type="dxa"/>
            <w:noWrap w:val="0"/>
            <w:vAlign w:val="center"/>
          </w:tcPr>
          <w:p>
            <w:pPr>
              <w:keepNext w:val="0"/>
              <w:keepLines w:val="0"/>
              <w:widowControl/>
              <w:suppressLineNumbers w:val="0"/>
              <w:jc w:val="center"/>
              <w:rPr>
                <w:b/>
                <w:bCs/>
                <w:color w:val="auto"/>
                <w:szCs w:val="21"/>
                <w:highlight w:val="none"/>
              </w:rPr>
            </w:pPr>
            <w:r>
              <w:rPr>
                <w:rFonts w:ascii="宋体" w:eastAsia="宋体" w:hAnsi="宋体" w:cs="宋体"/>
                <w:b/>
                <w:bCs/>
                <w:color w:val="auto"/>
                <w:kern w:val="0"/>
                <w:sz w:val="21"/>
                <w:szCs w:val="21"/>
                <w:highlight w:val="none"/>
                <w:lang w:val="en-US" w:eastAsia="zh-CN" w:bidi="ar"/>
              </w:rPr>
              <w:t>技术规格、参数及要求</w:t>
            </w:r>
          </w:p>
        </w:tc>
        <w:tc>
          <w:tcPr>
            <w:tcW w:w="1357" w:type="dxa"/>
            <w:noWrap w:val="0"/>
            <w:vAlign w:val="center"/>
          </w:tcPr>
          <w:p>
            <w:pPr>
              <w:keepNext w:val="0"/>
              <w:keepLines w:val="0"/>
              <w:widowControl/>
              <w:suppressLineNumbers w:val="0"/>
              <w:jc w:val="center"/>
              <w:rPr>
                <w:b/>
                <w:bCs/>
                <w:color w:val="auto"/>
                <w:szCs w:val="21"/>
                <w:highlight w:val="none"/>
              </w:rPr>
            </w:pPr>
            <w:r>
              <w:rPr>
                <w:rFonts w:ascii="宋体" w:eastAsia="宋体" w:hAnsi="宋体" w:cs="宋体"/>
                <w:b/>
                <w:bCs/>
                <w:color w:val="auto"/>
                <w:kern w:val="0"/>
                <w:sz w:val="21"/>
                <w:szCs w:val="21"/>
                <w:highlight w:val="none"/>
                <w:lang w:val="en-US" w:eastAsia="zh-CN" w:bidi="ar"/>
              </w:rPr>
              <w:t>品目预算(元)</w:t>
            </w:r>
          </w:p>
        </w:tc>
        <w:tc>
          <w:tcPr>
            <w:tcW w:w="1357" w:type="dxa"/>
            <w:noWrap w:val="0"/>
            <w:vAlign w:val="center"/>
          </w:tcPr>
          <w:p>
            <w:pPr>
              <w:keepNext w:val="0"/>
              <w:keepLines w:val="0"/>
              <w:widowControl/>
              <w:suppressLineNumbers w:val="0"/>
              <w:jc w:val="center"/>
              <w:rPr>
                <w:b/>
                <w:bCs/>
                <w:color w:val="auto"/>
                <w:szCs w:val="21"/>
                <w:highlight w:val="none"/>
              </w:rPr>
            </w:pPr>
            <w:r>
              <w:rPr>
                <w:rFonts w:ascii="宋体" w:eastAsia="宋体" w:hAnsi="宋体" w:cs="宋体"/>
                <w:b/>
                <w:bCs/>
                <w:color w:val="auto"/>
                <w:kern w:val="0"/>
                <w:sz w:val="21"/>
                <w:szCs w:val="21"/>
                <w:highlight w:val="none"/>
                <w:lang w:val="en-US" w:eastAsia="zh-CN" w:bidi="ar"/>
              </w:rPr>
              <w:t>最高限价(元)</w:t>
            </w:r>
          </w:p>
        </w:tc>
      </w:tr>
      <w:tr>
        <w:tblPrEx>
          <w:tblW w:w="5000" w:type="pct"/>
          <w:tblCellSpacing w:w="0" w:type="dxa"/>
          <w:tblInd w:w="17" w:type="dxa"/>
          <w:tblCellMar>
            <w:top w:w="15" w:type="dxa"/>
            <w:left w:w="15" w:type="dxa"/>
            <w:bottom w:w="15" w:type="dxa"/>
            <w:right w:w="15" w:type="dxa"/>
          </w:tblCellMar>
        </w:tblPrEx>
        <w:trPr>
          <w:tblCellSpacing w:w="0" w:type="dxa"/>
        </w:trPr>
        <w:tc>
          <w:tcPr>
            <w:tcW w:w="669" w:type="dxa"/>
            <w:noWrap w:val="0"/>
            <w:vAlign w:val="center"/>
          </w:tcPr>
          <w:p>
            <w:pPr>
              <w:keepNext w:val="0"/>
              <w:keepLines w:val="0"/>
              <w:widowControl/>
              <w:suppressLineNumbers w:val="0"/>
              <w:jc w:val="center"/>
              <w:rPr>
                <w:rFonts w:ascii="宋体" w:hAnsi="宋体" w:cs="宋体" w:hint="eastAsia"/>
                <w:color w:val="auto"/>
                <w:kern w:val="0"/>
                <w:szCs w:val="21"/>
                <w:highlight w:val="none"/>
                <w:lang w:bidi="ar"/>
              </w:rPr>
            </w:pPr>
            <w:r>
              <w:rPr>
                <w:rFonts w:ascii="宋体" w:eastAsia="宋体" w:hAnsi="宋体" w:cs="宋体" w:hint="eastAsia"/>
                <w:color w:val="auto"/>
                <w:kern w:val="0"/>
                <w:sz w:val="21"/>
                <w:szCs w:val="21"/>
                <w:highlight w:val="none"/>
                <w:lang w:val="en-US" w:eastAsia="zh-CN" w:bidi="ar"/>
              </w:rPr>
              <w:t>1-1</w:t>
            </w:r>
          </w:p>
        </w:tc>
        <w:tc>
          <w:tcPr>
            <w:tcW w:w="1783" w:type="dxa"/>
            <w:noWrap w:val="0"/>
            <w:vAlign w:val="center"/>
          </w:tcPr>
          <w:p>
            <w:pPr>
              <w:keepNext w:val="0"/>
              <w:keepLines w:val="0"/>
              <w:widowControl/>
              <w:suppressLineNumbers w:val="0"/>
              <w:jc w:val="center"/>
              <w:rPr>
                <w:rFonts w:ascii="宋体" w:hAnsi="宋体" w:cs="宋体" w:hint="default"/>
                <w:color w:val="auto"/>
                <w:kern w:val="0"/>
                <w:szCs w:val="21"/>
                <w:highlight w:val="none"/>
                <w:lang w:bidi="ar"/>
              </w:rPr>
            </w:pPr>
            <w:r>
              <w:rPr>
                <w:rFonts w:ascii="宋体" w:hAnsi="宋体" w:cs="宋体" w:hint="eastAsia"/>
                <w:color w:val="auto"/>
                <w:kern w:val="0"/>
                <w:sz w:val="21"/>
                <w:szCs w:val="21"/>
                <w:highlight w:val="none"/>
                <w:lang w:val="en-US" w:eastAsia="zh-CN" w:bidi="ar"/>
              </w:rPr>
              <w:t>其他货物</w:t>
            </w:r>
          </w:p>
        </w:tc>
        <w:tc>
          <w:tcPr>
            <w:tcW w:w="1783" w:type="dxa"/>
            <w:noWrap w:val="0"/>
            <w:vAlign w:val="center"/>
          </w:tcPr>
          <w:p>
            <w:pPr>
              <w:keepNext w:val="0"/>
              <w:keepLines w:val="0"/>
              <w:widowControl/>
              <w:suppressLineNumbers w:val="0"/>
              <w:jc w:val="center"/>
              <w:rPr>
                <w:rFonts w:ascii="宋体" w:hAnsi="宋体" w:cs="宋体" w:hint="default"/>
                <w:b w:val="0"/>
                <w:bCs w:val="0"/>
                <w:color w:val="auto"/>
                <w:szCs w:val="21"/>
              </w:rPr>
            </w:pPr>
            <w:r>
              <w:rPr>
                <w:rFonts w:ascii="宋体" w:eastAsia="宋体" w:hAnsi="宋体" w:cs="宋体" w:hint="default"/>
                <w:b w:val="0"/>
                <w:bCs w:val="0"/>
                <w:color w:val="auto"/>
                <w:sz w:val="21"/>
                <w:szCs w:val="21"/>
                <w:lang w:val="en-US" w:eastAsia="zh-CN" w:bidi="ar-SA"/>
              </w:rPr>
              <w:t>兴宁市残疾人康复中心设备器材采购项目</w:t>
            </w:r>
          </w:p>
        </w:tc>
        <w:tc>
          <w:tcPr>
            <w:tcW w:w="846" w:type="dxa"/>
            <w:noWrap w:val="0"/>
            <w:vAlign w:val="center"/>
          </w:tcPr>
          <w:p>
            <w:pPr>
              <w:keepNext w:val="0"/>
              <w:keepLines w:val="0"/>
              <w:widowControl/>
              <w:suppressLineNumbers w:val="0"/>
              <w:jc w:val="center"/>
              <w:rPr>
                <w:rFonts w:ascii="宋体" w:hAnsi="宋体" w:cs="宋体" w:hint="default"/>
                <w:b w:val="0"/>
                <w:bCs w:val="0"/>
                <w:color w:val="auto"/>
                <w:szCs w:val="21"/>
              </w:rPr>
            </w:pPr>
            <w:r>
              <w:rPr>
                <w:rFonts w:ascii="宋体" w:hAnsi="宋体" w:cs="宋体" w:hint="eastAsia"/>
                <w:b w:val="0"/>
                <w:bCs w:val="0"/>
                <w:color w:val="auto"/>
                <w:sz w:val="21"/>
                <w:szCs w:val="21"/>
                <w:lang w:val="en-US" w:eastAsia="zh-CN" w:bidi="ar-SA"/>
              </w:rPr>
              <w:t>一批</w:t>
            </w:r>
          </w:p>
        </w:tc>
        <w:tc>
          <w:tcPr>
            <w:tcW w:w="1382" w:type="dxa"/>
            <w:noWrap w:val="0"/>
            <w:vAlign w:val="center"/>
          </w:tcPr>
          <w:p>
            <w:pPr>
              <w:keepNext w:val="0"/>
              <w:keepLines w:val="0"/>
              <w:widowControl/>
              <w:suppressLineNumbers w:val="0"/>
              <w:jc w:val="center"/>
              <w:rPr>
                <w:rFonts w:ascii="宋体" w:hAnsi="宋体" w:cs="宋体" w:hint="default"/>
                <w:b w:val="0"/>
                <w:bCs w:val="0"/>
                <w:color w:val="auto"/>
                <w:szCs w:val="21"/>
              </w:rPr>
            </w:pPr>
            <w:r>
              <w:rPr>
                <w:rFonts w:ascii="宋体" w:eastAsia="宋体" w:hAnsi="宋体" w:cs="宋体" w:hint="eastAsia"/>
                <w:b w:val="0"/>
                <w:bCs w:val="0"/>
                <w:color w:val="auto"/>
                <w:sz w:val="21"/>
                <w:szCs w:val="21"/>
                <w:lang w:val="en-US" w:eastAsia="zh-CN" w:bidi="ar-SA"/>
              </w:rPr>
              <w:t>详见</w:t>
            </w:r>
            <w:r>
              <w:rPr>
                <w:rFonts w:ascii="宋体" w:hAnsi="宋体" w:cs="宋体" w:hint="eastAsia"/>
                <w:b w:val="0"/>
                <w:bCs w:val="0"/>
                <w:color w:val="auto"/>
                <w:sz w:val="21"/>
                <w:szCs w:val="21"/>
                <w:lang w:val="en-US" w:eastAsia="zh-CN" w:bidi="ar-SA"/>
              </w:rPr>
              <w:t>技术要求</w:t>
            </w:r>
          </w:p>
        </w:tc>
        <w:tc>
          <w:tcPr>
            <w:tcW w:w="1357" w:type="dxa"/>
            <w:noWrap w:val="0"/>
            <w:vAlign w:val="center"/>
          </w:tcPr>
          <w:p>
            <w:pPr>
              <w:keepNext w:val="0"/>
              <w:keepLines w:val="0"/>
              <w:widowControl/>
              <w:suppressLineNumbers w:val="0"/>
              <w:jc w:val="center"/>
              <w:rPr>
                <w:rFonts w:ascii="宋体" w:hAnsi="宋体" w:cs="宋体" w:hint="default"/>
                <w:b w:val="0"/>
                <w:bCs w:val="0"/>
                <w:color w:val="auto"/>
                <w:szCs w:val="21"/>
              </w:rPr>
            </w:pPr>
            <w:r>
              <w:rPr>
                <w:rFonts w:ascii="宋体" w:eastAsia="宋体" w:hAnsi="宋体" w:cs="宋体" w:hint="eastAsia"/>
                <w:color w:val="auto"/>
                <w:spacing w:val="0"/>
                <w:kern w:val="0"/>
                <w:sz w:val="21"/>
                <w:szCs w:val="21"/>
                <w:highlight w:val="none"/>
                <w:lang w:val="en-US" w:eastAsia="zh-CN" w:bidi="ar"/>
              </w:rPr>
              <w:t>367070</w:t>
            </w:r>
            <w:r>
              <w:rPr>
                <w:rFonts w:ascii="宋体" w:hAnsi="宋体" w:cs="宋体" w:hint="eastAsia"/>
                <w:color w:val="auto"/>
                <w:spacing w:val="0"/>
                <w:kern w:val="0"/>
                <w:sz w:val="21"/>
                <w:szCs w:val="21"/>
                <w:highlight w:val="none"/>
                <w:lang w:val="en-US" w:eastAsia="zh-CN" w:bidi="ar"/>
              </w:rPr>
              <w:t>.00</w:t>
            </w:r>
          </w:p>
        </w:tc>
        <w:tc>
          <w:tcPr>
            <w:tcW w:w="1357" w:type="dxa"/>
            <w:noWrap w:val="0"/>
            <w:vAlign w:val="center"/>
          </w:tcPr>
          <w:p>
            <w:pPr>
              <w:keepNext w:val="0"/>
              <w:keepLines w:val="0"/>
              <w:widowControl/>
              <w:suppressLineNumbers w:val="0"/>
              <w:jc w:val="center"/>
              <w:rPr>
                <w:rFonts w:ascii="宋体" w:hAnsi="宋体" w:cs="宋体" w:hint="default"/>
                <w:b w:val="0"/>
                <w:bCs w:val="0"/>
                <w:color w:val="auto"/>
                <w:szCs w:val="21"/>
              </w:rPr>
            </w:pPr>
            <w:r>
              <w:rPr>
                <w:rFonts w:ascii="宋体" w:eastAsia="宋体" w:hAnsi="宋体" w:cs="宋体" w:hint="eastAsia"/>
                <w:color w:val="auto"/>
                <w:spacing w:val="0"/>
                <w:kern w:val="0"/>
                <w:sz w:val="21"/>
                <w:szCs w:val="21"/>
                <w:highlight w:val="none"/>
                <w:lang w:val="en-US" w:eastAsia="zh-CN" w:bidi="ar"/>
              </w:rPr>
              <w:t>367070</w:t>
            </w:r>
            <w:r>
              <w:rPr>
                <w:rFonts w:ascii="宋体" w:hAnsi="宋体" w:cs="宋体" w:hint="eastAsia"/>
                <w:color w:val="auto"/>
                <w:spacing w:val="0"/>
                <w:kern w:val="0"/>
                <w:sz w:val="21"/>
                <w:szCs w:val="21"/>
                <w:highlight w:val="none"/>
                <w:lang w:val="en-US" w:eastAsia="zh-CN" w:bidi="ar"/>
              </w:rPr>
              <w:t>.00</w:t>
            </w:r>
          </w:p>
        </w:tc>
      </w:tr>
    </w:tbl>
    <w:p>
      <w:pPr>
        <w:pStyle w:val="NormalWeb"/>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ascii="宋体" w:eastAsia="宋体" w:hAnsi="宋体" w:cs="宋体" w:hint="eastAsia"/>
          <w:b w:val="0"/>
          <w:bCs w:val="0"/>
          <w:color w:val="auto"/>
          <w:sz w:val="21"/>
          <w:szCs w:val="21"/>
          <w:lang w:val="en-US" w:eastAsia="zh-CN" w:bidi="ar-SA"/>
        </w:rPr>
      </w:pPr>
      <w:r>
        <w:rPr>
          <w:rFonts w:ascii="宋体" w:eastAsia="宋体" w:hAnsi="宋体" w:cs="宋体" w:hint="eastAsia"/>
          <w:b w:val="0"/>
          <w:bCs w:val="0"/>
          <w:color w:val="auto"/>
          <w:sz w:val="21"/>
          <w:szCs w:val="21"/>
          <w:lang w:val="en-US" w:eastAsia="zh-CN" w:bidi="ar-SA"/>
        </w:rPr>
        <w:t>本合同包不接受联合体投标</w:t>
      </w:r>
    </w:p>
    <w:p>
      <w:pPr>
        <w:pStyle w:val="NormalWeb"/>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ascii="宋体" w:eastAsia="宋体" w:hAnsi="宋体" w:cs="宋体" w:hint="eastAsia"/>
          <w:b w:val="0"/>
          <w:bCs w:val="0"/>
          <w:color w:val="auto"/>
          <w:sz w:val="21"/>
          <w:szCs w:val="21"/>
          <w:lang w:val="en-US" w:eastAsia="zh-CN" w:bidi="ar-SA"/>
        </w:rPr>
      </w:pPr>
      <w:r>
        <w:rPr>
          <w:color w:val="auto"/>
          <w:sz w:val="21"/>
          <w:szCs w:val="21"/>
          <w:highlight w:val="none"/>
        </w:rPr>
        <w:t>合同</w:t>
      </w:r>
      <w:r>
        <w:rPr>
          <w:rFonts w:ascii="宋体" w:eastAsia="宋体" w:hAnsi="宋体" w:cs="宋体" w:hint="eastAsia"/>
          <w:b w:val="0"/>
          <w:bCs w:val="0"/>
          <w:color w:val="auto"/>
          <w:sz w:val="21"/>
          <w:szCs w:val="21"/>
          <w:lang w:val="en-US" w:eastAsia="zh-CN" w:bidi="ar-SA"/>
        </w:rPr>
        <w:t>履行期限：合同所约定的全部义务履行完毕之日止</w:t>
      </w:r>
    </w:p>
    <w:p>
      <w:pPr>
        <w:pStyle w:val="BodyText"/>
        <w:rPr>
          <w:rFonts w:hint="eastAsia"/>
        </w:rPr>
      </w:pPr>
      <w:bookmarkStart w:id="0" w:name="_GoBack"/>
      <w:bookmarkEnd w:id="0"/>
    </w:p>
    <w:p>
      <w:pPr>
        <w:pStyle w:val="BodyText"/>
        <w:rPr>
          <w:rFonts w:hint="eastAsia"/>
        </w:rPr>
      </w:pPr>
    </w:p>
    <w:p>
      <w:pPr>
        <w:pStyle w:val="BodyText"/>
        <w:numPr>
          <w:ilvl w:val="0"/>
          <w:numId w:val="0"/>
        </w:numPr>
        <w:rPr>
          <w:rFonts w:ascii="宋体" w:eastAsia="宋体" w:hAnsi="宋体" w:cs="宋体" w:hint="eastAsia"/>
          <w:b/>
          <w:color w:val="auto"/>
          <w:kern w:val="0"/>
          <w:sz w:val="24"/>
          <w:szCs w:val="24"/>
          <w:lang w:val="en-US" w:eastAsia="zh-CN" w:bidi="ar-SA"/>
        </w:rPr>
      </w:pPr>
      <w:r>
        <w:rPr>
          <w:rFonts w:ascii="宋体" w:eastAsia="宋体" w:hAnsi="宋体" w:cs="宋体" w:hint="eastAsia"/>
          <w:b/>
          <w:color w:val="auto"/>
          <w:kern w:val="0"/>
          <w:sz w:val="24"/>
          <w:szCs w:val="24"/>
          <w:lang w:val="en-US" w:eastAsia="zh-CN" w:bidi="ar-SA"/>
        </w:rPr>
        <w:t>二：技术要求</w:t>
      </w:r>
    </w:p>
    <w:tbl>
      <w:tblPr>
        <w:tblStyle w:val="TableNormal"/>
        <w:tblW w:w="8541" w:type="dxa"/>
        <w:tblInd w:w="0" w:type="dxa"/>
        <w:shd w:val="clear" w:color="auto" w:fill="auto"/>
        <w:tblLayout w:type="fixed"/>
        <w:tblCellMar>
          <w:top w:w="0" w:type="dxa"/>
          <w:left w:w="0" w:type="dxa"/>
          <w:bottom w:w="0" w:type="dxa"/>
          <w:right w:w="0" w:type="dxa"/>
        </w:tblCellMar>
      </w:tblPr>
      <w:tblGrid>
        <w:gridCol w:w="715"/>
        <w:gridCol w:w="873"/>
        <w:gridCol w:w="3918"/>
        <w:gridCol w:w="1826"/>
        <w:gridCol w:w="663"/>
        <w:gridCol w:w="546"/>
      </w:tblGrid>
      <w:tr>
        <w:tblPrEx>
          <w:tblW w:w="8541" w:type="dxa"/>
          <w:tblInd w:w="0" w:type="dxa"/>
          <w:shd w:val="clear" w:color="auto" w:fill="auto"/>
          <w:tblLayout w:type="fixed"/>
          <w:tblCellMar>
            <w:top w:w="0" w:type="dxa"/>
            <w:left w:w="0" w:type="dxa"/>
            <w:bottom w:w="0" w:type="dxa"/>
            <w:right w:w="0" w:type="dxa"/>
          </w:tblCellMar>
        </w:tblPrEx>
        <w:trPr>
          <w:trHeight w:val="500"/>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hAnsi="宋体" w:cs="宋体" w:hint="eastAsia"/>
                <w:i w:val="0"/>
                <w:iCs w:val="0"/>
                <w:color w:val="000000"/>
                <w:kern w:val="0"/>
                <w:sz w:val="22"/>
                <w:szCs w:val="22"/>
                <w:u w:val="none"/>
                <w:lang w:val="en-US" w:eastAsia="zh-CN" w:bidi="ar"/>
              </w:rPr>
              <w:t>序号</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kern w:val="0"/>
                <w:sz w:val="18"/>
                <w:szCs w:val="18"/>
                <w:u w:val="none"/>
                <w:lang w:bidi="ar"/>
              </w:rPr>
            </w:pPr>
            <w:r>
              <w:rPr>
                <w:rFonts w:ascii="宋体" w:hAnsi="宋体" w:cs="宋体" w:hint="eastAsia"/>
                <w:i w:val="0"/>
                <w:color w:val="000000"/>
                <w:kern w:val="0"/>
                <w:sz w:val="18"/>
                <w:szCs w:val="18"/>
                <w:u w:val="none"/>
                <w:lang w:val="en-US" w:eastAsia="zh-CN" w:bidi="ar"/>
              </w:rPr>
              <w:t>名称</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kern w:val="0"/>
                <w:sz w:val="18"/>
                <w:szCs w:val="18"/>
                <w:u w:val="none"/>
                <w:lang w:bidi="ar"/>
              </w:rPr>
            </w:pPr>
            <w:r>
              <w:rPr>
                <w:rFonts w:ascii="宋体" w:hAnsi="宋体" w:cs="宋体" w:hint="eastAsia"/>
                <w:i w:val="0"/>
                <w:color w:val="000000"/>
                <w:kern w:val="0"/>
                <w:sz w:val="18"/>
                <w:szCs w:val="18"/>
                <w:u w:val="none"/>
                <w:lang w:val="en-US" w:eastAsia="zh-CN" w:bidi="ar"/>
              </w:rPr>
              <w:t>技术参数</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extDirection w:val="tbRlV"/>
            <w:vAlign w:val="center"/>
          </w:tcPr>
          <w:p>
            <w:pPr>
              <w:bidi w:val="0"/>
              <w:jc w:val="center"/>
              <w:rPr>
                <w:rFonts w:hint="eastAsia"/>
              </w:rPr>
            </w:pPr>
            <w:r>
              <w:rPr>
                <w:rFonts w:hint="eastAsia"/>
                <w:lang w:val="en-US" w:eastAsia="zh-CN"/>
              </w:rPr>
              <w:t>片</w:t>
            </w:r>
          </w:p>
          <w:p>
            <w:pPr>
              <w:bidi w:val="0"/>
              <w:jc w:val="center"/>
              <w:rPr>
                <w:rFonts w:hint="eastAsia"/>
              </w:rPr>
            </w:pPr>
            <w:r>
              <w:rPr>
                <w:rFonts w:hint="eastAsia"/>
                <w:lang w:val="en-US" w:eastAsia="zh-CN"/>
              </w:rPr>
              <w:t>图</w:t>
            </w:r>
          </w:p>
          <w:p>
            <w:pPr>
              <w:pStyle w:val="BodyText"/>
              <w:jc w:val="center"/>
              <w:rPr>
                <w:rFonts w:hint="default"/>
                <w:lang w:val="en-US" w:eastAsia="zh-CN"/>
              </w:rPr>
            </w:pP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hAnsi="宋体" w:cs="宋体" w:hint="eastAsia"/>
                <w:i w:val="0"/>
                <w:iCs w:val="0"/>
                <w:color w:val="000000"/>
                <w:kern w:val="0"/>
                <w:sz w:val="22"/>
                <w:szCs w:val="22"/>
                <w:u w:val="none"/>
                <w:lang w:val="en-US" w:eastAsia="zh-CN" w:bidi="ar"/>
              </w:rPr>
              <w:t>数量</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hAnsi="宋体" w:cs="宋体" w:hint="eastAsia"/>
                <w:i w:val="0"/>
                <w:iCs w:val="0"/>
                <w:color w:val="000000"/>
                <w:kern w:val="0"/>
                <w:sz w:val="22"/>
                <w:szCs w:val="22"/>
                <w:u w:val="none"/>
                <w:lang w:val="en-US" w:eastAsia="zh-CN" w:bidi="ar"/>
              </w:rPr>
              <w:t>单位</w:t>
            </w:r>
          </w:p>
        </w:tc>
      </w:tr>
      <w:tr>
        <w:tblPrEx>
          <w:tblW w:w="8541" w:type="dxa"/>
          <w:tblInd w:w="0" w:type="dxa"/>
          <w:shd w:val="clear" w:color="auto" w:fill="auto"/>
          <w:tblLayout w:type="fixed"/>
          <w:tblCellMar>
            <w:top w:w="0" w:type="dxa"/>
            <w:left w:w="0" w:type="dxa"/>
            <w:bottom w:w="0" w:type="dxa"/>
            <w:right w:w="0" w:type="dxa"/>
          </w:tblCellMar>
        </w:tblPrEx>
        <w:trPr>
          <w:trHeight w:val="1800"/>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1</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18"/>
                <w:szCs w:val="18"/>
                <w:u w:val="none"/>
              </w:rPr>
            </w:pPr>
            <w:r>
              <w:rPr>
                <w:rFonts w:ascii="宋体" w:eastAsia="宋体" w:hAnsi="宋体" w:cs="宋体" w:hint="eastAsia"/>
                <w:i w:val="0"/>
                <w:color w:val="000000"/>
                <w:kern w:val="0"/>
                <w:sz w:val="18"/>
                <w:szCs w:val="18"/>
                <w:u w:val="none"/>
                <w:lang w:val="en-US" w:eastAsia="zh-CN" w:bidi="ar"/>
              </w:rPr>
              <w:t>多元秋千悬挂架</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rPr>
            </w:pPr>
            <w:r>
              <w:rPr>
                <w:rFonts w:hint="eastAsia"/>
                <w:lang w:val="en-US" w:eastAsia="zh-CN"/>
              </w:rPr>
              <w:t>功能：可悬挂多款不同功能的秋千器材，以提供不同程度的前庭平冲治疗及训练活动。秋千悬挂架可同时供两个秋千同时使用，以增加游戏的乐趣。</w:t>
            </w:r>
          </w:p>
          <w:p>
            <w:pPr>
              <w:keepNext w:val="0"/>
              <w:keepLines w:val="0"/>
              <w:widowControl/>
              <w:suppressLineNumbers w:val="0"/>
              <w:jc w:val="left"/>
              <w:textAlignment w:val="center"/>
              <w:rPr>
                <w:rFonts w:hint="eastAsia"/>
              </w:rPr>
            </w:pPr>
            <w:r>
              <w:rPr>
                <w:rFonts w:hint="eastAsia"/>
                <w:lang w:val="en-US" w:eastAsia="zh-CN"/>
              </w:rPr>
              <w:t>参数：</w:t>
            </w:r>
          </w:p>
          <w:p>
            <w:pPr>
              <w:keepNext w:val="0"/>
              <w:keepLines w:val="0"/>
              <w:widowControl/>
              <w:suppressLineNumbers w:val="0"/>
              <w:jc w:val="left"/>
              <w:textAlignment w:val="center"/>
              <w:rPr>
                <w:rFonts w:hint="eastAsia"/>
              </w:rPr>
            </w:pPr>
            <w:r>
              <w:rPr>
                <w:rFonts w:hint="eastAsia"/>
                <w:lang w:val="en-US" w:eastAsia="zh-CN"/>
              </w:rPr>
              <w:t>1、钢架：优质碳钢及环保油漆组成，承重力好，此产品设计满足各年龄段儿童使用。</w:t>
            </w:r>
          </w:p>
          <w:p>
            <w:pPr>
              <w:keepNext w:val="0"/>
              <w:keepLines w:val="0"/>
              <w:widowControl/>
              <w:suppressLineNumbers w:val="0"/>
              <w:jc w:val="left"/>
              <w:textAlignment w:val="center"/>
              <w:rPr>
                <w:rFonts w:hint="eastAsia"/>
              </w:rPr>
            </w:pPr>
            <w:r>
              <w:rPr>
                <w:rFonts w:hint="eastAsia"/>
                <w:lang w:val="en-US" w:eastAsia="zh-CN"/>
              </w:rPr>
              <w:t>2、护套：环保EVA加PVC布，用于保护儿童作用。</w:t>
            </w:r>
          </w:p>
          <w:p>
            <w:pPr>
              <w:keepNext w:val="0"/>
              <w:keepLines w:val="0"/>
              <w:widowControl/>
              <w:suppressLineNumbers w:val="0"/>
              <w:jc w:val="left"/>
              <w:textAlignment w:val="center"/>
              <w:rPr>
                <w:rFonts w:hint="eastAsia"/>
              </w:rPr>
            </w:pPr>
            <w:r>
              <w:rPr>
                <w:rFonts w:hint="eastAsia"/>
                <w:lang w:val="en-US" w:eastAsia="zh-CN"/>
              </w:rPr>
              <w:t>3、底板：优质木材，用于固定立柱制作。</w:t>
            </w:r>
          </w:p>
          <w:p>
            <w:pPr>
              <w:keepNext w:val="0"/>
              <w:keepLines w:val="0"/>
              <w:widowControl/>
              <w:suppressLineNumbers w:val="0"/>
              <w:jc w:val="left"/>
              <w:textAlignment w:val="center"/>
              <w:rPr>
                <w:rFonts w:hint="eastAsia"/>
              </w:rPr>
            </w:pPr>
            <w:r>
              <w:rPr>
                <w:rFonts w:hint="eastAsia"/>
                <w:lang w:val="en-US" w:eastAsia="zh-CN"/>
              </w:rPr>
              <w:t>4、承重量300公斤</w:t>
            </w:r>
          </w:p>
          <w:p>
            <w:pPr>
              <w:keepNext w:val="0"/>
              <w:keepLines w:val="0"/>
              <w:widowControl/>
              <w:suppressLineNumbers w:val="0"/>
              <w:jc w:val="left"/>
              <w:textAlignment w:val="center"/>
              <w:rPr>
                <w:rFonts w:hint="eastAsia"/>
              </w:rPr>
            </w:pPr>
            <w:r>
              <w:rPr>
                <w:rFonts w:hint="eastAsia"/>
                <w:lang w:val="en-US" w:eastAsia="zh-CN"/>
              </w:rPr>
              <w:t>尺寸：4000*3000*2400mm</w:t>
            </w:r>
          </w:p>
          <w:p>
            <w:pPr>
              <w:pStyle w:val="BodyTextFirstIndent"/>
              <w:rPr>
                <w:rFonts w:hint="eastAsia"/>
              </w:rPr>
            </w:pPr>
            <w:r>
              <w:rPr>
                <w:rFonts w:ascii="宋体" w:eastAsia="宋体" w:hAnsi="宋体" w:cs="宋体" w:hint="eastAsia"/>
                <w:i w:val="0"/>
                <w:color w:val="000000"/>
                <w:sz w:val="18"/>
                <w:szCs w:val="18"/>
                <w:u w:val="none"/>
                <w:lang w:val="en-US" w:eastAsia="zh-Hans"/>
              </w:rPr>
              <w:t>▲</w:t>
            </w:r>
            <w:r>
              <w:rPr>
                <w:rFonts w:hint="eastAsia"/>
              </w:rPr>
              <w:t>提供省级或以上国家检测机构出具检验报告影印件，报告中含有序号1、2、3的所有内容</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extDirection w:val="tbRlV"/>
            <w:vAlign w:val="center"/>
          </w:tcPr>
          <w:p>
            <w:pPr>
              <w:keepNext w:val="0"/>
              <w:keepLines w:val="0"/>
              <w:widowControl/>
              <w:suppressLineNumbers w:val="0"/>
              <w:jc w:val="center"/>
              <w:textAlignment w:val="center"/>
              <w:rPr>
                <w:rFonts w:ascii="Calibri" w:hAnsi="Calibri" w:cs="Calibri"/>
                <w:i w:val="0"/>
                <w:color w:val="808080"/>
                <w:sz w:val="18"/>
                <w:szCs w:val="18"/>
                <w:u w:val="none"/>
              </w:rPr>
            </w:pPr>
            <w:r>
              <w:rPr>
                <w:rFonts w:ascii="Calibri" w:eastAsia="宋体" w:hAnsi="Calibri" w:cs="Calibri" w:hint="default"/>
                <w:i w:val="0"/>
                <w:color w:val="808080"/>
                <w:kern w:val="0"/>
                <w:sz w:val="18"/>
                <w:szCs w:val="18"/>
                <w:u w:val="none"/>
                <w:bdr w:val="single" w:sz="4" w:space="0" w:color="000000"/>
                <w:lang w:val="en-US" w:eastAsia="zh-CN" w:bidi="ar"/>
              </w:rPr>
              <w:drawing>
                <wp:anchor distT="0" distB="0" distL="114300" distR="114300" simplePos="0" relativeHeight="251658240" behindDoc="0" locked="0" layoutInCell="1" allowOverlap="1">
                  <wp:simplePos x="0" y="0"/>
                  <wp:positionH relativeFrom="column">
                    <wp:posOffset>-1030605</wp:posOffset>
                  </wp:positionH>
                  <wp:positionV relativeFrom="paragraph">
                    <wp:posOffset>438785</wp:posOffset>
                  </wp:positionV>
                  <wp:extent cx="784860" cy="863600"/>
                  <wp:effectExtent l="0" t="0" r="15240" b="12700"/>
                  <wp:wrapNone/>
                  <wp:docPr id="222" name="ID_0358314A58804AEFBACC6A648425B88F"/>
                  <wp:cNvGraphicFramePr/>
                  <a:graphic xmlns:a="http://schemas.openxmlformats.org/drawingml/2006/main">
                    <a:graphicData uri="http://schemas.openxmlformats.org/drawingml/2006/picture">
                      <pic:pic xmlns:pic="http://schemas.openxmlformats.org/drawingml/2006/picture">
                        <pic:nvPicPr>
                          <pic:cNvPr id="222" name="ID_0358314A58804AEFBACC6A648425B88F"/>
                          <pic:cNvPicPr/>
                        </pic:nvPicPr>
                        <pic:blipFill>
                          <a:blip xmlns:r="http://schemas.openxmlformats.org/officeDocument/2006/relationships" r:embed="rId26"/>
                          <a:stretch>
                            <a:fillRect/>
                          </a:stretch>
                        </pic:blipFill>
                        <pic:spPr>
                          <a:xfrm>
                            <a:off x="0" y="0"/>
                            <a:ext cx="784860" cy="863600"/>
                          </a:xfrm>
                          <a:prstGeom prst="rect">
                            <a:avLst/>
                          </a:prstGeom>
                          <a:noFill/>
                          <a:ln>
                            <a:noFill/>
                          </a:ln>
                        </pic:spPr>
                      </pic:pic>
                    </a:graphicData>
                  </a:graphic>
                </wp:anchor>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1</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套</w:t>
            </w:r>
          </w:p>
        </w:tc>
      </w:tr>
      <w:tr>
        <w:tblPrEx>
          <w:tblW w:w="8541" w:type="dxa"/>
          <w:tblInd w:w="0" w:type="dxa"/>
          <w:shd w:val="clear" w:color="auto" w:fill="auto"/>
          <w:tblLayout w:type="fixed"/>
          <w:tblCellMar>
            <w:top w:w="0" w:type="dxa"/>
            <w:left w:w="0" w:type="dxa"/>
            <w:bottom w:w="0" w:type="dxa"/>
            <w:right w:w="0" w:type="dxa"/>
          </w:tblCellMar>
        </w:tblPrEx>
        <w:trPr>
          <w:trHeight w:val="1800"/>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2</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18"/>
                <w:szCs w:val="18"/>
                <w:u w:val="none"/>
              </w:rPr>
            </w:pPr>
            <w:r>
              <w:rPr>
                <w:rFonts w:ascii="宋体" w:eastAsia="宋体" w:hAnsi="宋体" w:cs="宋体" w:hint="eastAsia"/>
                <w:i w:val="0"/>
                <w:color w:val="000000"/>
                <w:kern w:val="0"/>
                <w:sz w:val="18"/>
                <w:szCs w:val="18"/>
                <w:u w:val="none"/>
                <w:lang w:val="en-US" w:eastAsia="zh-CN" w:bidi="ar"/>
              </w:rPr>
              <w:t>长方形平板秋千连软垫围栏</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rPr>
            </w:pPr>
            <w:r>
              <w:rPr>
                <w:rFonts w:hint="eastAsia"/>
                <w:lang w:val="en-US" w:eastAsia="zh-CN"/>
              </w:rPr>
              <w:t>功能：</w:t>
            </w:r>
          </w:p>
          <w:p>
            <w:pPr>
              <w:keepNext w:val="0"/>
              <w:keepLines w:val="0"/>
              <w:widowControl/>
              <w:suppressLineNumbers w:val="0"/>
              <w:jc w:val="left"/>
              <w:textAlignment w:val="center"/>
              <w:rPr>
                <w:rFonts w:hint="eastAsia"/>
              </w:rPr>
            </w:pPr>
            <w:r>
              <w:rPr>
                <w:rFonts w:hint="eastAsia"/>
                <w:lang w:val="en-US" w:eastAsia="zh-CN"/>
              </w:rPr>
              <w:t xml:space="preserve">前后摇摆秋千，儿童可在秋千上变化多种不同的躺卧、俯卧、坐或站立等不同姿势。秋千可配置活动软垫围栏，可适合婴幼儿及严重身体控制障碍者使用。俯卧时可强化胸部以及腹部刺激，可为触觉感官失调儿童提供更舒适的触觉舒缓感觉，前庭系统的感觉输入强烈而多样，对平衡感及身体形象的建立，帮助很大。        </w:t>
            </w:r>
          </w:p>
          <w:p>
            <w:pPr>
              <w:keepNext w:val="0"/>
              <w:keepLines w:val="0"/>
              <w:widowControl/>
              <w:suppressLineNumbers w:val="0"/>
              <w:jc w:val="left"/>
              <w:textAlignment w:val="center"/>
              <w:rPr>
                <w:rFonts w:hint="eastAsia"/>
              </w:rPr>
            </w:pPr>
            <w:r>
              <w:rPr>
                <w:rFonts w:hint="eastAsia"/>
                <w:lang w:val="en-US" w:eastAsia="zh-CN"/>
              </w:rPr>
              <w:t>参数：</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extDirection w:val="tbRlV"/>
            <w:vAlign w:val="center"/>
          </w:tcPr>
          <w:p>
            <w:pPr>
              <w:keepNext w:val="0"/>
              <w:keepLines w:val="0"/>
              <w:widowControl/>
              <w:suppressLineNumbers w:val="0"/>
              <w:jc w:val="left"/>
              <w:textAlignment w:val="center"/>
              <w:rPr>
                <w:rFonts w:ascii="Calibri" w:hAnsi="Calibri" w:cs="Calibri" w:hint="default"/>
                <w:i w:val="0"/>
                <w:color w:val="808080"/>
                <w:sz w:val="18"/>
                <w:szCs w:val="18"/>
                <w:u w:val="none"/>
              </w:rPr>
            </w:pPr>
            <w:r>
              <w:rPr>
                <w:rFonts w:ascii="Calibri" w:eastAsia="宋体" w:hAnsi="Calibri" w:cs="Calibri" w:hint="default"/>
                <w:i w:val="0"/>
                <w:color w:val="808080"/>
                <w:kern w:val="0"/>
                <w:sz w:val="18"/>
                <w:szCs w:val="18"/>
                <w:u w:val="none"/>
                <w:bdr w:val="single" w:sz="4" w:space="0" w:color="000000"/>
                <w:lang w:val="en-US" w:eastAsia="zh-CN" w:bidi="ar"/>
              </w:rPr>
              <w:drawing>
                <wp:anchor distT="0" distB="0" distL="114300" distR="114300" simplePos="0" relativeHeight="251659264" behindDoc="0" locked="0" layoutInCell="1" allowOverlap="1">
                  <wp:simplePos x="0" y="0"/>
                  <wp:positionH relativeFrom="column">
                    <wp:posOffset>-977265</wp:posOffset>
                  </wp:positionH>
                  <wp:positionV relativeFrom="paragraph">
                    <wp:posOffset>614045</wp:posOffset>
                  </wp:positionV>
                  <wp:extent cx="735330" cy="786130"/>
                  <wp:effectExtent l="0" t="0" r="7620" b="13970"/>
                  <wp:wrapNone/>
                  <wp:docPr id="266" name="ID_E2636E17C3C846D5B553D72B70171FAD"/>
                  <wp:cNvGraphicFramePr/>
                  <a:graphic xmlns:a="http://schemas.openxmlformats.org/drawingml/2006/main">
                    <a:graphicData uri="http://schemas.openxmlformats.org/drawingml/2006/picture">
                      <pic:pic xmlns:pic="http://schemas.openxmlformats.org/drawingml/2006/picture">
                        <pic:nvPicPr>
                          <pic:cNvPr id="266" name="ID_E2636E17C3C846D5B553D72B70171FAD"/>
                          <pic:cNvPicPr/>
                        </pic:nvPicPr>
                        <pic:blipFill>
                          <a:blip xmlns:r="http://schemas.openxmlformats.org/officeDocument/2006/relationships" r:embed="rId27"/>
                          <a:stretch>
                            <a:fillRect/>
                          </a:stretch>
                        </pic:blipFill>
                        <pic:spPr>
                          <a:xfrm>
                            <a:off x="0" y="0"/>
                            <a:ext cx="735330" cy="786130"/>
                          </a:xfrm>
                          <a:prstGeom prst="rect">
                            <a:avLst/>
                          </a:prstGeom>
                          <a:noFill/>
                          <a:ln>
                            <a:noFill/>
                          </a:ln>
                        </pic:spPr>
                      </pic:pic>
                    </a:graphicData>
                  </a:graphic>
                </wp:anchor>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1</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套</w:t>
            </w:r>
          </w:p>
        </w:tc>
      </w:tr>
    </w:tbl>
    <w:p>
      <w:pPr>
        <w:sectPr>
          <w:headerReference w:type="default" r:id="rId28"/>
          <w:footerReference w:type="default" r:id="rId29"/>
          <w:headerReference w:type="first" r:id="rId30"/>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6" w:chapStyle="1" w:chapSep="enDash"/>
          <w:cols w:num="1" w:space="720"/>
          <w:titlePg w:val="0"/>
          <w:rtlGutter w:val="0"/>
          <w:docGrid w:linePitch="312" w:charSpace="0"/>
        </w:sectPr>
      </w:pPr>
    </w:p>
    <w:tbl>
      <w:tblPr>
        <w:tblStyle w:val="TableNormal"/>
        <w:tblW w:w="8541" w:type="dxa"/>
        <w:tblInd w:w="0" w:type="dxa"/>
        <w:shd w:val="clear" w:color="auto" w:fill="auto"/>
        <w:tblLayout w:type="fixed"/>
        <w:tblCellMar>
          <w:top w:w="0" w:type="dxa"/>
          <w:left w:w="0" w:type="dxa"/>
          <w:bottom w:w="0" w:type="dxa"/>
          <w:right w:w="0" w:type="dxa"/>
        </w:tblCellMar>
      </w:tblPr>
      <w:tblGrid>
        <w:gridCol w:w="715"/>
        <w:gridCol w:w="873"/>
        <w:gridCol w:w="3918"/>
        <w:gridCol w:w="1826"/>
        <w:gridCol w:w="663"/>
        <w:gridCol w:w="546"/>
      </w:tblGrid>
      <w:tr>
        <w:tblPrEx>
          <w:tblW w:w="8541" w:type="dxa"/>
          <w:tblInd w:w="0" w:type="dxa"/>
          <w:shd w:val="clear" w:color="auto" w:fill="auto"/>
          <w:tblLayout w:type="fixed"/>
          <w:tblCellMar>
            <w:top w:w="0" w:type="dxa"/>
            <w:left w:w="0" w:type="dxa"/>
            <w:bottom w:w="0" w:type="dxa"/>
            <w:right w:w="0" w:type="dxa"/>
          </w:tblCellMar>
        </w:tblPrEx>
        <w:trPr>
          <w:trHeight w:val="1800"/>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rPr>
            </w:pPr>
            <w:r>
              <w:rPr>
                <w:rFonts w:hint="eastAsia"/>
                <w:lang w:val="en-US" w:eastAsia="zh-CN"/>
              </w:rPr>
              <w:t>优质木材框架结构，环保填充材料及优质PVC涂层布构成。</w:t>
            </w:r>
          </w:p>
          <w:p>
            <w:pPr>
              <w:keepNext w:val="0"/>
              <w:keepLines w:val="0"/>
              <w:widowControl/>
              <w:suppressLineNumbers w:val="0"/>
              <w:jc w:val="left"/>
              <w:textAlignment w:val="center"/>
              <w:rPr>
                <w:rFonts w:hint="eastAsia"/>
              </w:rPr>
            </w:pPr>
            <w:r>
              <w:rPr>
                <w:rFonts w:hint="eastAsia"/>
                <w:lang w:val="en-US" w:eastAsia="zh-CN"/>
              </w:rPr>
              <w:t>软垫秋千主体，升降绳子2根+升降扣2个+安全扣4个，活动触觉垫，活动围栏及软垫扶手。承重量50公斤。</w:t>
            </w:r>
          </w:p>
          <w:p>
            <w:pPr>
              <w:keepNext w:val="0"/>
              <w:keepLines w:val="0"/>
              <w:widowControl/>
              <w:suppressLineNumbers w:val="0"/>
              <w:jc w:val="left"/>
              <w:textAlignment w:val="center"/>
              <w:rPr>
                <w:rFonts w:hint="eastAsia"/>
              </w:rPr>
            </w:pPr>
            <w:r>
              <w:rPr>
                <w:rFonts w:hint="eastAsia"/>
                <w:lang w:val="en-US" w:eastAsia="zh-CN"/>
              </w:rPr>
              <w:t>尺寸：1200*610*1760mm</w:t>
            </w:r>
          </w:p>
          <w:p>
            <w:pPr>
              <w:pStyle w:val="BodyTextFirstIndent"/>
              <w:rPr>
                <w:rFonts w:hint="eastAsia"/>
              </w:rPr>
            </w:pPr>
            <w:r>
              <w:rPr>
                <w:rFonts w:ascii="宋体" w:eastAsia="宋体" w:hAnsi="宋体" w:cs="宋体" w:hint="eastAsia"/>
                <w:i w:val="0"/>
                <w:color w:val="000000"/>
                <w:sz w:val="18"/>
                <w:szCs w:val="18"/>
                <w:u w:val="none"/>
                <w:lang w:val="en-US" w:eastAsia="zh-Hans"/>
              </w:rPr>
              <w:t>▲</w:t>
            </w:r>
            <w:r>
              <w:rPr>
                <w:rFonts w:hint="eastAsia"/>
              </w:rPr>
              <w:t>提供省级或以上国家检测机构出具检验报告影印件，报告中含有序号1、2、3的所有内容</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extDirection w:val="tbRlV"/>
            <w:vAlign w:val="center"/>
          </w:tcP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tc>
      </w:tr>
      <w:tr>
        <w:tblPrEx>
          <w:tblW w:w="8541" w:type="dxa"/>
          <w:tblInd w:w="0" w:type="dxa"/>
          <w:shd w:val="clear" w:color="auto" w:fill="auto"/>
          <w:tblLayout w:type="fixed"/>
          <w:tblCellMar>
            <w:top w:w="0" w:type="dxa"/>
            <w:left w:w="0" w:type="dxa"/>
            <w:bottom w:w="0" w:type="dxa"/>
            <w:right w:w="0" w:type="dxa"/>
          </w:tblCellMar>
        </w:tblPrEx>
        <w:trPr>
          <w:trHeight w:val="1800"/>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3</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18"/>
                <w:szCs w:val="18"/>
                <w:u w:val="none"/>
              </w:rPr>
            </w:pPr>
            <w:r>
              <w:rPr>
                <w:rFonts w:ascii="宋体" w:eastAsia="宋体" w:hAnsi="宋体" w:cs="宋体" w:hint="eastAsia"/>
                <w:i w:val="0"/>
                <w:color w:val="000000"/>
                <w:kern w:val="0"/>
                <w:sz w:val="18"/>
                <w:szCs w:val="18"/>
                <w:u w:val="none"/>
                <w:lang w:val="en-US" w:eastAsia="zh-CN" w:bidi="ar"/>
              </w:rPr>
              <w:t>双人摇摆鸭</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功能：</w:t>
            </w:r>
          </w:p>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卡通造型，色彩鲜艳，生动有趣，训练儿童对事物的认知能力，发展儿童社会交流能力，对自闭症儿童干预治疗有辅助效果。三种不同的颜色，可锻炼儿童对颜色的分辨能力。</w:t>
            </w:r>
          </w:p>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参数：</w:t>
            </w:r>
          </w:p>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优质发泡材料造型，外包防水尼龙布，外观亮丽。由多种颜色组成，外观似小鸭状。</w:t>
            </w:r>
          </w:p>
          <w:p>
            <w:pPr>
              <w:keepNext w:val="0"/>
              <w:keepLines w:val="0"/>
              <w:widowControl/>
              <w:suppressLineNumbers w:val="0"/>
              <w:jc w:val="left"/>
              <w:textAlignment w:val="center"/>
              <w:rPr>
                <w:rFonts w:ascii="宋体" w:hAnsi="宋体" w:cs="宋体" w:hint="eastAsia"/>
                <w:i w:val="0"/>
                <w:color w:val="000000"/>
                <w:sz w:val="18"/>
                <w:szCs w:val="18"/>
                <w:u w:val="none"/>
              </w:rPr>
            </w:pPr>
            <w:r>
              <w:rPr>
                <w:rFonts w:ascii="宋体" w:eastAsia="宋体" w:hAnsi="宋体" w:cs="宋体" w:hint="eastAsia"/>
                <w:i w:val="0"/>
                <w:color w:val="000000"/>
                <w:kern w:val="0"/>
                <w:sz w:val="18"/>
                <w:szCs w:val="18"/>
                <w:u w:val="none"/>
                <w:lang w:val="en-US" w:eastAsia="zh-CN" w:bidi="ar"/>
              </w:rPr>
              <w:t>尺寸：1170*300*560mm</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extDirection w:val="tbRlV"/>
            <w:vAlign w:val="center"/>
          </w:tcPr>
          <w:p>
            <w:pPr>
              <w:keepNext w:val="0"/>
              <w:keepLines w:val="0"/>
              <w:widowControl/>
              <w:suppressLineNumbers w:val="0"/>
              <w:jc w:val="left"/>
              <w:textAlignment w:val="center"/>
              <w:rPr>
                <w:rFonts w:ascii="Calibri" w:hAnsi="Calibri" w:cs="Calibri" w:hint="default"/>
                <w:i w:val="0"/>
                <w:color w:val="808080"/>
                <w:sz w:val="18"/>
                <w:szCs w:val="18"/>
                <w:u w:val="none"/>
              </w:rPr>
            </w:pPr>
            <w:r>
              <w:rPr>
                <w:rFonts w:ascii="Calibri" w:eastAsia="宋体" w:hAnsi="Calibri" w:cs="Calibri" w:hint="default"/>
                <w:i w:val="0"/>
                <w:color w:val="808080"/>
                <w:kern w:val="0"/>
                <w:sz w:val="18"/>
                <w:szCs w:val="18"/>
                <w:u w:val="none"/>
                <w:bdr w:val="single" w:sz="4" w:space="0" w:color="000000"/>
                <w:lang w:val="en-US" w:eastAsia="zh-CN" w:bidi="ar"/>
              </w:rPr>
              <w:drawing>
                <wp:anchor distT="0" distB="0" distL="114300" distR="114300" simplePos="0" relativeHeight="251660288" behindDoc="0" locked="0" layoutInCell="1" allowOverlap="1">
                  <wp:simplePos x="0" y="0"/>
                  <wp:positionH relativeFrom="column">
                    <wp:posOffset>-988060</wp:posOffset>
                  </wp:positionH>
                  <wp:positionV relativeFrom="paragraph">
                    <wp:posOffset>365125</wp:posOffset>
                  </wp:positionV>
                  <wp:extent cx="762000" cy="613410"/>
                  <wp:effectExtent l="0" t="0" r="0" b="15240"/>
                  <wp:wrapNone/>
                  <wp:docPr id="207" name="ID_A4F22A0BDF7F4B54B261DC68175D1049"/>
                  <wp:cNvGraphicFramePr/>
                  <a:graphic xmlns:a="http://schemas.openxmlformats.org/drawingml/2006/main">
                    <a:graphicData uri="http://schemas.openxmlformats.org/drawingml/2006/picture">
                      <pic:pic xmlns:pic="http://schemas.openxmlformats.org/drawingml/2006/picture">
                        <pic:nvPicPr>
                          <pic:cNvPr id="207" name="ID_A4F22A0BDF7F4B54B261DC68175D1049"/>
                          <pic:cNvPicPr/>
                        </pic:nvPicPr>
                        <pic:blipFill>
                          <a:blip xmlns:r="http://schemas.openxmlformats.org/officeDocument/2006/relationships" r:embed="rId31"/>
                          <a:stretch>
                            <a:fillRect/>
                          </a:stretch>
                        </pic:blipFill>
                        <pic:spPr>
                          <a:xfrm>
                            <a:off x="0" y="0"/>
                            <a:ext cx="762000" cy="613410"/>
                          </a:xfrm>
                          <a:prstGeom prst="rect">
                            <a:avLst/>
                          </a:prstGeom>
                          <a:noFill/>
                          <a:ln>
                            <a:noFill/>
                          </a:ln>
                        </pic:spPr>
                      </pic:pic>
                    </a:graphicData>
                  </a:graphic>
                </wp:anchor>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1</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套</w:t>
            </w:r>
          </w:p>
        </w:tc>
      </w:tr>
      <w:tr>
        <w:tblPrEx>
          <w:tblW w:w="8541" w:type="dxa"/>
          <w:tblInd w:w="0" w:type="dxa"/>
          <w:shd w:val="clear" w:color="auto" w:fill="auto"/>
          <w:tblLayout w:type="fixed"/>
          <w:tblCellMar>
            <w:top w:w="0" w:type="dxa"/>
            <w:left w:w="0" w:type="dxa"/>
            <w:bottom w:w="0" w:type="dxa"/>
            <w:right w:w="0" w:type="dxa"/>
          </w:tblCellMar>
        </w:tblPrEx>
        <w:trPr>
          <w:trHeight w:val="1800"/>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4</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18"/>
                <w:szCs w:val="18"/>
                <w:u w:val="none"/>
              </w:rPr>
            </w:pPr>
            <w:r>
              <w:rPr>
                <w:rFonts w:ascii="宋体" w:eastAsia="宋体" w:hAnsi="宋体" w:cs="宋体" w:hint="eastAsia"/>
                <w:i w:val="0"/>
                <w:color w:val="000000"/>
                <w:kern w:val="0"/>
                <w:sz w:val="18"/>
                <w:szCs w:val="18"/>
                <w:u w:val="none"/>
                <w:lang w:val="en-US" w:eastAsia="zh-CN" w:bidi="ar"/>
              </w:rPr>
              <w:t>子母筒软件</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功能：</w:t>
            </w:r>
          </w:p>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可分开使用，滚筒感觉刺激丰富多样：前庭觉、触觉、身体颈肌张力反应，对前庭刺激的苏醒及本体感的建立，较有帮助。在滚动中练习手、肘、肩、膝等关节的固有感觉输入，头部的转动对眼肌的成熟也有帮助。内置圆柱软件可以进行触觉压力训练，缓解脑瘫患儿的肌张力，有利于加强本体固有感觉。</w:t>
            </w:r>
          </w:p>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参数：</w:t>
            </w:r>
          </w:p>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优质木材、环保填充材料，优质阻燃、防水pvc涂层布构成。</w:t>
            </w:r>
          </w:p>
          <w:p>
            <w:pPr>
              <w:keepNext w:val="0"/>
              <w:keepLines w:val="0"/>
              <w:widowControl/>
              <w:suppressLineNumbers w:val="0"/>
              <w:jc w:val="left"/>
              <w:textAlignment w:val="center"/>
              <w:rPr>
                <w:rFonts w:ascii="宋体" w:hAnsi="宋体" w:cs="宋体" w:hint="eastAsia"/>
                <w:i w:val="0"/>
                <w:color w:val="000000"/>
                <w:sz w:val="18"/>
                <w:szCs w:val="18"/>
                <w:u w:val="none"/>
              </w:rPr>
            </w:pPr>
            <w:r>
              <w:rPr>
                <w:rFonts w:ascii="宋体" w:eastAsia="宋体" w:hAnsi="宋体" w:cs="宋体" w:hint="eastAsia"/>
                <w:i w:val="0"/>
                <w:color w:val="000000"/>
                <w:kern w:val="0"/>
                <w:sz w:val="18"/>
                <w:szCs w:val="18"/>
                <w:u w:val="none"/>
                <w:lang w:val="en-US" w:eastAsia="zh-CN" w:bidi="ar"/>
              </w:rPr>
              <w:t>尺寸：920mm*直径710mm</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20"/>
                <w:szCs w:val="20"/>
                <w:u w:val="none"/>
              </w:rPr>
            </w:pPr>
            <w:r>
              <w:rPr>
                <w:rFonts w:ascii="宋体" w:eastAsia="宋体" w:hAnsi="宋体" w:cs="宋体" w:hint="eastAsia"/>
                <w:i w:val="0"/>
                <w:color w:val="000000"/>
                <w:kern w:val="0"/>
                <w:sz w:val="20"/>
                <w:szCs w:val="20"/>
                <w:u w:val="none"/>
                <w:bdr w:val="single" w:sz="4" w:space="0" w:color="000000"/>
                <w:lang w:val="en-US" w:eastAsia="zh-CN" w:bidi="ar"/>
              </w:rPr>
              <w:drawing>
                <wp:anchor distT="0" distB="0" distL="114300" distR="114300" simplePos="0" relativeHeight="251661312" behindDoc="0" locked="0" layoutInCell="1" allowOverlap="1">
                  <wp:simplePos x="0" y="0"/>
                  <wp:positionH relativeFrom="column">
                    <wp:posOffset>302895</wp:posOffset>
                  </wp:positionH>
                  <wp:positionV relativeFrom="paragraph">
                    <wp:posOffset>459740</wp:posOffset>
                  </wp:positionV>
                  <wp:extent cx="765175" cy="706120"/>
                  <wp:effectExtent l="0" t="0" r="15875" b="17780"/>
                  <wp:wrapNone/>
                  <wp:docPr id="302" name="ID_882F6EEDDD6F43FC9B0D51826710240F"/>
                  <wp:cNvGraphicFramePr/>
                  <a:graphic xmlns:a="http://schemas.openxmlformats.org/drawingml/2006/main">
                    <a:graphicData uri="http://schemas.openxmlformats.org/drawingml/2006/picture">
                      <pic:pic xmlns:pic="http://schemas.openxmlformats.org/drawingml/2006/picture">
                        <pic:nvPicPr>
                          <pic:cNvPr id="302" name="ID_882F6EEDDD6F43FC9B0D51826710240F"/>
                          <pic:cNvPicPr/>
                        </pic:nvPicPr>
                        <pic:blipFill>
                          <a:blip xmlns:r="http://schemas.openxmlformats.org/officeDocument/2006/relationships" r:embed="rId32"/>
                          <a:stretch>
                            <a:fillRect/>
                          </a:stretch>
                        </pic:blipFill>
                        <pic:spPr>
                          <a:xfrm>
                            <a:off x="0" y="0"/>
                            <a:ext cx="765175" cy="706120"/>
                          </a:xfrm>
                          <a:prstGeom prst="rect">
                            <a:avLst/>
                          </a:prstGeom>
                          <a:noFill/>
                          <a:ln>
                            <a:noFill/>
                          </a:ln>
                        </pic:spPr>
                      </pic:pic>
                    </a:graphicData>
                  </a:graphic>
                </wp:anchor>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1</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套</w:t>
            </w:r>
          </w:p>
        </w:tc>
      </w:tr>
      <w:tr>
        <w:tblPrEx>
          <w:tblW w:w="8541" w:type="dxa"/>
          <w:tblInd w:w="0" w:type="dxa"/>
          <w:shd w:val="clear" w:color="auto" w:fill="auto"/>
          <w:tblLayout w:type="fixed"/>
          <w:tblCellMar>
            <w:top w:w="0" w:type="dxa"/>
            <w:left w:w="0" w:type="dxa"/>
            <w:bottom w:w="0" w:type="dxa"/>
            <w:right w:w="0" w:type="dxa"/>
          </w:tblCellMar>
        </w:tblPrEx>
        <w:trPr>
          <w:trHeight w:val="1800"/>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5</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滑行车（</w:t>
            </w:r>
            <w:r>
              <w:rPr>
                <w:rFonts w:ascii="宋体" w:hAnsi="宋体" w:cs="宋体" w:hint="eastAsia"/>
                <w:i w:val="0"/>
                <w:color w:val="000000"/>
                <w:kern w:val="0"/>
                <w:sz w:val="18"/>
                <w:szCs w:val="18"/>
                <w:u w:val="none"/>
                <w:lang w:val="en-US" w:eastAsia="zh-CN" w:bidi="ar"/>
              </w:rPr>
              <w:t>大</w:t>
            </w:r>
            <w:r>
              <w:rPr>
                <w:rFonts w:ascii="宋体" w:eastAsia="宋体" w:hAnsi="宋体" w:cs="宋体" w:hint="eastAsia"/>
                <w:i w:val="0"/>
                <w:color w:val="000000"/>
                <w:kern w:val="0"/>
                <w:sz w:val="18"/>
                <w:szCs w:val="18"/>
                <w:u w:val="none"/>
                <w:lang w:val="en-US" w:eastAsia="zh-CN" w:bidi="ar"/>
              </w:rPr>
              <w:t>）</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rPr>
            </w:pPr>
            <w:r>
              <w:rPr>
                <w:rFonts w:hint="eastAsia"/>
                <w:lang w:val="en-US" w:eastAsia="zh-CN"/>
              </w:rPr>
              <w:t>功能：</w:t>
            </w:r>
          </w:p>
          <w:p>
            <w:pPr>
              <w:keepNext w:val="0"/>
              <w:keepLines w:val="0"/>
              <w:widowControl/>
              <w:suppressLineNumbers w:val="0"/>
              <w:jc w:val="left"/>
              <w:textAlignment w:val="center"/>
              <w:rPr>
                <w:rFonts w:hint="eastAsia"/>
              </w:rPr>
            </w:pPr>
            <w:r>
              <w:rPr>
                <w:rFonts w:hint="eastAsia"/>
                <w:lang w:val="en-US" w:eastAsia="zh-CN"/>
              </w:rPr>
              <w:t>俯卧在滑板上做各种活动，前进或后退时，手脚屈伸动作会抑制原始反射，促进双侧统合，强化固有-前庭感觉统合， 与滑行平台配合使用，借着滑板滑下时的重力加速度，可以统合身体的紧张性迷路反射，及手部、肩部同时收缩作用，对本体感和身体形象的塑造帮助很大，滑行车由上而下的速度冲击感，可以促进前庭神经和脑干体系的活跃化，对孩子的全身感觉统合发展的帮助很大。</w:t>
            </w:r>
          </w:p>
          <w:p>
            <w:pPr>
              <w:keepNext w:val="0"/>
              <w:keepLines w:val="0"/>
              <w:widowControl/>
              <w:suppressLineNumbers w:val="0"/>
              <w:jc w:val="left"/>
              <w:textAlignment w:val="center"/>
              <w:rPr>
                <w:rFonts w:hint="eastAsia"/>
              </w:rPr>
            </w:pPr>
            <w:r>
              <w:rPr>
                <w:rFonts w:hint="eastAsia"/>
                <w:lang w:val="en-US" w:eastAsia="zh-CN"/>
              </w:rPr>
              <w:t>参数：</w:t>
            </w:r>
          </w:p>
          <w:p>
            <w:pPr>
              <w:keepNext w:val="0"/>
              <w:keepLines w:val="0"/>
              <w:widowControl/>
              <w:suppressLineNumbers w:val="0"/>
              <w:jc w:val="left"/>
              <w:textAlignment w:val="center"/>
              <w:rPr>
                <w:rFonts w:hint="eastAsia"/>
              </w:rPr>
            </w:pPr>
            <w:r>
              <w:rPr>
                <w:rFonts w:hint="eastAsia"/>
                <w:lang w:val="en-US" w:eastAsia="zh-CN"/>
              </w:rPr>
              <w:t>①车体：优质木材加海绵组成，触感优良，大平面设计满足各年龄段儿童使用。</w:t>
            </w:r>
          </w:p>
          <w:p>
            <w:pPr>
              <w:keepNext w:val="0"/>
              <w:keepLines w:val="0"/>
              <w:widowControl/>
              <w:suppressLineNumbers w:val="0"/>
              <w:jc w:val="left"/>
              <w:textAlignment w:val="center"/>
              <w:rPr>
                <w:rFonts w:hint="eastAsia"/>
              </w:rPr>
            </w:pPr>
            <w:r>
              <w:rPr>
                <w:rFonts w:hint="eastAsia"/>
                <w:lang w:val="en-US" w:eastAsia="zh-CN"/>
              </w:rPr>
              <w:t>②万向轮：高分子尼龙，耐磨耐压，满足各种移动需要。</w:t>
            </w:r>
          </w:p>
          <w:p>
            <w:pPr>
              <w:keepNext w:val="0"/>
              <w:keepLines w:val="0"/>
              <w:widowControl/>
              <w:suppressLineNumbers w:val="0"/>
              <w:jc w:val="left"/>
              <w:textAlignment w:val="center"/>
              <w:rPr>
                <w:rFonts w:hint="eastAsia"/>
              </w:rPr>
            </w:pPr>
            <w:r>
              <w:rPr>
                <w:rFonts w:hint="eastAsia"/>
                <w:lang w:val="en-US" w:eastAsia="zh-CN"/>
              </w:rPr>
              <w:t>③U型挂钩：搭配滑行平台使用时，安装绳索用。</w:t>
            </w:r>
          </w:p>
          <w:p>
            <w:pPr>
              <w:keepNext w:val="0"/>
              <w:keepLines w:val="0"/>
              <w:widowControl/>
              <w:suppressLineNumbers w:val="0"/>
              <w:jc w:val="left"/>
              <w:textAlignment w:val="center"/>
              <w:rPr>
                <w:rFonts w:hint="eastAsia"/>
              </w:rPr>
            </w:pPr>
            <w:r>
              <w:rPr>
                <w:rFonts w:hint="eastAsia"/>
                <w:lang w:val="en-US" w:eastAsia="zh-CN"/>
              </w:rPr>
              <w:t>承重70公斤不变形，尼龙轮，50MM厚软垫表面，四侧防磨损尼龙边。每部滑行车配辅助活动配件　- 触觉垫1张，拉绳1条</w:t>
            </w:r>
          </w:p>
          <w:p>
            <w:pPr>
              <w:keepNext w:val="0"/>
              <w:keepLines w:val="0"/>
              <w:widowControl/>
              <w:suppressLineNumbers w:val="0"/>
              <w:jc w:val="left"/>
              <w:textAlignment w:val="center"/>
              <w:rPr>
                <w:rFonts w:hint="eastAsia"/>
              </w:rPr>
            </w:pPr>
            <w:r>
              <w:rPr>
                <w:rFonts w:hint="eastAsia"/>
                <w:lang w:val="en-US" w:eastAsia="zh-CN"/>
              </w:rPr>
              <w:t>尺寸：小（460*600mm）</w:t>
            </w:r>
          </w:p>
          <w:p>
            <w:pPr>
              <w:pStyle w:val="BodyTextFirstIndent"/>
              <w:spacing w:after="0"/>
              <w:rPr>
                <w:rFonts w:hint="eastAsia"/>
                <w:lang w:val="en-US" w:eastAsia="zh-CN"/>
              </w:rPr>
            </w:pPr>
            <w:r>
              <w:rPr>
                <w:rFonts w:ascii="宋体" w:eastAsia="宋体" w:hAnsi="宋体" w:cs="宋体" w:hint="eastAsia"/>
                <w:i w:val="0"/>
                <w:color w:val="000000"/>
                <w:sz w:val="18"/>
                <w:szCs w:val="18"/>
                <w:u w:val="none"/>
                <w:lang w:val="en-US" w:eastAsia="zh-Hans"/>
              </w:rPr>
              <w:t>▲</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extDirection w:val="tbRlV"/>
            <w:vAlign w:val="center"/>
          </w:tcPr>
          <w:p>
            <w:pPr>
              <w:keepNext w:val="0"/>
              <w:keepLines w:val="0"/>
              <w:widowControl/>
              <w:suppressLineNumbers w:val="0"/>
              <w:jc w:val="left"/>
              <w:textAlignment w:val="center"/>
              <w:rPr>
                <w:rFonts w:ascii="Calibri" w:hAnsi="Calibri" w:cs="Calibri" w:hint="default"/>
                <w:i w:val="0"/>
                <w:color w:val="808080"/>
                <w:kern w:val="0"/>
                <w:sz w:val="18"/>
                <w:szCs w:val="18"/>
                <w:u w:val="none"/>
                <w:bdr w:val="single" w:sz="4" w:space="0" w:color="000000"/>
                <w:lang w:bidi="ar"/>
              </w:rPr>
            </w:pPr>
            <w:r>
              <w:rPr>
                <w:rFonts w:ascii="Calibri" w:eastAsia="宋体" w:hAnsi="Calibri" w:cs="Calibri" w:hint="default"/>
                <w:i w:val="0"/>
                <w:color w:val="808080"/>
                <w:kern w:val="0"/>
                <w:sz w:val="18"/>
                <w:szCs w:val="18"/>
                <w:u w:val="none"/>
                <w:bdr w:val="single" w:sz="4" w:space="0" w:color="000000"/>
                <w:lang w:val="en-US" w:eastAsia="zh-CN" w:bidi="ar"/>
              </w:rPr>
              <w:drawing>
                <wp:anchor distT="0" distB="0" distL="114300" distR="114300" simplePos="0" relativeHeight="251662336" behindDoc="0" locked="0" layoutInCell="1" allowOverlap="1">
                  <wp:simplePos x="0" y="0"/>
                  <wp:positionH relativeFrom="column">
                    <wp:posOffset>-1003935</wp:posOffset>
                  </wp:positionH>
                  <wp:positionV relativeFrom="paragraph">
                    <wp:posOffset>663575</wp:posOffset>
                  </wp:positionV>
                  <wp:extent cx="798195" cy="834390"/>
                  <wp:effectExtent l="0" t="0" r="1905" b="3810"/>
                  <wp:wrapNone/>
                  <wp:docPr id="3" name="ID_7CD6CF1A624F4FD2A3E897006F49A073"/>
                  <wp:cNvGraphicFramePr/>
                  <a:graphic xmlns:a="http://schemas.openxmlformats.org/drawingml/2006/main">
                    <a:graphicData uri="http://schemas.openxmlformats.org/drawingml/2006/picture">
                      <pic:pic xmlns:pic="http://schemas.openxmlformats.org/drawingml/2006/picture">
                        <pic:nvPicPr>
                          <pic:cNvPr id="3" name="ID_7CD6CF1A624F4FD2A3E897006F49A073"/>
                          <pic:cNvPicPr/>
                        </pic:nvPicPr>
                        <pic:blipFill>
                          <a:blip xmlns:r="http://schemas.openxmlformats.org/officeDocument/2006/relationships" r:embed="rId33"/>
                          <a:stretch>
                            <a:fillRect/>
                          </a:stretch>
                        </pic:blipFill>
                        <pic:spPr>
                          <a:xfrm>
                            <a:off x="0" y="0"/>
                            <a:ext cx="798195" cy="834390"/>
                          </a:xfrm>
                          <a:prstGeom prst="rect">
                            <a:avLst/>
                          </a:prstGeom>
                          <a:noFill/>
                          <a:ln>
                            <a:noFill/>
                          </a:ln>
                        </pic:spPr>
                      </pic:pic>
                    </a:graphicData>
                  </a:graphic>
                </wp:anchor>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1</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套</w:t>
            </w:r>
          </w:p>
        </w:tc>
      </w:tr>
    </w:tbl>
    <w:p>
      <w:pPr>
        <w:sectPr>
          <w:headerReference w:type="default" r:id="rId34"/>
          <w:footerReference w:type="default" r:id="rId35"/>
          <w:headerReference w:type="first" r:id="rId36"/>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7" w:chapStyle="1" w:chapSep="enDash"/>
          <w:cols w:num="1" w:space="720"/>
          <w:titlePg w:val="0"/>
          <w:rtlGutter w:val="0"/>
          <w:docGrid w:linePitch="312" w:charSpace="0"/>
        </w:sectPr>
      </w:pPr>
    </w:p>
    <w:tbl>
      <w:tblPr>
        <w:tblStyle w:val="TableNormal"/>
        <w:tblW w:w="8541" w:type="dxa"/>
        <w:tblInd w:w="0" w:type="dxa"/>
        <w:shd w:val="clear" w:color="auto" w:fill="auto"/>
        <w:tblLayout w:type="fixed"/>
        <w:tblCellMar>
          <w:top w:w="0" w:type="dxa"/>
          <w:left w:w="0" w:type="dxa"/>
          <w:bottom w:w="0" w:type="dxa"/>
          <w:right w:w="0" w:type="dxa"/>
        </w:tblCellMar>
      </w:tblPr>
      <w:tblGrid>
        <w:gridCol w:w="715"/>
        <w:gridCol w:w="873"/>
        <w:gridCol w:w="3918"/>
        <w:gridCol w:w="1826"/>
        <w:gridCol w:w="663"/>
        <w:gridCol w:w="546"/>
      </w:tblGrid>
      <w:tr>
        <w:tblPrEx>
          <w:tblW w:w="8541" w:type="dxa"/>
          <w:tblInd w:w="0" w:type="dxa"/>
          <w:shd w:val="clear" w:color="auto" w:fill="auto"/>
          <w:tblLayout w:type="fixed"/>
          <w:tblCellMar>
            <w:top w:w="0" w:type="dxa"/>
            <w:left w:w="0" w:type="dxa"/>
            <w:bottom w:w="0" w:type="dxa"/>
            <w:right w:w="0" w:type="dxa"/>
          </w:tblCellMar>
        </w:tblPrEx>
        <w:trPr>
          <w:trHeight w:val="1800"/>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pStyle w:val="BodyTextFirstIndent"/>
              <w:spacing w:before="0"/>
              <w:rPr>
                <w:rFonts w:hint="eastAsia"/>
                <w:lang w:val="en-US" w:eastAsia="zh-CN"/>
              </w:rPr>
            </w:pPr>
            <w:r>
              <w:rPr>
                <w:rFonts w:hint="eastAsia"/>
                <w:lang w:val="en-US" w:eastAsia="zh-CN"/>
              </w:rPr>
              <w:t>提供省级或以上国家检测机构出具检验报告影印件，报告中含有序号1、2、3的所有内容</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extDirection w:val="tbRlV"/>
            <w:vAlign w:val="center"/>
          </w:tcP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tc>
      </w:tr>
      <w:tr>
        <w:tblPrEx>
          <w:tblW w:w="8541" w:type="dxa"/>
          <w:tblInd w:w="0" w:type="dxa"/>
          <w:shd w:val="clear" w:color="auto" w:fill="auto"/>
          <w:tblLayout w:type="fixed"/>
          <w:tblCellMar>
            <w:top w:w="0" w:type="dxa"/>
            <w:left w:w="0" w:type="dxa"/>
            <w:bottom w:w="0" w:type="dxa"/>
            <w:right w:w="0" w:type="dxa"/>
          </w:tblCellMar>
        </w:tblPrEx>
        <w:trPr>
          <w:trHeight w:val="1800"/>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6</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18"/>
                <w:szCs w:val="18"/>
                <w:u w:val="none"/>
              </w:rPr>
            </w:pPr>
            <w:r>
              <w:rPr>
                <w:rFonts w:ascii="宋体" w:eastAsia="宋体" w:hAnsi="宋体" w:cs="宋体" w:hint="eastAsia"/>
                <w:i w:val="0"/>
                <w:color w:val="000000"/>
                <w:kern w:val="0"/>
                <w:sz w:val="18"/>
                <w:szCs w:val="18"/>
                <w:u w:val="none"/>
                <w:lang w:val="en-US" w:eastAsia="zh-CN" w:bidi="ar"/>
              </w:rPr>
              <w:t>隧道组合软件</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功能：</w:t>
            </w:r>
          </w:p>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锻炼患者对形状认知能力，如何动手将各种形状的小软件拼接成不同形状，让儿童努力思考的问题，开发智力。</w:t>
            </w:r>
          </w:p>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参数：①楼梯：内部采用优质发泡材料造型，表面高级PVC涂层布，色彩明亮。</w:t>
            </w:r>
          </w:p>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②底座：内部采用优质发泡材料造型，表面高级PVC涂层布，色彩明亮。</w:t>
            </w:r>
          </w:p>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③斜坡：内部采用优质发泡材料造型，表面高级PVC涂层布，色彩明亮。</w:t>
            </w:r>
          </w:p>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④筒槽：内部采用优质发泡材料造型，表面高级PVC涂层布，色彩明亮。</w:t>
            </w:r>
          </w:p>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⑤滚筒：内部采用优质木材造型，全方位软包保护，表面高级PVC涂层布，色彩明亮。</w:t>
            </w:r>
          </w:p>
          <w:p>
            <w:pPr>
              <w:keepNext w:val="0"/>
              <w:keepLines w:val="0"/>
              <w:widowControl/>
              <w:suppressLineNumbers w:val="0"/>
              <w:jc w:val="left"/>
              <w:textAlignment w:val="center"/>
              <w:rPr>
                <w:rFonts w:ascii="宋体" w:hAnsi="宋体" w:cs="宋体" w:hint="eastAsia"/>
                <w:i w:val="0"/>
                <w:color w:val="000000"/>
                <w:sz w:val="18"/>
                <w:szCs w:val="18"/>
                <w:u w:val="none"/>
              </w:rPr>
            </w:pPr>
            <w:r>
              <w:rPr>
                <w:rFonts w:ascii="宋体" w:eastAsia="宋体" w:hAnsi="宋体" w:cs="宋体" w:hint="eastAsia"/>
                <w:i w:val="0"/>
                <w:color w:val="000000"/>
                <w:kern w:val="0"/>
                <w:sz w:val="18"/>
                <w:szCs w:val="18"/>
                <w:u w:val="none"/>
                <w:lang w:val="en-US" w:eastAsia="zh-CN" w:bidi="ar"/>
              </w:rPr>
              <w:t>尺寸：2100*900*1100mm</w:t>
            </w:r>
          </w:p>
        </w:tc>
        <w:tc>
          <w:tcPr>
            <w:tcW w:w="1826" w:type="dxa"/>
            <w:tcBorders>
              <w:top w:val="single" w:sz="4" w:space="0" w:color="000000"/>
              <w:left w:val="single" w:sz="4" w:space="0" w:color="000000"/>
              <w:bottom w:val="nil"/>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20"/>
                <w:szCs w:val="20"/>
                <w:u w:val="none"/>
              </w:rPr>
            </w:pPr>
            <w:r>
              <w:rPr>
                <w:rFonts w:ascii="宋体" w:eastAsia="宋体" w:hAnsi="宋体" w:cs="宋体" w:hint="eastAsia"/>
                <w:i w:val="0"/>
                <w:color w:val="000000"/>
                <w:kern w:val="0"/>
                <w:sz w:val="20"/>
                <w:szCs w:val="20"/>
                <w:u w:val="none"/>
                <w:bdr w:val="single" w:sz="4" w:space="0" w:color="000000"/>
                <w:lang w:val="en-US" w:eastAsia="zh-CN" w:bidi="ar"/>
              </w:rPr>
              <w:drawing>
                <wp:anchor distT="0" distB="0" distL="114300" distR="114300" simplePos="0" relativeHeight="251663360" behindDoc="0" locked="0" layoutInCell="1" allowOverlap="1">
                  <wp:simplePos x="0" y="0"/>
                  <wp:positionH relativeFrom="column">
                    <wp:posOffset>193040</wp:posOffset>
                  </wp:positionH>
                  <wp:positionV relativeFrom="paragraph">
                    <wp:posOffset>576580</wp:posOffset>
                  </wp:positionV>
                  <wp:extent cx="860425" cy="686435"/>
                  <wp:effectExtent l="0" t="0" r="15875" b="18415"/>
                  <wp:wrapNone/>
                  <wp:docPr id="308" name="ID_3480554C1C3A4F868BEA9284F597F10D"/>
                  <wp:cNvGraphicFramePr/>
                  <a:graphic xmlns:a="http://schemas.openxmlformats.org/drawingml/2006/main">
                    <a:graphicData uri="http://schemas.openxmlformats.org/drawingml/2006/picture">
                      <pic:pic xmlns:pic="http://schemas.openxmlformats.org/drawingml/2006/picture">
                        <pic:nvPicPr>
                          <pic:cNvPr id="308" name="ID_3480554C1C3A4F868BEA9284F597F10D"/>
                          <pic:cNvPicPr/>
                        </pic:nvPicPr>
                        <pic:blipFill>
                          <a:blip xmlns:r="http://schemas.openxmlformats.org/officeDocument/2006/relationships" r:embed="rId37"/>
                          <a:stretch>
                            <a:fillRect/>
                          </a:stretch>
                        </pic:blipFill>
                        <pic:spPr>
                          <a:xfrm>
                            <a:off x="0" y="0"/>
                            <a:ext cx="860425" cy="686435"/>
                          </a:xfrm>
                          <a:prstGeom prst="rect">
                            <a:avLst/>
                          </a:prstGeom>
                          <a:noFill/>
                          <a:ln>
                            <a:noFill/>
                          </a:ln>
                        </pic:spPr>
                      </pic:pic>
                    </a:graphicData>
                  </a:graphic>
                </wp:anchor>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1</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套</w:t>
            </w:r>
          </w:p>
        </w:tc>
      </w:tr>
      <w:tr>
        <w:tblPrEx>
          <w:tblW w:w="8541" w:type="dxa"/>
          <w:tblInd w:w="0" w:type="dxa"/>
          <w:shd w:val="clear" w:color="auto" w:fill="auto"/>
          <w:tblLayout w:type="fixed"/>
          <w:tblCellMar>
            <w:top w:w="0" w:type="dxa"/>
            <w:left w:w="0" w:type="dxa"/>
            <w:bottom w:w="0" w:type="dxa"/>
            <w:right w:w="0" w:type="dxa"/>
          </w:tblCellMar>
        </w:tblPrEx>
        <w:trPr>
          <w:trHeight w:val="1172"/>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7</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18"/>
                <w:szCs w:val="18"/>
                <w:u w:val="none"/>
              </w:rPr>
            </w:pPr>
            <w:r>
              <w:rPr>
                <w:rFonts w:ascii="宋体" w:eastAsia="宋体" w:hAnsi="宋体" w:cs="宋体" w:hint="eastAsia"/>
                <w:i w:val="0"/>
                <w:color w:val="000000"/>
                <w:kern w:val="0"/>
                <w:sz w:val="18"/>
                <w:szCs w:val="18"/>
                <w:u w:val="none"/>
                <w:lang w:val="en-US" w:eastAsia="zh-CN" w:bidi="ar"/>
              </w:rPr>
              <w:t>海绵保护垫</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功能：为攀爬训练时提供足够的安全保护措施。</w:t>
            </w:r>
          </w:p>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参数：</w:t>
            </w:r>
          </w:p>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外套为可更换棉布制作，内套绸布，填充物料为海绵小方块。</w:t>
            </w:r>
          </w:p>
          <w:p>
            <w:pPr>
              <w:keepNext w:val="0"/>
              <w:keepLines w:val="0"/>
              <w:widowControl/>
              <w:suppressLineNumbers w:val="0"/>
              <w:jc w:val="left"/>
              <w:textAlignment w:val="center"/>
              <w:rPr>
                <w:rFonts w:ascii="宋体" w:hAnsi="宋体" w:cs="宋体" w:hint="eastAsia"/>
                <w:i w:val="0"/>
                <w:color w:val="000000"/>
                <w:sz w:val="18"/>
                <w:szCs w:val="18"/>
                <w:u w:val="none"/>
              </w:rPr>
            </w:pPr>
            <w:r>
              <w:rPr>
                <w:rFonts w:ascii="宋体" w:eastAsia="宋体" w:hAnsi="宋体" w:cs="宋体" w:hint="eastAsia"/>
                <w:i w:val="0"/>
                <w:color w:val="000000"/>
                <w:kern w:val="0"/>
                <w:sz w:val="18"/>
                <w:szCs w:val="18"/>
                <w:u w:val="none"/>
                <w:lang w:val="en-US" w:eastAsia="zh-CN" w:bidi="ar"/>
              </w:rPr>
              <w:t>尺寸：1400*1400*200mm</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extDirection w:val="tbRlV"/>
            <w:vAlign w:val="center"/>
          </w:tcPr>
          <w:p>
            <w:pPr>
              <w:keepNext w:val="0"/>
              <w:keepLines w:val="0"/>
              <w:widowControl/>
              <w:suppressLineNumbers w:val="0"/>
              <w:jc w:val="left"/>
              <w:textAlignment w:val="center"/>
              <w:rPr>
                <w:rFonts w:ascii="Calibri" w:hAnsi="Calibri" w:cs="Calibri" w:hint="default"/>
                <w:i w:val="0"/>
                <w:color w:val="808080"/>
                <w:sz w:val="18"/>
                <w:szCs w:val="18"/>
                <w:u w:val="none"/>
              </w:rPr>
            </w:pPr>
            <w:r>
              <w:rPr>
                <w:rFonts w:ascii="Calibri" w:eastAsia="宋体" w:hAnsi="Calibri" w:cs="Calibri" w:hint="default"/>
                <w:i w:val="0"/>
                <w:color w:val="808080"/>
                <w:kern w:val="0"/>
                <w:sz w:val="18"/>
                <w:szCs w:val="18"/>
                <w:u w:val="none"/>
                <w:bdr w:val="single" w:sz="4" w:space="0" w:color="000000"/>
                <w:lang w:val="en-US" w:eastAsia="zh-CN" w:bidi="ar"/>
              </w:rPr>
              <w:drawing>
                <wp:anchor distT="0" distB="0" distL="114300" distR="114300" simplePos="0" relativeHeight="251664384" behindDoc="0" locked="0" layoutInCell="1" allowOverlap="1">
                  <wp:simplePos x="0" y="0"/>
                  <wp:positionH relativeFrom="column">
                    <wp:posOffset>-986155</wp:posOffset>
                  </wp:positionH>
                  <wp:positionV relativeFrom="paragraph">
                    <wp:posOffset>72390</wp:posOffset>
                  </wp:positionV>
                  <wp:extent cx="716280" cy="591185"/>
                  <wp:effectExtent l="0" t="0" r="7620" b="18415"/>
                  <wp:wrapNone/>
                  <wp:docPr id="202" name="ID_4D3781D2AA354BB081766594ABCCE4B2"/>
                  <wp:cNvGraphicFramePr/>
                  <a:graphic xmlns:a="http://schemas.openxmlformats.org/drawingml/2006/main">
                    <a:graphicData uri="http://schemas.openxmlformats.org/drawingml/2006/picture">
                      <pic:pic xmlns:pic="http://schemas.openxmlformats.org/drawingml/2006/picture">
                        <pic:nvPicPr>
                          <pic:cNvPr id="202" name="ID_4D3781D2AA354BB081766594ABCCE4B2"/>
                          <pic:cNvPicPr/>
                        </pic:nvPicPr>
                        <pic:blipFill>
                          <a:blip xmlns:r="http://schemas.openxmlformats.org/officeDocument/2006/relationships" r:embed="rId38"/>
                          <a:srcRect r="-3486" b="5290"/>
                          <a:stretch>
                            <a:fillRect/>
                          </a:stretch>
                        </pic:blipFill>
                        <pic:spPr>
                          <a:xfrm>
                            <a:off x="0" y="0"/>
                            <a:ext cx="716280" cy="591185"/>
                          </a:xfrm>
                          <a:prstGeom prst="rect">
                            <a:avLst/>
                          </a:prstGeom>
                          <a:noFill/>
                          <a:ln>
                            <a:noFill/>
                          </a:ln>
                        </pic:spPr>
                      </pic:pic>
                    </a:graphicData>
                  </a:graphic>
                </wp:anchor>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4</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套</w:t>
            </w:r>
          </w:p>
        </w:tc>
      </w:tr>
      <w:tr>
        <w:tblPrEx>
          <w:tblW w:w="8541" w:type="dxa"/>
          <w:tblInd w:w="0" w:type="dxa"/>
          <w:shd w:val="clear" w:color="auto" w:fill="auto"/>
          <w:tblLayout w:type="fixed"/>
          <w:tblCellMar>
            <w:top w:w="0" w:type="dxa"/>
            <w:left w:w="0" w:type="dxa"/>
            <w:bottom w:w="0" w:type="dxa"/>
            <w:right w:w="0" w:type="dxa"/>
          </w:tblCellMar>
        </w:tblPrEx>
        <w:trPr>
          <w:trHeight w:val="1785"/>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8</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18"/>
                <w:szCs w:val="18"/>
                <w:u w:val="none"/>
              </w:rPr>
            </w:pPr>
            <w:r>
              <w:rPr>
                <w:rFonts w:ascii="宋体" w:eastAsia="宋体" w:hAnsi="宋体" w:cs="宋体" w:hint="eastAsia"/>
                <w:i w:val="0"/>
                <w:color w:val="000000"/>
                <w:kern w:val="0"/>
                <w:sz w:val="18"/>
                <w:szCs w:val="18"/>
                <w:u w:val="none"/>
                <w:lang w:val="en-US" w:eastAsia="zh-CN" w:bidi="ar"/>
              </w:rPr>
              <w:t>脚底触觉训练模块</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功能：各种不同材质的踏板，改善触觉迟钝儿童的感知能力；大面积的触觉材质，可锻炼肢体障碍儿童协调能力。</w:t>
            </w:r>
          </w:p>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参数：</w:t>
            </w:r>
          </w:p>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1、踏垫：优质木材及不同触觉材料组成，触觉质感强，此产品设计满足各年龄段儿童使用。</w:t>
            </w:r>
          </w:p>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2、木框：优良木材加环保油漆，耐磨耐压。</w:t>
            </w:r>
          </w:p>
          <w:p>
            <w:pPr>
              <w:keepNext w:val="0"/>
              <w:keepLines w:val="0"/>
              <w:widowControl/>
              <w:suppressLineNumbers w:val="0"/>
              <w:jc w:val="left"/>
              <w:textAlignment w:val="center"/>
              <w:rPr>
                <w:rFonts w:ascii="宋体" w:hAnsi="宋体" w:cs="宋体" w:hint="eastAsia"/>
                <w:i w:val="0"/>
                <w:color w:val="000000"/>
                <w:sz w:val="18"/>
                <w:szCs w:val="18"/>
                <w:u w:val="none"/>
              </w:rPr>
            </w:pPr>
            <w:r>
              <w:rPr>
                <w:rFonts w:ascii="宋体" w:eastAsia="宋体" w:hAnsi="宋体" w:cs="宋体" w:hint="eastAsia"/>
                <w:i w:val="0"/>
                <w:color w:val="000000"/>
                <w:kern w:val="0"/>
                <w:sz w:val="18"/>
                <w:szCs w:val="18"/>
                <w:u w:val="none"/>
                <w:lang w:val="en-US" w:eastAsia="zh-CN" w:bidi="ar"/>
              </w:rPr>
              <w:t>3、尺寸：2000*1000*50mm</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extDirection w:val="tbRlV"/>
            <w:vAlign w:val="center"/>
          </w:tcPr>
          <w:p>
            <w:pPr>
              <w:keepNext w:val="0"/>
              <w:keepLines w:val="0"/>
              <w:widowControl/>
              <w:suppressLineNumbers w:val="0"/>
              <w:jc w:val="left"/>
              <w:textAlignment w:val="center"/>
              <w:rPr>
                <w:rFonts w:ascii="宋体" w:hAnsi="宋体" w:cs="宋体" w:hint="eastAsia"/>
                <w:i w:val="0"/>
                <w:color w:val="000000"/>
                <w:sz w:val="18"/>
                <w:szCs w:val="18"/>
                <w:u w:val="none"/>
              </w:rPr>
            </w:pPr>
            <w:r>
              <w:rPr>
                <w:rFonts w:ascii="宋体" w:eastAsia="宋体" w:hAnsi="宋体" w:cs="宋体" w:hint="eastAsia"/>
                <w:i w:val="0"/>
                <w:color w:val="000000"/>
                <w:kern w:val="0"/>
                <w:sz w:val="18"/>
                <w:szCs w:val="18"/>
                <w:u w:val="none"/>
                <w:bdr w:val="single" w:sz="4" w:space="0" w:color="000000"/>
                <w:lang w:val="en-US" w:eastAsia="zh-CN" w:bidi="ar"/>
              </w:rPr>
              <w:drawing>
                <wp:anchor distT="0" distB="0" distL="114300" distR="114300" simplePos="0" relativeHeight="251665408" behindDoc="0" locked="0" layoutInCell="1" allowOverlap="1">
                  <wp:simplePos x="0" y="0"/>
                  <wp:positionH relativeFrom="column">
                    <wp:posOffset>-1073785</wp:posOffset>
                  </wp:positionH>
                  <wp:positionV relativeFrom="paragraph">
                    <wp:posOffset>266700</wp:posOffset>
                  </wp:positionV>
                  <wp:extent cx="835660" cy="594360"/>
                  <wp:effectExtent l="0" t="0" r="2540" b="15240"/>
                  <wp:wrapNone/>
                  <wp:docPr id="220" name="ID_C3065A758F3449B381F6A97045B244F0"/>
                  <wp:cNvGraphicFramePr/>
                  <a:graphic xmlns:a="http://schemas.openxmlformats.org/drawingml/2006/main">
                    <a:graphicData uri="http://schemas.openxmlformats.org/drawingml/2006/picture">
                      <pic:pic xmlns:pic="http://schemas.openxmlformats.org/drawingml/2006/picture">
                        <pic:nvPicPr>
                          <pic:cNvPr id="220" name="ID_C3065A758F3449B381F6A97045B244F0"/>
                          <pic:cNvPicPr/>
                        </pic:nvPicPr>
                        <pic:blipFill>
                          <a:blip xmlns:r="http://schemas.openxmlformats.org/officeDocument/2006/relationships" r:embed="rId39"/>
                          <a:stretch>
                            <a:fillRect/>
                          </a:stretch>
                        </pic:blipFill>
                        <pic:spPr>
                          <a:xfrm>
                            <a:off x="0" y="0"/>
                            <a:ext cx="835660" cy="594360"/>
                          </a:xfrm>
                          <a:prstGeom prst="rect">
                            <a:avLst/>
                          </a:prstGeom>
                          <a:noFill/>
                          <a:ln>
                            <a:noFill/>
                          </a:ln>
                        </pic:spPr>
                      </pic:pic>
                    </a:graphicData>
                  </a:graphic>
                </wp:anchor>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1</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套</w:t>
            </w:r>
          </w:p>
        </w:tc>
      </w:tr>
      <w:tr>
        <w:tblPrEx>
          <w:tblW w:w="8541" w:type="dxa"/>
          <w:tblInd w:w="0" w:type="dxa"/>
          <w:shd w:val="clear" w:color="auto" w:fill="auto"/>
          <w:tblLayout w:type="fixed"/>
          <w:tblCellMar>
            <w:top w:w="0" w:type="dxa"/>
            <w:left w:w="0" w:type="dxa"/>
            <w:bottom w:w="0" w:type="dxa"/>
            <w:right w:w="0" w:type="dxa"/>
          </w:tblCellMar>
        </w:tblPrEx>
        <w:trPr>
          <w:trHeight w:val="533"/>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9</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ascii="宋体" w:hAnsi="宋体" w:cs="宋体" w:hint="eastAsia"/>
                <w:i w:val="0"/>
                <w:iCs w:val="0"/>
                <w:color w:val="000000"/>
                <w:kern w:val="2"/>
                <w:sz w:val="20"/>
                <w:szCs w:val="20"/>
                <w:u w:val="none"/>
              </w:rPr>
            </w:pPr>
            <w:r>
              <w:rPr>
                <w:rFonts w:ascii="宋体" w:eastAsia="宋体" w:hAnsi="宋体" w:cs="宋体" w:hint="eastAsia"/>
                <w:i w:val="0"/>
                <w:iCs w:val="0"/>
                <w:color w:val="000000"/>
                <w:kern w:val="0"/>
                <w:sz w:val="20"/>
                <w:szCs w:val="20"/>
                <w:u w:val="none"/>
                <w:lang w:val="en-US" w:eastAsia="zh-CN" w:bidi="ar"/>
              </w:rPr>
              <w:t>吊桥</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ascii="宋体" w:hAnsi="宋体" w:cs="宋体" w:hint="eastAsia"/>
                <w:i w:val="0"/>
                <w:iCs w:val="0"/>
                <w:color w:val="000000"/>
                <w:kern w:val="0"/>
                <w:sz w:val="18"/>
                <w:szCs w:val="18"/>
                <w:u w:val="none"/>
                <w:lang w:bidi="ar"/>
              </w:rPr>
            </w:pPr>
            <w:r>
              <w:rPr>
                <w:rFonts w:ascii="宋体" w:eastAsia="宋体" w:hAnsi="宋体" w:cs="宋体" w:hint="eastAsia"/>
                <w:i w:val="0"/>
                <w:iCs w:val="0"/>
                <w:color w:val="000000"/>
                <w:kern w:val="0"/>
                <w:sz w:val="18"/>
                <w:szCs w:val="18"/>
                <w:u w:val="none"/>
                <w:lang w:val="en-US" w:eastAsia="zh-CN" w:bidi="ar"/>
              </w:rPr>
              <w:t>功能：</w:t>
            </w:r>
          </w:p>
          <w:p>
            <w:pPr>
              <w:keepNext w:val="0"/>
              <w:keepLines w:val="0"/>
              <w:widowControl/>
              <w:suppressLineNumbers w:val="0"/>
              <w:jc w:val="left"/>
              <w:textAlignment w:val="center"/>
              <w:rPr>
                <w:rFonts w:ascii="宋体" w:hAnsi="宋体" w:cs="宋体" w:hint="eastAsia"/>
                <w:i w:val="0"/>
                <w:iCs w:val="0"/>
                <w:color w:val="000000"/>
                <w:kern w:val="0"/>
                <w:sz w:val="18"/>
                <w:szCs w:val="18"/>
                <w:u w:val="none"/>
                <w:lang w:bidi="ar"/>
              </w:rPr>
            </w:pPr>
            <w:r>
              <w:rPr>
                <w:rFonts w:ascii="宋体" w:eastAsia="宋体" w:hAnsi="宋体" w:cs="宋体" w:hint="eastAsia"/>
                <w:i w:val="0"/>
                <w:iCs w:val="0"/>
                <w:color w:val="000000"/>
                <w:kern w:val="0"/>
                <w:sz w:val="18"/>
                <w:szCs w:val="18"/>
                <w:u w:val="none"/>
                <w:lang w:val="en-US" w:eastAsia="zh-CN" w:bidi="ar"/>
              </w:rPr>
              <w:t>吊桥中不同颜色的连接可训练儿童颜色的认知能力,同时晃动的平衡木让儿童通过以协助身体平衡能力的建立。</w:t>
            </w:r>
          </w:p>
          <w:p>
            <w:pPr>
              <w:keepNext w:val="0"/>
              <w:keepLines w:val="0"/>
              <w:widowControl/>
              <w:suppressLineNumbers w:val="0"/>
              <w:jc w:val="left"/>
              <w:textAlignment w:val="center"/>
              <w:rPr>
                <w:rFonts w:ascii="宋体" w:hAnsi="宋体" w:cs="宋体" w:hint="eastAsia"/>
                <w:i w:val="0"/>
                <w:iCs w:val="0"/>
                <w:color w:val="000000"/>
                <w:kern w:val="0"/>
                <w:sz w:val="18"/>
                <w:szCs w:val="18"/>
                <w:u w:val="none"/>
                <w:lang w:bidi="ar"/>
              </w:rPr>
            </w:pPr>
            <w:r>
              <w:rPr>
                <w:rFonts w:ascii="宋体" w:eastAsia="宋体" w:hAnsi="宋体" w:cs="宋体" w:hint="eastAsia"/>
                <w:i w:val="0"/>
                <w:iCs w:val="0"/>
                <w:color w:val="000000"/>
                <w:kern w:val="0"/>
                <w:sz w:val="18"/>
                <w:szCs w:val="18"/>
                <w:u w:val="none"/>
                <w:lang w:val="en-US" w:eastAsia="zh-CN" w:bidi="ar"/>
              </w:rPr>
              <w:t xml:space="preserve">参数： </w:t>
            </w:r>
          </w:p>
          <w:p>
            <w:pPr>
              <w:keepNext w:val="0"/>
              <w:keepLines w:val="0"/>
              <w:widowControl/>
              <w:suppressLineNumbers w:val="0"/>
              <w:jc w:val="left"/>
              <w:textAlignment w:val="center"/>
              <w:rPr>
                <w:rFonts w:ascii="宋体" w:hAnsi="宋体" w:cs="宋体" w:hint="eastAsia"/>
                <w:i w:val="0"/>
                <w:iCs w:val="0"/>
                <w:color w:val="000000"/>
                <w:kern w:val="0"/>
                <w:sz w:val="18"/>
                <w:szCs w:val="18"/>
                <w:u w:val="none"/>
                <w:lang w:bidi="ar"/>
              </w:rPr>
            </w:pPr>
            <w:r>
              <w:rPr>
                <w:rFonts w:ascii="宋体" w:eastAsia="宋体" w:hAnsi="宋体" w:cs="宋体" w:hint="eastAsia"/>
                <w:i w:val="0"/>
                <w:color w:val="000000"/>
                <w:sz w:val="18"/>
                <w:szCs w:val="18"/>
                <w:u w:val="none"/>
                <w:lang w:val="en-US" w:eastAsia="zh-Hans"/>
              </w:rPr>
              <w:t>▲</w:t>
            </w:r>
            <w:r>
              <w:rPr>
                <w:rFonts w:ascii="宋体" w:eastAsia="宋体" w:hAnsi="宋体" w:cs="宋体" w:hint="eastAsia"/>
                <w:i w:val="0"/>
                <w:iCs w:val="0"/>
                <w:color w:val="000000"/>
                <w:kern w:val="0"/>
                <w:sz w:val="18"/>
                <w:szCs w:val="18"/>
                <w:u w:val="none"/>
                <w:lang w:val="en-US" w:eastAsia="zh-CN" w:bidi="ar"/>
              </w:rPr>
              <w:t>①桥架：优质钢材框架及优质阻燃、防撞、防水软体结构。</w:t>
            </w:r>
          </w:p>
          <w:p>
            <w:pPr>
              <w:keepNext w:val="0"/>
              <w:keepLines w:val="0"/>
              <w:widowControl/>
              <w:suppressLineNumbers w:val="0"/>
              <w:jc w:val="left"/>
              <w:textAlignment w:val="center"/>
              <w:rPr>
                <w:rFonts w:ascii="宋体" w:hAnsi="宋体" w:cs="宋体" w:hint="eastAsia"/>
                <w:i w:val="0"/>
                <w:iCs w:val="0"/>
                <w:color w:val="000000"/>
                <w:kern w:val="0"/>
                <w:sz w:val="18"/>
                <w:szCs w:val="18"/>
                <w:u w:val="none"/>
                <w:lang w:bidi="ar"/>
              </w:rPr>
            </w:pPr>
            <w:r>
              <w:rPr>
                <w:rFonts w:ascii="宋体" w:eastAsia="宋体" w:hAnsi="宋体" w:cs="宋体" w:hint="eastAsia"/>
                <w:i w:val="0"/>
                <w:iCs w:val="0"/>
                <w:color w:val="000000"/>
                <w:kern w:val="0"/>
                <w:sz w:val="18"/>
                <w:szCs w:val="18"/>
                <w:u w:val="none"/>
                <w:lang w:val="en-US" w:eastAsia="zh-CN" w:bidi="ar"/>
              </w:rPr>
              <w:t>②斜坡：优质木材框架，优质阻燃、防撞、防水软体结构。</w:t>
            </w:r>
          </w:p>
          <w:p>
            <w:pPr>
              <w:keepNext w:val="0"/>
              <w:keepLines w:val="0"/>
              <w:widowControl/>
              <w:suppressLineNumbers w:val="0"/>
              <w:jc w:val="left"/>
              <w:textAlignment w:val="center"/>
              <w:rPr>
                <w:rFonts w:ascii="宋体" w:hAnsi="宋体" w:cs="宋体" w:hint="eastAsia"/>
                <w:i w:val="0"/>
                <w:iCs w:val="0"/>
                <w:color w:val="000000"/>
                <w:kern w:val="0"/>
                <w:sz w:val="18"/>
                <w:szCs w:val="18"/>
                <w:u w:val="none"/>
                <w:lang w:bidi="ar"/>
              </w:rPr>
            </w:pPr>
            <w:r>
              <w:rPr>
                <w:rFonts w:ascii="宋体" w:eastAsia="宋体" w:hAnsi="宋体" w:cs="宋体" w:hint="eastAsia"/>
                <w:i w:val="0"/>
                <w:iCs w:val="0"/>
                <w:color w:val="000000"/>
                <w:kern w:val="0"/>
                <w:sz w:val="18"/>
                <w:szCs w:val="18"/>
                <w:u w:val="none"/>
                <w:lang w:val="en-US" w:eastAsia="zh-CN" w:bidi="ar"/>
              </w:rPr>
              <w:t>③楼梯：优质木材框架，优质阻燃、防撞、防水软体结构。</w:t>
            </w:r>
          </w:p>
          <w:p>
            <w:pPr>
              <w:keepNext w:val="0"/>
              <w:keepLines w:val="0"/>
              <w:widowControl/>
              <w:suppressLineNumbers w:val="0"/>
              <w:jc w:val="left"/>
              <w:textAlignment w:val="center"/>
              <w:rPr>
                <w:rFonts w:ascii="宋体" w:hAnsi="宋体" w:cs="宋体" w:hint="eastAsia"/>
                <w:i w:val="0"/>
                <w:iCs w:val="0"/>
                <w:color w:val="000000"/>
                <w:kern w:val="2"/>
                <w:sz w:val="18"/>
                <w:szCs w:val="18"/>
                <w:u w:val="none"/>
              </w:rPr>
            </w:pPr>
            <w:r>
              <w:rPr>
                <w:rFonts w:ascii="宋体" w:eastAsia="宋体" w:hAnsi="宋体" w:cs="宋体" w:hint="eastAsia"/>
                <w:i w:val="0"/>
                <w:iCs w:val="0"/>
                <w:color w:val="000000"/>
                <w:kern w:val="0"/>
                <w:sz w:val="18"/>
                <w:szCs w:val="18"/>
                <w:u w:val="none"/>
                <w:lang w:val="en-US" w:eastAsia="zh-CN" w:bidi="ar"/>
              </w:rPr>
              <w:t>尺寸：2880*840*1550mm</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kern w:val="0"/>
                <w:sz w:val="20"/>
                <w:szCs w:val="20"/>
                <w:u w:val="none"/>
                <w:bdr w:val="single" w:sz="4" w:space="0" w:color="000000"/>
                <w:lang w:bidi="ar"/>
              </w:rPr>
            </w:pPr>
            <w:r>
              <w:drawing>
                <wp:inline distT="0" distB="0" distL="114300" distR="114300">
                  <wp:extent cx="742315" cy="744220"/>
                  <wp:effectExtent l="0" t="0" r="635" b="17780"/>
                  <wp:docPr id="30255" name="Picture 38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55" name="Picture 38695"/>
                          <pic:cNvPicPr>
                            <a:picLocks noChangeAspect="1"/>
                          </pic:cNvPicPr>
                        </pic:nvPicPr>
                        <pic:blipFill>
                          <a:blip xmlns:r="http://schemas.openxmlformats.org/officeDocument/2006/relationships" r:embed="rId40"/>
                          <a:stretch>
                            <a:fillRect/>
                          </a:stretch>
                        </pic:blipFill>
                        <pic:spPr>
                          <a:xfrm>
                            <a:off x="0" y="0"/>
                            <a:ext cx="742315" cy="744220"/>
                          </a:xfrm>
                          <a:prstGeom prst="rect">
                            <a:avLst/>
                          </a:prstGeom>
                          <a:noFill/>
                          <a:ln w="1">
                            <a:noFill/>
                          </a:ln>
                        </pic:spPr>
                      </pic:pic>
                    </a:graphicData>
                  </a:graphic>
                </wp:inline>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1</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套</w:t>
            </w:r>
          </w:p>
        </w:tc>
      </w:tr>
      <w:tr>
        <w:tblPrEx>
          <w:tblW w:w="8541" w:type="dxa"/>
          <w:tblInd w:w="0" w:type="dxa"/>
          <w:shd w:val="clear" w:color="auto" w:fill="auto"/>
          <w:tblLayout w:type="fixed"/>
          <w:tblCellMar>
            <w:top w:w="0" w:type="dxa"/>
            <w:left w:w="0" w:type="dxa"/>
            <w:bottom w:w="0" w:type="dxa"/>
            <w:right w:w="0" w:type="dxa"/>
          </w:tblCellMar>
        </w:tblPrEx>
        <w:trPr>
          <w:trHeight w:val="1614"/>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10</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18"/>
                <w:szCs w:val="18"/>
                <w:u w:val="none"/>
              </w:rPr>
            </w:pPr>
            <w:r>
              <w:rPr>
                <w:rFonts w:ascii="宋体" w:eastAsia="宋体" w:hAnsi="宋体" w:cs="宋体" w:hint="eastAsia"/>
                <w:i w:val="0"/>
                <w:color w:val="000000"/>
                <w:kern w:val="0"/>
                <w:sz w:val="18"/>
                <w:szCs w:val="18"/>
                <w:u w:val="none"/>
                <w:lang w:val="en-US" w:eastAsia="zh-CN" w:bidi="ar"/>
              </w:rPr>
              <w:t>卡通墙体彩绘</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功能：增强房间的整体氛围，鲜明的色彩与训练器材搭配，是整个训练室的完美结合</w:t>
            </w:r>
          </w:p>
          <w:p>
            <w:pPr>
              <w:keepNext w:val="0"/>
              <w:keepLines w:val="0"/>
              <w:widowControl/>
              <w:suppressLineNumbers w:val="0"/>
              <w:jc w:val="left"/>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color w:val="000000"/>
                <w:kern w:val="0"/>
                <w:sz w:val="18"/>
                <w:szCs w:val="18"/>
                <w:u w:val="none"/>
                <w:lang w:val="en-US" w:eastAsia="zh-CN" w:bidi="ar"/>
              </w:rPr>
              <w:t>参数：根据实际尺寸</w:t>
            </w:r>
          </w:p>
          <w:p>
            <w:pPr>
              <w:keepNext w:val="0"/>
              <w:keepLines w:val="0"/>
              <w:widowControl/>
              <w:suppressLineNumbers w:val="0"/>
              <w:jc w:val="left"/>
              <w:textAlignment w:val="center"/>
              <w:rPr>
                <w:rFonts w:ascii="宋体" w:hAnsi="宋体" w:cs="宋体" w:hint="eastAsia"/>
                <w:i w:val="0"/>
                <w:color w:val="000000"/>
                <w:sz w:val="18"/>
                <w:szCs w:val="18"/>
                <w:u w:val="none"/>
              </w:rPr>
            </w:pPr>
            <w:r>
              <w:rPr>
                <w:rFonts w:ascii="宋体" w:eastAsia="宋体" w:hAnsi="宋体" w:cs="宋体" w:hint="eastAsia"/>
                <w:i w:val="0"/>
                <w:color w:val="000000"/>
                <w:kern w:val="0"/>
                <w:sz w:val="18"/>
                <w:szCs w:val="18"/>
                <w:u w:val="none"/>
                <w:lang w:val="en-US" w:eastAsia="zh-CN" w:bidi="ar"/>
              </w:rPr>
              <w:t>各类情景画面，无毒环保颜料、乳胶漆</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b/>
                <w:i w:val="0"/>
                <w:color w:val="000000"/>
                <w:sz w:val="18"/>
                <w:szCs w:val="18"/>
                <w:u w:val="none"/>
              </w:rPr>
            </w:pPr>
            <w:r>
              <w:rPr>
                <w:rFonts w:ascii="宋体" w:eastAsia="宋体" w:hAnsi="宋体" w:cs="宋体" w:hint="eastAsia"/>
                <w:b/>
                <w:i w:val="0"/>
                <w:color w:val="000000"/>
                <w:kern w:val="0"/>
                <w:sz w:val="18"/>
                <w:szCs w:val="18"/>
                <w:u w:val="none"/>
                <w:bdr w:val="single" w:sz="4" w:space="0" w:color="000000"/>
                <w:lang w:val="en-US" w:eastAsia="zh-CN" w:bidi="ar"/>
              </w:rPr>
              <w:drawing>
                <wp:anchor distT="0" distB="0" distL="114300" distR="114300" simplePos="0" relativeHeight="251666432" behindDoc="0" locked="0" layoutInCell="1" allowOverlap="1">
                  <wp:simplePos x="0" y="0"/>
                  <wp:positionH relativeFrom="column">
                    <wp:posOffset>210820</wp:posOffset>
                  </wp:positionH>
                  <wp:positionV relativeFrom="paragraph">
                    <wp:posOffset>137160</wp:posOffset>
                  </wp:positionV>
                  <wp:extent cx="728345" cy="814070"/>
                  <wp:effectExtent l="0" t="0" r="14605" b="5080"/>
                  <wp:wrapNone/>
                  <wp:docPr id="314" name="ID_3324CE669CB64FE69D44ACBB8396734B"/>
                  <wp:cNvGraphicFramePr/>
                  <a:graphic xmlns:a="http://schemas.openxmlformats.org/drawingml/2006/main">
                    <a:graphicData uri="http://schemas.openxmlformats.org/drawingml/2006/picture">
                      <pic:pic xmlns:pic="http://schemas.openxmlformats.org/drawingml/2006/picture">
                        <pic:nvPicPr>
                          <pic:cNvPr id="314" name="ID_3324CE669CB64FE69D44ACBB8396734B"/>
                          <pic:cNvPicPr/>
                        </pic:nvPicPr>
                        <pic:blipFill>
                          <a:blip xmlns:r="http://schemas.openxmlformats.org/officeDocument/2006/relationships" r:embed="rId41"/>
                          <a:stretch>
                            <a:fillRect/>
                          </a:stretch>
                        </pic:blipFill>
                        <pic:spPr>
                          <a:xfrm>
                            <a:off x="0" y="0"/>
                            <a:ext cx="728345" cy="814070"/>
                          </a:xfrm>
                          <a:prstGeom prst="rect">
                            <a:avLst/>
                          </a:prstGeom>
                          <a:noFill/>
                          <a:ln>
                            <a:noFill/>
                          </a:ln>
                        </pic:spPr>
                      </pic:pic>
                    </a:graphicData>
                  </a:graphic>
                </wp:anchor>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100</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平米</w:t>
            </w:r>
          </w:p>
        </w:tc>
      </w:tr>
    </w:tbl>
    <w:p>
      <w:pPr>
        <w:sectPr>
          <w:headerReference w:type="default" r:id="rId42"/>
          <w:footerReference w:type="default" r:id="rId43"/>
          <w:headerReference w:type="first" r:id="rId44"/>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8" w:chapStyle="1" w:chapSep="enDash"/>
          <w:cols w:num="1" w:space="720"/>
          <w:titlePg w:val="0"/>
          <w:rtlGutter w:val="0"/>
          <w:docGrid w:linePitch="312" w:charSpace="0"/>
        </w:sectPr>
      </w:pPr>
    </w:p>
    <w:tbl>
      <w:tblPr>
        <w:tblStyle w:val="TableNormal"/>
        <w:tblW w:w="8541" w:type="dxa"/>
        <w:tblInd w:w="0" w:type="dxa"/>
        <w:shd w:val="clear" w:color="auto" w:fill="auto"/>
        <w:tblLayout w:type="fixed"/>
        <w:tblCellMar>
          <w:top w:w="0" w:type="dxa"/>
          <w:left w:w="0" w:type="dxa"/>
          <w:bottom w:w="0" w:type="dxa"/>
          <w:right w:w="0" w:type="dxa"/>
        </w:tblCellMar>
      </w:tblPr>
      <w:tblGrid>
        <w:gridCol w:w="715"/>
        <w:gridCol w:w="873"/>
        <w:gridCol w:w="3918"/>
        <w:gridCol w:w="1826"/>
        <w:gridCol w:w="663"/>
        <w:gridCol w:w="546"/>
      </w:tblGrid>
      <w:tr>
        <w:tblPrEx>
          <w:tblW w:w="8541" w:type="dxa"/>
          <w:tblInd w:w="0" w:type="dxa"/>
          <w:shd w:val="clear" w:color="auto" w:fill="auto"/>
          <w:tblLayout w:type="fixed"/>
          <w:tblCellMar>
            <w:top w:w="0" w:type="dxa"/>
            <w:left w:w="0" w:type="dxa"/>
            <w:bottom w:w="0" w:type="dxa"/>
            <w:right w:w="0" w:type="dxa"/>
          </w:tblCellMar>
        </w:tblPrEx>
        <w:trPr>
          <w:trHeight w:val="1160"/>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11</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iCs w:val="0"/>
                <w:color w:val="000000"/>
                <w:kern w:val="0"/>
                <w:sz w:val="20"/>
                <w:szCs w:val="20"/>
                <w:u w:val="none"/>
                <w:lang w:val="en-US" w:eastAsia="zh-CN" w:bidi="ar"/>
              </w:rPr>
              <w:t>万象组收拾袋</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top"/>
          </w:tcPr>
          <w:p>
            <w:pPr>
              <w:keepNext w:val="0"/>
              <w:keepLines w:val="0"/>
              <w:widowControl/>
              <w:suppressLineNumbers w:val="0"/>
              <w:jc w:val="left"/>
              <w:textAlignment w:val="top"/>
              <w:rPr>
                <w:rFonts w:ascii="宋体" w:hAnsi="宋体" w:cs="宋体" w:hint="eastAsia"/>
                <w:i w:val="0"/>
                <w:iCs w:val="0"/>
                <w:color w:val="000000"/>
                <w:kern w:val="0"/>
                <w:sz w:val="20"/>
                <w:szCs w:val="20"/>
                <w:u w:val="none"/>
                <w:lang w:bidi="ar"/>
              </w:rPr>
            </w:pPr>
            <w:r>
              <w:rPr>
                <w:rFonts w:ascii="宋体" w:eastAsia="宋体" w:hAnsi="宋体" w:cs="宋体" w:hint="eastAsia"/>
                <w:i w:val="0"/>
                <w:iCs w:val="0"/>
                <w:color w:val="000000"/>
                <w:kern w:val="0"/>
                <w:sz w:val="20"/>
                <w:szCs w:val="20"/>
                <w:u w:val="none"/>
                <w:lang w:val="en-US" w:eastAsia="zh-CN" w:bidi="ar"/>
              </w:rPr>
              <w:t>规格：800×700×200mm；</w:t>
            </w:r>
          </w:p>
          <w:p>
            <w:pPr>
              <w:keepNext w:val="0"/>
              <w:keepLines w:val="0"/>
              <w:widowControl/>
              <w:suppressLineNumbers w:val="0"/>
              <w:jc w:val="left"/>
              <w:textAlignment w:val="top"/>
              <w:rPr>
                <w:rFonts w:ascii="宋体" w:hAnsi="宋体" w:cs="宋体" w:hint="eastAsia"/>
                <w:i w:val="0"/>
                <w:color w:val="000000"/>
                <w:kern w:val="0"/>
                <w:sz w:val="18"/>
                <w:szCs w:val="18"/>
                <w:u w:val="none"/>
                <w:lang w:bidi="ar"/>
              </w:rPr>
            </w:pPr>
            <w:r>
              <w:rPr>
                <w:rFonts w:ascii="宋体" w:eastAsia="宋体" w:hAnsi="宋体" w:cs="宋体" w:hint="eastAsia"/>
                <w:i w:val="0"/>
                <w:iCs w:val="0"/>
                <w:color w:val="000000"/>
                <w:kern w:val="0"/>
                <w:sz w:val="20"/>
                <w:szCs w:val="20"/>
                <w:u w:val="none"/>
                <w:lang w:val="en-US" w:eastAsia="zh-CN" w:bidi="ar"/>
              </w:rPr>
              <w:t>用途：促进基本动作发展，训练高层次的运动能力。</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b/>
                <w:i w:val="0"/>
                <w:color w:val="000000"/>
                <w:kern w:val="0"/>
                <w:sz w:val="18"/>
                <w:szCs w:val="18"/>
                <w:u w:val="none"/>
                <w:bdr w:val="single" w:sz="4" w:space="0" w:color="000000"/>
                <w:lang w:bidi="ar"/>
              </w:rPr>
            </w:pPr>
            <w:r>
              <w:rPr>
                <w:rFonts w:ascii="宋体" w:eastAsia="宋体" w:hAnsi="宋体" w:cs="宋体" w:hint="eastAsia"/>
                <w:i w:val="0"/>
                <w:iCs w:val="0"/>
                <w:color w:val="000000"/>
                <w:kern w:val="0"/>
                <w:sz w:val="24"/>
                <w:szCs w:val="24"/>
                <w:u w:val="none"/>
                <w:bdr w:val="single" w:sz="4" w:space="0" w:color="000000"/>
                <w:lang w:val="en-US" w:eastAsia="zh-CN" w:bidi="ar"/>
              </w:rPr>
              <w:drawing>
                <wp:anchor distT="0" distB="0" distL="114300" distR="114300" simplePos="0" relativeHeight="251667456" behindDoc="0" locked="0" layoutInCell="1" allowOverlap="1">
                  <wp:simplePos x="0" y="0"/>
                  <wp:positionH relativeFrom="column">
                    <wp:posOffset>71755</wp:posOffset>
                  </wp:positionH>
                  <wp:positionV relativeFrom="paragraph">
                    <wp:posOffset>151130</wp:posOffset>
                  </wp:positionV>
                  <wp:extent cx="1011555" cy="508635"/>
                  <wp:effectExtent l="0" t="0" r="17145" b="5715"/>
                  <wp:wrapNone/>
                  <wp:docPr id="13" name="Picture_25"/>
                  <wp:cNvGraphicFramePr/>
                  <a:graphic xmlns:a="http://schemas.openxmlformats.org/drawingml/2006/main">
                    <a:graphicData uri="http://schemas.openxmlformats.org/drawingml/2006/picture">
                      <pic:pic xmlns:pic="http://schemas.openxmlformats.org/drawingml/2006/picture">
                        <pic:nvPicPr>
                          <pic:cNvPr id="13" name="Picture_25"/>
                          <pic:cNvPicPr/>
                        </pic:nvPicPr>
                        <pic:blipFill>
                          <a:blip xmlns:r="http://schemas.openxmlformats.org/officeDocument/2006/relationships" r:embed="rId45"/>
                          <a:stretch>
                            <a:fillRect/>
                          </a:stretch>
                        </pic:blipFill>
                        <pic:spPr>
                          <a:xfrm>
                            <a:off x="0" y="0"/>
                            <a:ext cx="1011555" cy="508635"/>
                          </a:xfrm>
                          <a:prstGeom prst="rect">
                            <a:avLst/>
                          </a:prstGeom>
                          <a:noFill/>
                          <a:ln>
                            <a:noFill/>
                          </a:ln>
                        </pic:spPr>
                      </pic:pic>
                    </a:graphicData>
                  </a:graphic>
                </wp:anchor>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1</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套</w:t>
            </w:r>
          </w:p>
        </w:tc>
      </w:tr>
      <w:tr>
        <w:tblPrEx>
          <w:tblW w:w="8541" w:type="dxa"/>
          <w:tblInd w:w="0" w:type="dxa"/>
          <w:shd w:val="clear" w:color="auto" w:fill="auto"/>
          <w:tblLayout w:type="fixed"/>
          <w:tblCellMar>
            <w:top w:w="0" w:type="dxa"/>
            <w:left w:w="0" w:type="dxa"/>
            <w:bottom w:w="0" w:type="dxa"/>
            <w:right w:w="0" w:type="dxa"/>
          </w:tblCellMar>
        </w:tblPrEx>
        <w:trPr>
          <w:trHeight w:val="1278"/>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12</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iCs w:val="0"/>
                <w:color w:val="000000"/>
                <w:kern w:val="0"/>
                <w:sz w:val="20"/>
                <w:szCs w:val="20"/>
                <w:u w:val="none"/>
                <w:lang w:val="en-US" w:eastAsia="zh-CN" w:bidi="ar"/>
              </w:rPr>
              <w:t>平衡步道</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top"/>
          </w:tcPr>
          <w:p>
            <w:pPr>
              <w:keepNext w:val="0"/>
              <w:keepLines w:val="0"/>
              <w:widowControl/>
              <w:suppressLineNumbers w:val="0"/>
              <w:jc w:val="left"/>
              <w:textAlignment w:val="top"/>
              <w:rPr>
                <w:rFonts w:ascii="宋体" w:hAnsi="宋体" w:cs="宋体" w:hint="eastAsia"/>
                <w:i w:val="0"/>
                <w:iCs w:val="0"/>
                <w:color w:val="000000"/>
                <w:kern w:val="0"/>
                <w:sz w:val="20"/>
                <w:szCs w:val="20"/>
                <w:u w:val="none"/>
                <w:lang w:bidi="ar"/>
              </w:rPr>
            </w:pPr>
            <w:r>
              <w:rPr>
                <w:rFonts w:ascii="宋体" w:eastAsia="宋体" w:hAnsi="宋体" w:cs="宋体" w:hint="eastAsia"/>
                <w:i w:val="0"/>
                <w:iCs w:val="0"/>
                <w:color w:val="000000"/>
                <w:kern w:val="0"/>
                <w:sz w:val="20"/>
                <w:szCs w:val="20"/>
                <w:u w:val="none"/>
                <w:lang w:val="en-US" w:eastAsia="zh-CN" w:bidi="ar"/>
              </w:rPr>
              <w:t>规格：1470×290×30mm；</w:t>
            </w:r>
          </w:p>
          <w:p>
            <w:pPr>
              <w:keepNext w:val="0"/>
              <w:keepLines w:val="0"/>
              <w:widowControl/>
              <w:suppressLineNumbers w:val="0"/>
              <w:jc w:val="left"/>
              <w:textAlignment w:val="top"/>
              <w:rPr>
                <w:rFonts w:ascii="宋体" w:hAnsi="宋体" w:cs="宋体" w:hint="eastAsia"/>
                <w:i w:val="0"/>
                <w:color w:val="000000"/>
                <w:kern w:val="0"/>
                <w:sz w:val="18"/>
                <w:szCs w:val="18"/>
                <w:u w:val="none"/>
                <w:lang w:bidi="ar"/>
              </w:rPr>
            </w:pPr>
            <w:r>
              <w:rPr>
                <w:rFonts w:ascii="宋体" w:eastAsia="宋体" w:hAnsi="宋体" w:cs="宋体" w:hint="eastAsia"/>
                <w:i w:val="0"/>
                <w:iCs w:val="0"/>
                <w:color w:val="000000"/>
                <w:kern w:val="0"/>
                <w:sz w:val="20"/>
                <w:szCs w:val="20"/>
                <w:u w:val="none"/>
                <w:lang w:val="en-US" w:eastAsia="zh-CN" w:bidi="ar"/>
              </w:rPr>
              <w:t>用途：刺激脚底神经及全身触觉感应。</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b/>
                <w:i w:val="0"/>
                <w:color w:val="000000"/>
                <w:kern w:val="0"/>
                <w:sz w:val="18"/>
                <w:szCs w:val="18"/>
                <w:u w:val="none"/>
                <w:bdr w:val="single" w:sz="4" w:space="0" w:color="000000"/>
                <w:lang w:bidi="ar"/>
              </w:rPr>
            </w:pPr>
            <w:r>
              <w:rPr>
                <w:rFonts w:ascii="宋体" w:eastAsia="宋体" w:hAnsi="宋体" w:cs="宋体" w:hint="eastAsia"/>
                <w:i w:val="0"/>
                <w:iCs w:val="0"/>
                <w:color w:val="000000"/>
                <w:kern w:val="0"/>
                <w:sz w:val="24"/>
                <w:szCs w:val="24"/>
                <w:u w:val="none"/>
                <w:bdr w:val="single" w:sz="4" w:space="0" w:color="000000"/>
                <w:lang w:val="en-US" w:eastAsia="zh-CN" w:bidi="ar"/>
              </w:rPr>
              <w:drawing>
                <wp:anchor distT="0" distB="0" distL="114300" distR="114300" simplePos="0" relativeHeight="251668480" behindDoc="0" locked="0" layoutInCell="1" allowOverlap="1">
                  <wp:simplePos x="0" y="0"/>
                  <wp:positionH relativeFrom="column">
                    <wp:posOffset>222885</wp:posOffset>
                  </wp:positionH>
                  <wp:positionV relativeFrom="paragraph">
                    <wp:posOffset>77470</wp:posOffset>
                  </wp:positionV>
                  <wp:extent cx="724535" cy="658495"/>
                  <wp:effectExtent l="0" t="0" r="18415" b="8255"/>
                  <wp:wrapNone/>
                  <wp:docPr id="21" name="Picture_33"/>
                  <wp:cNvGraphicFramePr/>
                  <a:graphic xmlns:a="http://schemas.openxmlformats.org/drawingml/2006/main">
                    <a:graphicData uri="http://schemas.openxmlformats.org/drawingml/2006/picture">
                      <pic:pic xmlns:pic="http://schemas.openxmlformats.org/drawingml/2006/picture">
                        <pic:nvPicPr>
                          <pic:cNvPr id="21" name="Picture_33"/>
                          <pic:cNvPicPr/>
                        </pic:nvPicPr>
                        <pic:blipFill>
                          <a:blip xmlns:r="http://schemas.openxmlformats.org/officeDocument/2006/relationships" r:embed="rId46"/>
                          <a:stretch>
                            <a:fillRect/>
                          </a:stretch>
                        </pic:blipFill>
                        <pic:spPr>
                          <a:xfrm>
                            <a:off x="0" y="0"/>
                            <a:ext cx="724535" cy="658495"/>
                          </a:xfrm>
                          <a:prstGeom prst="rect">
                            <a:avLst/>
                          </a:prstGeom>
                          <a:noFill/>
                          <a:ln>
                            <a:noFill/>
                          </a:ln>
                        </pic:spPr>
                      </pic:pic>
                    </a:graphicData>
                  </a:graphic>
                </wp:anchor>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iCs w:val="0"/>
                <w:color w:val="000000"/>
                <w:kern w:val="0"/>
                <w:sz w:val="22"/>
                <w:szCs w:val="22"/>
                <w:u w:val="none"/>
                <w:lang w:bidi="ar"/>
              </w:rPr>
            </w:pPr>
            <w:r>
              <w:rPr>
                <w:rFonts w:ascii="宋体" w:hAnsi="宋体" w:cs="宋体" w:hint="eastAsia"/>
                <w:i w:val="0"/>
                <w:iCs w:val="0"/>
                <w:color w:val="000000"/>
                <w:kern w:val="0"/>
                <w:sz w:val="22"/>
                <w:szCs w:val="22"/>
                <w:u w:val="none"/>
                <w:lang w:val="en-US" w:eastAsia="zh-CN" w:bidi="ar"/>
              </w:rPr>
              <w:t>1</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套</w:t>
            </w:r>
          </w:p>
        </w:tc>
      </w:tr>
      <w:tr>
        <w:tblPrEx>
          <w:tblW w:w="8541" w:type="dxa"/>
          <w:tblInd w:w="0" w:type="dxa"/>
          <w:shd w:val="clear" w:color="auto" w:fill="auto"/>
          <w:tblLayout w:type="fixed"/>
          <w:tblCellMar>
            <w:top w:w="0" w:type="dxa"/>
            <w:left w:w="0" w:type="dxa"/>
            <w:bottom w:w="0" w:type="dxa"/>
            <w:right w:w="0" w:type="dxa"/>
          </w:tblCellMar>
        </w:tblPrEx>
        <w:trPr>
          <w:trHeight w:val="1497"/>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13</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iCs w:val="0"/>
                <w:color w:val="000000"/>
                <w:kern w:val="0"/>
                <w:sz w:val="20"/>
                <w:szCs w:val="20"/>
                <w:u w:val="none"/>
                <w:lang w:val="en-US" w:eastAsia="zh-CN" w:bidi="ar"/>
              </w:rPr>
              <w:t>圆形跳床</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top"/>
          </w:tcPr>
          <w:p>
            <w:pPr>
              <w:keepNext w:val="0"/>
              <w:keepLines w:val="0"/>
              <w:widowControl/>
              <w:suppressLineNumbers w:val="0"/>
              <w:jc w:val="left"/>
              <w:textAlignment w:val="top"/>
              <w:rPr>
                <w:rFonts w:ascii="宋体" w:hAnsi="宋体" w:cs="宋体" w:hint="eastAsia"/>
                <w:i w:val="0"/>
                <w:iCs w:val="0"/>
                <w:color w:val="000000"/>
                <w:kern w:val="0"/>
                <w:sz w:val="20"/>
                <w:szCs w:val="20"/>
                <w:u w:val="none"/>
                <w:lang w:bidi="ar"/>
              </w:rPr>
            </w:pPr>
            <w:r>
              <w:rPr>
                <w:rFonts w:ascii="宋体" w:eastAsia="宋体" w:hAnsi="宋体" w:cs="宋体" w:hint="eastAsia"/>
                <w:i w:val="0"/>
                <w:iCs w:val="0"/>
                <w:color w:val="000000"/>
                <w:kern w:val="0"/>
                <w:sz w:val="20"/>
                <w:szCs w:val="20"/>
                <w:u w:val="none"/>
                <w:lang w:val="en-US" w:eastAsia="zh-CN" w:bidi="ar"/>
              </w:rPr>
              <w:t>产品直径：800mm；最大载荷: 100kgs；</w:t>
            </w:r>
          </w:p>
          <w:p>
            <w:pPr>
              <w:keepNext w:val="0"/>
              <w:keepLines w:val="0"/>
              <w:widowControl/>
              <w:suppressLineNumbers w:val="0"/>
              <w:jc w:val="left"/>
              <w:textAlignment w:val="top"/>
              <w:rPr>
                <w:rFonts w:ascii="宋体" w:hAnsi="宋体" w:cs="宋体" w:hint="eastAsia"/>
                <w:i w:val="0"/>
                <w:color w:val="000000"/>
                <w:kern w:val="0"/>
                <w:sz w:val="18"/>
                <w:szCs w:val="18"/>
                <w:u w:val="none"/>
                <w:lang w:bidi="ar"/>
              </w:rPr>
            </w:pPr>
            <w:r>
              <w:rPr>
                <w:rFonts w:ascii="宋体" w:eastAsia="宋体" w:hAnsi="宋体" w:cs="宋体" w:hint="eastAsia"/>
                <w:i w:val="0"/>
                <w:iCs w:val="0"/>
                <w:color w:val="000000"/>
                <w:kern w:val="0"/>
                <w:sz w:val="20"/>
                <w:szCs w:val="20"/>
                <w:u w:val="none"/>
                <w:lang w:val="en-US" w:eastAsia="zh-CN" w:bidi="ar"/>
              </w:rPr>
              <w:t>用途：有利于儿童前庭综合训练，训练手眼协调能力。</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b/>
                <w:i w:val="0"/>
                <w:color w:val="000000"/>
                <w:kern w:val="0"/>
                <w:sz w:val="18"/>
                <w:szCs w:val="18"/>
                <w:u w:val="none"/>
                <w:bdr w:val="single" w:sz="4" w:space="0" w:color="000000"/>
                <w:lang w:bidi="ar"/>
              </w:rPr>
            </w:pPr>
            <w:r>
              <w:rPr>
                <w:rFonts w:ascii="宋体" w:eastAsia="宋体" w:hAnsi="宋体" w:cs="宋体" w:hint="eastAsia"/>
                <w:i w:val="0"/>
                <w:iCs w:val="0"/>
                <w:color w:val="000000"/>
                <w:kern w:val="0"/>
                <w:sz w:val="24"/>
                <w:szCs w:val="24"/>
                <w:u w:val="none"/>
                <w:bdr w:val="single" w:sz="4" w:space="0" w:color="000000"/>
                <w:lang w:val="en-US" w:eastAsia="zh-CN" w:bidi="ar"/>
              </w:rPr>
              <w:drawing>
                <wp:anchor distT="0" distB="0" distL="114300" distR="114300" simplePos="0" relativeHeight="251669504" behindDoc="0" locked="0" layoutInCell="1" allowOverlap="1">
                  <wp:simplePos x="0" y="0"/>
                  <wp:positionH relativeFrom="column">
                    <wp:posOffset>121920</wp:posOffset>
                  </wp:positionH>
                  <wp:positionV relativeFrom="paragraph">
                    <wp:posOffset>44450</wp:posOffset>
                  </wp:positionV>
                  <wp:extent cx="916305" cy="877570"/>
                  <wp:effectExtent l="0" t="0" r="17145" b="17780"/>
                  <wp:wrapNone/>
                  <wp:docPr id="23" name="图片_1"/>
                  <wp:cNvGraphicFramePr/>
                  <a:graphic xmlns:a="http://schemas.openxmlformats.org/drawingml/2006/main">
                    <a:graphicData uri="http://schemas.openxmlformats.org/drawingml/2006/picture">
                      <pic:pic xmlns:pic="http://schemas.openxmlformats.org/drawingml/2006/picture">
                        <pic:nvPicPr>
                          <pic:cNvPr id="23" name="图片_1"/>
                          <pic:cNvPicPr/>
                        </pic:nvPicPr>
                        <pic:blipFill>
                          <a:blip xmlns:r="http://schemas.openxmlformats.org/officeDocument/2006/relationships" r:embed="rId47"/>
                          <a:stretch>
                            <a:fillRect/>
                          </a:stretch>
                        </pic:blipFill>
                        <pic:spPr>
                          <a:xfrm>
                            <a:off x="0" y="0"/>
                            <a:ext cx="916305" cy="877570"/>
                          </a:xfrm>
                          <a:prstGeom prst="rect">
                            <a:avLst/>
                          </a:prstGeom>
                          <a:noFill/>
                          <a:ln>
                            <a:noFill/>
                          </a:ln>
                        </pic:spPr>
                      </pic:pic>
                    </a:graphicData>
                  </a:graphic>
                </wp:anchor>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3</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个</w:t>
            </w:r>
          </w:p>
        </w:tc>
      </w:tr>
      <w:tr>
        <w:tblPrEx>
          <w:tblW w:w="8541" w:type="dxa"/>
          <w:tblInd w:w="0" w:type="dxa"/>
          <w:shd w:val="clear" w:color="auto" w:fill="auto"/>
          <w:tblLayout w:type="fixed"/>
          <w:tblCellMar>
            <w:top w:w="0" w:type="dxa"/>
            <w:left w:w="0" w:type="dxa"/>
            <w:bottom w:w="0" w:type="dxa"/>
            <w:right w:w="0" w:type="dxa"/>
          </w:tblCellMar>
        </w:tblPrEx>
        <w:trPr>
          <w:trHeight w:val="1347"/>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14</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kern w:val="0"/>
                <w:sz w:val="18"/>
                <w:szCs w:val="18"/>
                <w:u w:val="none"/>
                <w:lang w:bidi="ar"/>
              </w:rPr>
            </w:pPr>
            <w:r>
              <w:rPr>
                <w:rFonts w:ascii="宋体" w:eastAsia="宋体" w:hAnsi="宋体" w:cs="宋体" w:hint="eastAsia"/>
                <w:i w:val="0"/>
                <w:iCs w:val="0"/>
                <w:color w:val="000000"/>
                <w:kern w:val="0"/>
                <w:sz w:val="20"/>
                <w:szCs w:val="20"/>
                <w:u w:val="none"/>
                <w:lang w:val="en-US" w:eastAsia="zh-CN" w:bidi="ar"/>
              </w:rPr>
              <w:t>跳袋</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top"/>
          </w:tcPr>
          <w:p>
            <w:pPr>
              <w:keepNext w:val="0"/>
              <w:keepLines w:val="0"/>
              <w:widowControl/>
              <w:suppressLineNumbers w:val="0"/>
              <w:jc w:val="left"/>
              <w:textAlignment w:val="top"/>
              <w:rPr>
                <w:rFonts w:ascii="宋体" w:hAnsi="宋体" w:cs="宋体" w:hint="eastAsia"/>
                <w:i w:val="0"/>
                <w:color w:val="000000"/>
                <w:kern w:val="0"/>
                <w:sz w:val="18"/>
                <w:szCs w:val="18"/>
                <w:u w:val="none"/>
                <w:lang w:bidi="ar"/>
              </w:rPr>
            </w:pPr>
            <w:r>
              <w:rPr>
                <w:rFonts w:ascii="宋体" w:eastAsia="宋体" w:hAnsi="宋体" w:cs="宋体" w:hint="eastAsia"/>
                <w:i w:val="0"/>
                <w:iCs w:val="0"/>
                <w:color w:val="000000"/>
                <w:kern w:val="0"/>
                <w:sz w:val="20"/>
                <w:szCs w:val="20"/>
                <w:u w:val="none"/>
                <w:lang w:val="en-US" w:eastAsia="zh-CN" w:bidi="ar"/>
              </w:rPr>
              <w:t>用途：通过跳袋内前后左右的跳动，有助于克服本体感不足及触觉敏感不足。</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b/>
                <w:i w:val="0"/>
                <w:color w:val="000000"/>
                <w:kern w:val="0"/>
                <w:sz w:val="18"/>
                <w:szCs w:val="18"/>
                <w:u w:val="none"/>
                <w:bdr w:val="single" w:sz="4" w:space="0" w:color="000000"/>
                <w:lang w:bidi="ar"/>
              </w:rPr>
            </w:pPr>
            <w:r>
              <w:rPr>
                <w:rFonts w:ascii="宋体" w:eastAsia="宋体" w:hAnsi="宋体" w:cs="宋体" w:hint="eastAsia"/>
                <w:i w:val="0"/>
                <w:iCs w:val="0"/>
                <w:color w:val="000000"/>
                <w:kern w:val="0"/>
                <w:sz w:val="24"/>
                <w:szCs w:val="24"/>
                <w:u w:val="none"/>
                <w:bdr w:val="single" w:sz="4" w:space="0" w:color="000000"/>
                <w:lang w:val="en-US" w:eastAsia="zh-CN" w:bidi="ar"/>
              </w:rPr>
              <w:drawing>
                <wp:anchor distT="0" distB="0" distL="114300" distR="114300" simplePos="0" relativeHeight="251670528" behindDoc="0" locked="0" layoutInCell="1" allowOverlap="1">
                  <wp:simplePos x="0" y="0"/>
                  <wp:positionH relativeFrom="column">
                    <wp:posOffset>400050</wp:posOffset>
                  </wp:positionH>
                  <wp:positionV relativeFrom="paragraph">
                    <wp:posOffset>92075</wp:posOffset>
                  </wp:positionV>
                  <wp:extent cx="486410" cy="769620"/>
                  <wp:effectExtent l="0" t="0" r="8890" b="11430"/>
                  <wp:wrapNone/>
                  <wp:docPr id="24" name="Picture_22"/>
                  <wp:cNvGraphicFramePr/>
                  <a:graphic xmlns:a="http://schemas.openxmlformats.org/drawingml/2006/main">
                    <a:graphicData uri="http://schemas.openxmlformats.org/drawingml/2006/picture">
                      <pic:pic xmlns:pic="http://schemas.openxmlformats.org/drawingml/2006/picture">
                        <pic:nvPicPr>
                          <pic:cNvPr id="24" name="Picture_22"/>
                          <pic:cNvPicPr/>
                        </pic:nvPicPr>
                        <pic:blipFill>
                          <a:blip xmlns:r="http://schemas.openxmlformats.org/officeDocument/2006/relationships" r:embed="rId48"/>
                          <a:stretch>
                            <a:fillRect/>
                          </a:stretch>
                        </pic:blipFill>
                        <pic:spPr>
                          <a:xfrm>
                            <a:off x="0" y="0"/>
                            <a:ext cx="486410" cy="769620"/>
                          </a:xfrm>
                          <a:prstGeom prst="rect">
                            <a:avLst/>
                          </a:prstGeom>
                          <a:noFill/>
                          <a:ln>
                            <a:noFill/>
                          </a:ln>
                        </pic:spPr>
                      </pic:pic>
                    </a:graphicData>
                  </a:graphic>
                </wp:anchor>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hAnsi="宋体" w:cs="宋体" w:hint="eastAsia"/>
                <w:i w:val="0"/>
                <w:iCs w:val="0"/>
                <w:color w:val="000000"/>
                <w:kern w:val="0"/>
                <w:sz w:val="22"/>
                <w:szCs w:val="22"/>
                <w:u w:val="none"/>
                <w:lang w:val="en-US" w:eastAsia="zh-CN" w:bidi="ar"/>
              </w:rPr>
              <w:t>4</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张</w:t>
            </w:r>
          </w:p>
        </w:tc>
      </w:tr>
      <w:tr>
        <w:tblPrEx>
          <w:tblW w:w="8541" w:type="dxa"/>
          <w:tblInd w:w="0" w:type="dxa"/>
          <w:shd w:val="clear" w:color="auto" w:fill="auto"/>
          <w:tblLayout w:type="fixed"/>
          <w:tblCellMar>
            <w:top w:w="0" w:type="dxa"/>
            <w:left w:w="0" w:type="dxa"/>
            <w:bottom w:w="0" w:type="dxa"/>
            <w:right w:w="0" w:type="dxa"/>
          </w:tblCellMar>
        </w:tblPrEx>
        <w:trPr>
          <w:trHeight w:val="1800"/>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15</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2"/>
                <w:sz w:val="24"/>
                <w:szCs w:val="24"/>
                <w:u w:val="none"/>
              </w:rPr>
            </w:pPr>
            <w:r>
              <w:rPr>
                <w:rFonts w:ascii="宋体" w:eastAsia="宋体" w:hAnsi="宋体" w:cs="宋体" w:hint="eastAsia"/>
                <w:i w:val="0"/>
                <w:iCs w:val="0"/>
                <w:color w:val="000000"/>
                <w:kern w:val="0"/>
                <w:sz w:val="20"/>
                <w:szCs w:val="20"/>
                <w:u w:val="none"/>
                <w:lang w:val="en-US" w:eastAsia="zh-CN" w:bidi="ar"/>
              </w:rPr>
              <w:t>滑行平台（带软包）</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rPr>
            </w:pPr>
            <w:r>
              <w:rPr>
                <w:rFonts w:hint="eastAsia"/>
                <w:lang w:val="en-US" w:eastAsia="zh-CN"/>
              </w:rPr>
              <w:t>适用人群：多动症，自闭症，触觉敏感，身体协调不良。</w:t>
            </w:r>
          </w:p>
          <w:p>
            <w:pPr>
              <w:keepNext w:val="0"/>
              <w:keepLines w:val="0"/>
              <w:widowControl/>
              <w:suppressLineNumbers w:val="0"/>
              <w:jc w:val="left"/>
              <w:textAlignment w:val="center"/>
              <w:rPr>
                <w:rFonts w:hint="eastAsia"/>
              </w:rPr>
            </w:pPr>
            <w:r>
              <w:rPr>
                <w:rFonts w:hint="eastAsia"/>
                <w:lang w:val="en-US" w:eastAsia="zh-CN"/>
              </w:rPr>
              <w:t xml:space="preserve">功能：与滑行车配合使用，借着滑板滑下时的重力加速度，可以统合身体的紧张性迷路反射，及手部、肩部同时收缩作用，对本体感和身体形象的塑造帮助很大，滑行车由上而下的速度冲击感，可以促进前庭神经和脑干体系的活跃化，对孩子的全身感觉统合发展的帮助很大。                          </w:t>
            </w:r>
          </w:p>
          <w:p>
            <w:pPr>
              <w:keepNext w:val="0"/>
              <w:keepLines w:val="0"/>
              <w:widowControl/>
              <w:suppressLineNumbers w:val="0"/>
              <w:jc w:val="left"/>
              <w:textAlignment w:val="center"/>
              <w:rPr>
                <w:rFonts w:hint="eastAsia"/>
              </w:rPr>
            </w:pPr>
            <w:r>
              <w:rPr>
                <w:rFonts w:hint="eastAsia"/>
                <w:lang w:val="en-US" w:eastAsia="zh-CN"/>
              </w:rPr>
              <w:t>参数：</w:t>
            </w:r>
          </w:p>
          <w:p>
            <w:pPr>
              <w:keepNext w:val="0"/>
              <w:keepLines w:val="0"/>
              <w:widowControl/>
              <w:suppressLineNumbers w:val="0"/>
              <w:jc w:val="left"/>
              <w:textAlignment w:val="center"/>
              <w:rPr>
                <w:rFonts w:hint="eastAsia"/>
              </w:rPr>
            </w:pPr>
            <w:r>
              <w:rPr>
                <w:rFonts w:hint="eastAsia"/>
                <w:lang w:val="en-US" w:eastAsia="zh-CN"/>
              </w:rPr>
              <w:t>①平台：优质木材框架结构，环保填充材料及优质PVC布构成</w:t>
            </w:r>
          </w:p>
          <w:p>
            <w:pPr>
              <w:keepNext w:val="0"/>
              <w:keepLines w:val="0"/>
              <w:widowControl/>
              <w:suppressLineNumbers w:val="0"/>
              <w:jc w:val="left"/>
              <w:textAlignment w:val="center"/>
              <w:rPr>
                <w:rFonts w:hint="eastAsia"/>
              </w:rPr>
            </w:pPr>
            <w:r>
              <w:rPr>
                <w:rFonts w:hint="eastAsia"/>
                <w:lang w:val="en-US" w:eastAsia="zh-CN"/>
              </w:rPr>
              <w:t>②滑台：优质木材框架结构，环保填充材料及优质PVC布构成</w:t>
            </w:r>
          </w:p>
          <w:p>
            <w:pPr>
              <w:keepNext w:val="0"/>
              <w:keepLines w:val="0"/>
              <w:widowControl/>
              <w:suppressLineNumbers w:val="0"/>
              <w:jc w:val="left"/>
              <w:textAlignment w:val="center"/>
              <w:rPr>
                <w:rFonts w:hint="eastAsia"/>
              </w:rPr>
            </w:pPr>
            <w:r>
              <w:rPr>
                <w:rFonts w:hint="eastAsia"/>
                <w:lang w:val="en-US" w:eastAsia="zh-CN"/>
              </w:rPr>
              <w:t>③防滑垫：铺在整个滑行的平面上，起到有效的防滑和保护作用。</w:t>
            </w:r>
          </w:p>
          <w:p>
            <w:pPr>
              <w:pStyle w:val="BodyTextFirstIndent"/>
              <w:rPr>
                <w:rFonts w:hint="eastAsia"/>
                <w:lang w:val="en-US" w:eastAsia="zh-CN"/>
              </w:rPr>
            </w:pPr>
            <w:r>
              <w:rPr>
                <w:rFonts w:ascii="宋体" w:eastAsia="宋体" w:hAnsi="宋体" w:cs="宋体" w:hint="eastAsia"/>
                <w:i w:val="0"/>
                <w:color w:val="000000"/>
                <w:sz w:val="18"/>
                <w:szCs w:val="18"/>
                <w:u w:val="none"/>
                <w:lang w:val="en-US" w:eastAsia="zh-Hans"/>
              </w:rPr>
              <w:t>▲</w:t>
            </w:r>
            <w:r>
              <w:rPr>
                <w:rFonts w:hint="eastAsia"/>
                <w:lang w:val="en-US" w:eastAsia="zh-CN"/>
              </w:rPr>
              <w:t xml:space="preserve">④响板：全长不小于180mm，响板上片厚底不小于7mm，最长柄不小于90mm 颜色红蓝,由主板及两块副板连接组成。主板及副板均用实木制成。响板表面无疖疤、裂缝，漆层均匀、光亮。发音清脆响亮。 </w:t>
            </w:r>
          </w:p>
          <w:p>
            <w:pPr>
              <w:keepNext w:val="0"/>
              <w:keepLines w:val="0"/>
              <w:widowControl/>
              <w:suppressLineNumbers w:val="0"/>
              <w:jc w:val="left"/>
              <w:textAlignment w:val="center"/>
              <w:rPr>
                <w:rFonts w:hint="eastAsia"/>
              </w:rPr>
            </w:pPr>
            <w:r>
              <w:rPr>
                <w:rFonts w:hint="eastAsia"/>
                <w:lang w:val="en-US" w:eastAsia="zh-CN"/>
              </w:rPr>
              <w:t xml:space="preserve">尺寸：2400*680*480mm </w:t>
            </w:r>
          </w:p>
          <w:p>
            <w:pPr>
              <w:pStyle w:val="BodyTextFirstIndent"/>
              <w:rPr>
                <w:rFonts w:hint="eastAsia"/>
                <w:lang w:val="en-US" w:eastAsia="zh-CN"/>
              </w:rPr>
            </w:pPr>
            <w:r>
              <w:rPr>
                <w:rFonts w:ascii="宋体" w:eastAsia="宋体" w:hAnsi="宋体" w:cs="宋体" w:hint="eastAsia"/>
                <w:i w:val="0"/>
                <w:color w:val="000000"/>
                <w:sz w:val="18"/>
                <w:szCs w:val="18"/>
                <w:u w:val="none"/>
                <w:lang w:val="en-US" w:eastAsia="zh-Hans"/>
              </w:rPr>
              <w:t>▲</w:t>
            </w:r>
            <w:r>
              <w:rPr>
                <w:rFonts w:hint="eastAsia"/>
                <w:lang w:val="en-US" w:eastAsia="zh-CN"/>
              </w:rPr>
              <w:t>投标时必须提供由制造商经省级以上乐器质量监督检测中心出具的“响板”的检测报告复印件加盖厂家公章，须提供针对本项目的售后服务承诺书原件。</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4"/>
                <w:szCs w:val="24"/>
                <w:u w:val="none"/>
                <w:bdr w:val="single" w:sz="4" w:space="0" w:color="000000"/>
                <w:lang w:bidi="ar"/>
              </w:rPr>
            </w:pPr>
            <w:r>
              <w:drawing>
                <wp:inline distT="0" distB="0" distL="114300" distR="114300">
                  <wp:extent cx="955040" cy="547370"/>
                  <wp:effectExtent l="0" t="0" r="16510" b="5080"/>
                  <wp:docPr id="35614" name="图片 2" descr="905c3fe6d0c4b970b731b734c44cb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14" name="图片 2" descr="905c3fe6d0c4b970b731b734c44cbcc"/>
                          <pic:cNvPicPr>
                            <a:picLocks noChangeAspect="1"/>
                          </pic:cNvPicPr>
                        </pic:nvPicPr>
                        <pic:blipFill>
                          <a:blip xmlns:r="http://schemas.openxmlformats.org/officeDocument/2006/relationships" r:embed="rId49"/>
                          <a:stretch>
                            <a:fillRect/>
                          </a:stretch>
                        </pic:blipFill>
                        <pic:spPr>
                          <a:xfrm>
                            <a:off x="0" y="0"/>
                            <a:ext cx="955040" cy="547370"/>
                          </a:xfrm>
                          <a:prstGeom prst="rect">
                            <a:avLst/>
                          </a:prstGeom>
                          <a:noFill/>
                          <a:ln w="9525">
                            <a:noFill/>
                          </a:ln>
                        </pic:spPr>
                      </pic:pic>
                    </a:graphicData>
                  </a:graphic>
                </wp:inline>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1</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个</w:t>
            </w:r>
          </w:p>
        </w:tc>
      </w:tr>
    </w:tbl>
    <w:p>
      <w:pPr>
        <w:sectPr>
          <w:headerReference w:type="default" r:id="rId50"/>
          <w:footerReference w:type="default" r:id="rId51"/>
          <w:headerReference w:type="first" r:id="rId52"/>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9" w:chapStyle="1" w:chapSep="enDash"/>
          <w:cols w:num="1" w:space="720"/>
          <w:titlePg w:val="0"/>
          <w:rtlGutter w:val="0"/>
          <w:docGrid w:linePitch="312" w:charSpace="0"/>
        </w:sectPr>
      </w:pPr>
    </w:p>
    <w:tbl>
      <w:tblPr>
        <w:tblStyle w:val="TableNormal"/>
        <w:tblW w:w="8541" w:type="dxa"/>
        <w:tblInd w:w="0" w:type="dxa"/>
        <w:shd w:val="clear" w:color="auto" w:fill="auto"/>
        <w:tblLayout w:type="fixed"/>
        <w:tblCellMar>
          <w:top w:w="0" w:type="dxa"/>
          <w:left w:w="0" w:type="dxa"/>
          <w:bottom w:w="0" w:type="dxa"/>
          <w:right w:w="0" w:type="dxa"/>
        </w:tblCellMar>
      </w:tblPr>
      <w:tblGrid>
        <w:gridCol w:w="715"/>
        <w:gridCol w:w="873"/>
        <w:gridCol w:w="3918"/>
        <w:gridCol w:w="1826"/>
        <w:gridCol w:w="663"/>
        <w:gridCol w:w="546"/>
      </w:tblGrid>
      <w:tr>
        <w:tblPrEx>
          <w:tblW w:w="8541" w:type="dxa"/>
          <w:tblInd w:w="0" w:type="dxa"/>
          <w:shd w:val="clear" w:color="auto" w:fill="auto"/>
          <w:tblLayout w:type="fixed"/>
          <w:tblCellMar>
            <w:top w:w="0" w:type="dxa"/>
            <w:left w:w="0" w:type="dxa"/>
            <w:bottom w:w="0" w:type="dxa"/>
            <w:right w:w="0" w:type="dxa"/>
          </w:tblCellMar>
        </w:tblPrEx>
        <w:trPr>
          <w:trHeight w:val="928"/>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16</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ascii="宋体" w:hAnsi="宋体" w:cs="宋体" w:hint="eastAsia"/>
                <w:i w:val="0"/>
                <w:iCs w:val="0"/>
                <w:color w:val="000000"/>
                <w:kern w:val="2"/>
                <w:sz w:val="20"/>
                <w:szCs w:val="20"/>
                <w:u w:val="none"/>
              </w:rPr>
            </w:pPr>
            <w:r>
              <w:rPr>
                <w:rFonts w:ascii="宋体" w:eastAsia="宋体" w:hAnsi="宋体" w:cs="宋体" w:hint="eastAsia"/>
                <w:i w:val="0"/>
                <w:iCs w:val="0"/>
                <w:color w:val="000000"/>
                <w:kern w:val="0"/>
                <w:sz w:val="20"/>
                <w:szCs w:val="20"/>
                <w:u w:val="none"/>
                <w:lang w:val="en-US" w:eastAsia="zh-CN" w:bidi="ar"/>
              </w:rPr>
              <w:t>多功能攀爬组合套件</w:t>
            </w:r>
            <w:r>
              <w:rPr>
                <w:rFonts w:ascii="宋体" w:hAnsi="宋体" w:cs="宋体" w:hint="eastAsia"/>
                <w:i w:val="0"/>
                <w:iCs w:val="0"/>
                <w:color w:val="000000"/>
                <w:kern w:val="0"/>
                <w:sz w:val="20"/>
                <w:szCs w:val="20"/>
                <w:u w:val="none"/>
                <w:lang w:val="en-US" w:eastAsia="zh-CN" w:bidi="ar"/>
              </w:rPr>
              <w:t>（定制）</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ascii="宋体" w:hAnsi="宋体" w:cs="宋体" w:hint="eastAsia"/>
                <w:i w:val="0"/>
                <w:iCs w:val="0"/>
                <w:color w:val="000000"/>
                <w:kern w:val="0"/>
                <w:sz w:val="20"/>
                <w:szCs w:val="20"/>
                <w:u w:val="none"/>
                <w:lang w:bidi="ar"/>
              </w:rPr>
            </w:pPr>
            <w:r>
              <w:rPr>
                <w:rFonts w:ascii="宋体" w:eastAsia="宋体" w:hAnsi="宋体" w:cs="宋体" w:hint="eastAsia"/>
                <w:i w:val="0"/>
                <w:iCs w:val="0"/>
                <w:color w:val="000000"/>
                <w:kern w:val="0"/>
                <w:sz w:val="20"/>
                <w:szCs w:val="20"/>
                <w:u w:val="none"/>
                <w:lang w:val="en-US" w:eastAsia="zh-CN" w:bidi="ar"/>
              </w:rPr>
              <w:t>功能：模拟攀爬攀岩墙和绳攀，增强身体的柔软度与协调感，提高体力和耐力，提升视觉专注力及应变能力，增加小脑的平衡感知能力。　　　　　　　　　　　　　　　　　　　　　　　　                                                           　参数：产品共有两个模式，26种按键音乐；攀爬训练中，手脚并用，交替向上。　　　　　　　　　　　　　　　　　　　　　　　　1、红外遥控器1个2、输入电压:220VAC  工作电压:12VDC。3、额定功率：小于40W4、USB音乐下载线1根（同一教室相同功能产品共用1根）5、使用说明书1份　　　　　　　　　　　　　　　　　　　　　　　　　6、尺寸：</w:t>
            </w:r>
            <w:r>
              <w:rPr>
                <w:rFonts w:ascii="宋体" w:hAnsi="宋体" w:cs="宋体" w:hint="eastAsia"/>
                <w:i w:val="0"/>
                <w:iCs w:val="0"/>
                <w:color w:val="000000"/>
                <w:kern w:val="0"/>
                <w:sz w:val="20"/>
                <w:szCs w:val="20"/>
                <w:u w:val="none"/>
                <w:lang w:val="en-US" w:eastAsia="zh-CN" w:bidi="ar"/>
              </w:rPr>
              <w:t>4</w:t>
            </w:r>
            <w:r>
              <w:rPr>
                <w:rFonts w:ascii="宋体" w:eastAsia="宋体" w:hAnsi="宋体" w:cs="宋体" w:hint="eastAsia"/>
                <w:i w:val="0"/>
                <w:iCs w:val="0"/>
                <w:color w:val="000000"/>
                <w:kern w:val="0"/>
                <w:sz w:val="20"/>
                <w:szCs w:val="20"/>
                <w:u w:val="none"/>
                <w:lang w:val="en-US" w:eastAsia="zh-CN" w:bidi="ar"/>
              </w:rPr>
              <w:t>600*2400*129mm</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pPr>
            <w:r>
              <w:drawing>
                <wp:inline distT="0" distB="0" distL="114300" distR="114300">
                  <wp:extent cx="1043940" cy="510540"/>
                  <wp:effectExtent l="0" t="0" r="3810" b="3810"/>
                  <wp:docPr id="30260" name="Picture 7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60" name="Picture 7819"/>
                          <pic:cNvPicPr>
                            <a:picLocks noChangeAspect="1"/>
                          </pic:cNvPicPr>
                        </pic:nvPicPr>
                        <pic:blipFill>
                          <a:blip xmlns:r="http://schemas.openxmlformats.org/officeDocument/2006/relationships" r:embed="rId53"/>
                          <a:stretch>
                            <a:fillRect/>
                          </a:stretch>
                        </pic:blipFill>
                        <pic:spPr>
                          <a:xfrm>
                            <a:off x="0" y="0"/>
                            <a:ext cx="1043940" cy="510540"/>
                          </a:xfrm>
                          <a:prstGeom prst="rect">
                            <a:avLst/>
                          </a:prstGeom>
                          <a:noFill/>
                          <a:ln w="9525">
                            <a:noFill/>
                          </a:ln>
                        </pic:spPr>
                      </pic:pic>
                    </a:graphicData>
                  </a:graphic>
                </wp:inline>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1</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iCs w:val="0"/>
                <w:color w:val="000000"/>
                <w:kern w:val="0"/>
                <w:sz w:val="22"/>
                <w:szCs w:val="22"/>
                <w:u w:val="none"/>
                <w:lang w:bidi="ar"/>
              </w:rPr>
            </w:pPr>
            <w:r>
              <w:rPr>
                <w:rFonts w:ascii="宋体" w:eastAsia="宋体" w:hAnsi="宋体" w:cs="宋体" w:hint="eastAsia"/>
                <w:i w:val="0"/>
                <w:iCs w:val="0"/>
                <w:color w:val="000000"/>
                <w:kern w:val="0"/>
                <w:sz w:val="22"/>
                <w:szCs w:val="22"/>
                <w:u w:val="none"/>
                <w:lang w:val="en-US" w:eastAsia="zh-CN" w:bidi="ar"/>
              </w:rPr>
              <w:t>个</w:t>
            </w:r>
          </w:p>
        </w:tc>
      </w:tr>
      <w:tr>
        <w:tblPrEx>
          <w:tblW w:w="8541" w:type="dxa"/>
          <w:tblInd w:w="0" w:type="dxa"/>
          <w:shd w:val="clear" w:color="auto" w:fill="auto"/>
          <w:tblLayout w:type="fixed"/>
          <w:tblCellMar>
            <w:top w:w="0" w:type="dxa"/>
            <w:left w:w="0" w:type="dxa"/>
            <w:bottom w:w="0" w:type="dxa"/>
            <w:right w:w="0" w:type="dxa"/>
          </w:tblCellMar>
        </w:tblPrEx>
        <w:trPr>
          <w:trHeight w:val="1800"/>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17</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18"/>
                <w:szCs w:val="18"/>
                <w:u w:val="none"/>
              </w:rPr>
            </w:pPr>
            <w:r>
              <w:rPr>
                <w:rFonts w:ascii="宋体" w:eastAsia="宋体" w:hAnsi="宋体" w:cs="宋体" w:hint="eastAsia"/>
                <w:i w:val="0"/>
                <w:iCs w:val="0"/>
                <w:color w:val="000000"/>
                <w:kern w:val="0"/>
                <w:sz w:val="20"/>
                <w:szCs w:val="20"/>
                <w:u w:val="none"/>
                <w:lang w:val="en-US" w:eastAsia="zh-CN" w:bidi="ar"/>
              </w:rPr>
              <w:t>儿童下肢功率车</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18"/>
                <w:szCs w:val="18"/>
                <w:u w:val="none"/>
              </w:rPr>
            </w:pPr>
            <w:r>
              <w:rPr>
                <w:rFonts w:ascii="宋体" w:eastAsia="宋体" w:hAnsi="宋体" w:cs="宋体" w:hint="eastAsia"/>
                <w:i w:val="0"/>
                <w:color w:val="000000"/>
                <w:sz w:val="18"/>
                <w:szCs w:val="18"/>
                <w:u w:val="none"/>
              </w:rPr>
              <w:t>用于下肢关节活动肌力及协调功能训练。</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extDirection w:val="tbRlV"/>
            <w:vAlign w:val="center"/>
          </w:tcPr>
          <w:p>
            <w:pPr>
              <w:keepNext w:val="0"/>
              <w:keepLines w:val="0"/>
              <w:widowControl/>
              <w:suppressLineNumbers w:val="0"/>
              <w:jc w:val="left"/>
              <w:textAlignment w:val="center"/>
              <w:rPr>
                <w:rFonts w:ascii="Calibri" w:hAnsi="Calibri" w:cs="Calibri" w:hint="default"/>
                <w:i w:val="0"/>
                <w:color w:val="808080"/>
                <w:sz w:val="18"/>
                <w:szCs w:val="18"/>
                <w:u w:val="none"/>
              </w:rPr>
            </w:pPr>
            <w:r>
              <w:drawing>
                <wp:anchor distT="0" distB="0" distL="114300" distR="114300" simplePos="0" relativeHeight="251671552" behindDoc="0" locked="0" layoutInCell="1" allowOverlap="1">
                  <wp:simplePos x="0" y="0"/>
                  <wp:positionH relativeFrom="column">
                    <wp:posOffset>-944880</wp:posOffset>
                  </wp:positionH>
                  <wp:positionV relativeFrom="paragraph">
                    <wp:posOffset>73660</wp:posOffset>
                  </wp:positionV>
                  <wp:extent cx="733425" cy="933450"/>
                  <wp:effectExtent l="0" t="0" r="9525" b="0"/>
                  <wp:wrapSquare wrapText="bothSides"/>
                  <wp:docPr id="508508" name="Picture 98" descr="ETG-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508" name="Picture 98" descr="ETG-28"/>
                          <pic:cNvPicPr>
                            <a:picLocks noChangeAspect="1"/>
                          </pic:cNvPicPr>
                        </pic:nvPicPr>
                        <pic:blipFill>
                          <a:blip xmlns:r="http://schemas.openxmlformats.org/officeDocument/2006/relationships" r:embed="rId54"/>
                          <a:stretch>
                            <a:fillRect/>
                          </a:stretch>
                        </pic:blipFill>
                        <pic:spPr>
                          <a:xfrm>
                            <a:off x="0" y="0"/>
                            <a:ext cx="733425" cy="933450"/>
                          </a:xfrm>
                          <a:prstGeom prst="rect">
                            <a:avLst/>
                          </a:prstGeom>
                          <a:noFill/>
                          <a:ln w="9525">
                            <a:noFill/>
                          </a:ln>
                        </pic:spPr>
                      </pic:pic>
                    </a:graphicData>
                  </a:graphic>
                </wp:anchor>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iCs w:val="0"/>
                <w:color w:val="000000"/>
                <w:kern w:val="0"/>
                <w:sz w:val="22"/>
                <w:szCs w:val="22"/>
                <w:u w:val="none"/>
                <w:lang w:bidi="ar"/>
              </w:rPr>
            </w:pPr>
            <w:r>
              <w:rPr>
                <w:rFonts w:ascii="宋体" w:hAnsi="宋体" w:cs="宋体" w:hint="eastAsia"/>
                <w:i w:val="0"/>
                <w:iCs w:val="0"/>
                <w:color w:val="000000"/>
                <w:kern w:val="0"/>
                <w:sz w:val="22"/>
                <w:szCs w:val="22"/>
                <w:u w:val="none"/>
                <w:lang w:val="en-US" w:eastAsia="zh-CN" w:bidi="ar"/>
              </w:rPr>
              <w:t>1</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hAnsi="宋体" w:cs="宋体" w:hint="eastAsia"/>
                <w:i w:val="0"/>
                <w:iCs w:val="0"/>
                <w:color w:val="000000"/>
                <w:kern w:val="0"/>
                <w:sz w:val="22"/>
                <w:szCs w:val="22"/>
                <w:u w:val="none"/>
                <w:lang w:val="en-US" w:eastAsia="zh-CN" w:bidi="ar"/>
              </w:rPr>
              <w:t>台</w:t>
            </w:r>
          </w:p>
        </w:tc>
      </w:tr>
      <w:tr>
        <w:tblPrEx>
          <w:tblW w:w="8541" w:type="dxa"/>
          <w:tblInd w:w="0" w:type="dxa"/>
          <w:shd w:val="clear" w:color="auto" w:fill="auto"/>
          <w:tblLayout w:type="fixed"/>
          <w:tblCellMar>
            <w:top w:w="0" w:type="dxa"/>
            <w:left w:w="0" w:type="dxa"/>
            <w:bottom w:w="0" w:type="dxa"/>
            <w:right w:w="0" w:type="dxa"/>
          </w:tblCellMar>
        </w:tblPrEx>
        <w:trPr>
          <w:trHeight w:val="1800"/>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18</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0"/>
                <w:szCs w:val="20"/>
                <w:u w:val="none"/>
                <w:lang w:bidi="ar"/>
              </w:rPr>
            </w:pPr>
            <w:r>
              <w:rPr>
                <w:rFonts w:ascii="宋体" w:eastAsia="宋体" w:hAnsi="宋体" w:cs="宋体" w:hint="eastAsia"/>
                <w:i w:val="0"/>
                <w:iCs w:val="0"/>
                <w:color w:val="000000"/>
                <w:kern w:val="0"/>
                <w:sz w:val="20"/>
                <w:szCs w:val="20"/>
                <w:u w:val="none"/>
                <w:lang w:val="en-US" w:eastAsia="zh-CN" w:bidi="ar"/>
              </w:rPr>
              <w:t>儿童分腿式站立架（</w:t>
            </w:r>
            <w:r>
              <w:rPr>
                <w:rFonts w:ascii="宋体" w:hAnsi="宋体" w:cs="宋体" w:hint="eastAsia"/>
                <w:i w:val="0"/>
                <w:iCs w:val="0"/>
                <w:color w:val="000000"/>
                <w:kern w:val="0"/>
                <w:sz w:val="20"/>
                <w:szCs w:val="20"/>
                <w:u w:val="none"/>
                <w:lang w:val="en-US" w:eastAsia="zh-CN" w:bidi="ar"/>
              </w:rPr>
              <w:t>小）</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18"/>
                <w:szCs w:val="18"/>
                <w:u w:val="none"/>
              </w:rPr>
            </w:pPr>
            <w:r>
              <w:rPr>
                <w:rFonts w:ascii="宋体" w:eastAsia="宋体" w:hAnsi="宋体" w:cs="宋体" w:hint="eastAsia"/>
                <w:i w:val="0"/>
                <w:color w:val="000000"/>
                <w:sz w:val="18"/>
                <w:szCs w:val="18"/>
                <w:u w:val="none"/>
              </w:rPr>
              <w:t>630±30×560±30×580-800±30mm（小）； 用途：对患儿的胸、臀、膝和脚部的固定支撑并增加髋关节外展幅度，尤其适用于痉挛型的脑瘫儿童作站立训练。</w:t>
            </w:r>
          </w:p>
          <w:p>
            <w:pPr>
              <w:keepNext w:val="0"/>
              <w:keepLines w:val="0"/>
              <w:widowControl/>
              <w:suppressLineNumbers w:val="0"/>
              <w:jc w:val="center"/>
              <w:textAlignment w:val="center"/>
              <w:rPr>
                <w:rFonts w:ascii="宋体" w:hAnsi="宋体" w:cs="宋体" w:hint="eastAsia"/>
                <w:i w:val="0"/>
                <w:color w:val="000000"/>
                <w:sz w:val="18"/>
                <w:szCs w:val="18"/>
                <w:u w:val="none"/>
              </w:rPr>
            </w:pPr>
            <w:r>
              <w:rPr>
                <w:rFonts w:ascii="宋体" w:eastAsia="宋体" w:hAnsi="宋体" w:cs="宋体" w:hint="eastAsia"/>
                <w:i w:val="0"/>
                <w:color w:val="000000"/>
                <w:sz w:val="18"/>
                <w:szCs w:val="18"/>
                <w:u w:val="none"/>
                <w:lang w:val="en-US" w:eastAsia="zh-Hans"/>
              </w:rPr>
              <w:t>▲</w:t>
            </w:r>
            <w:r>
              <w:rPr>
                <w:rFonts w:ascii="宋体" w:hAnsi="宋体" w:cs="宋体" w:hint="eastAsia"/>
                <w:i w:val="0"/>
                <w:color w:val="000000"/>
                <w:sz w:val="18"/>
                <w:szCs w:val="18"/>
                <w:u w:val="none"/>
                <w:lang w:val="en-US" w:eastAsia="zh-CN"/>
              </w:rPr>
              <w:t>提供产品的备案证明文件</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extDirection w:val="tbRlV"/>
            <w:vAlign w:val="center"/>
          </w:tcPr>
          <w:p>
            <w:pPr>
              <w:keepNext w:val="0"/>
              <w:keepLines w:val="0"/>
              <w:widowControl/>
              <w:suppressLineNumbers w:val="0"/>
              <w:jc w:val="left"/>
              <w:textAlignment w:val="center"/>
            </w:pPr>
            <w:r>
              <w:drawing>
                <wp:inline distT="0" distB="0" distL="114300" distR="114300">
                  <wp:extent cx="786130" cy="962660"/>
                  <wp:effectExtent l="0" t="0" r="13970" b="8890"/>
                  <wp:docPr id="512421" name="图片 9" descr="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421" name="图片 9" descr="1111"/>
                          <pic:cNvPicPr>
                            <a:picLocks noChangeAspect="1"/>
                          </pic:cNvPicPr>
                        </pic:nvPicPr>
                        <pic:blipFill>
                          <a:blip xmlns:r="http://schemas.openxmlformats.org/officeDocument/2006/relationships" r:embed="rId55"/>
                          <a:stretch>
                            <a:fillRect/>
                          </a:stretch>
                        </pic:blipFill>
                        <pic:spPr>
                          <a:xfrm>
                            <a:off x="0" y="0"/>
                            <a:ext cx="786130" cy="962660"/>
                          </a:xfrm>
                          <a:prstGeom prst="rect">
                            <a:avLst/>
                          </a:prstGeom>
                          <a:noFill/>
                          <a:ln w="9525">
                            <a:noFill/>
                          </a:ln>
                        </pic:spPr>
                      </pic:pic>
                    </a:graphicData>
                  </a:graphic>
                </wp:inline>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iCs w:val="0"/>
                <w:color w:val="000000"/>
                <w:kern w:val="0"/>
                <w:sz w:val="22"/>
                <w:szCs w:val="22"/>
                <w:u w:val="none"/>
                <w:lang w:bidi="ar"/>
              </w:rPr>
            </w:pPr>
            <w:r>
              <w:rPr>
                <w:rFonts w:ascii="宋体" w:hAnsi="宋体" w:cs="宋体" w:hint="eastAsia"/>
                <w:i w:val="0"/>
                <w:iCs w:val="0"/>
                <w:color w:val="000000"/>
                <w:kern w:val="0"/>
                <w:sz w:val="22"/>
                <w:szCs w:val="22"/>
                <w:u w:val="none"/>
                <w:lang w:val="en-US" w:eastAsia="zh-CN" w:bidi="ar"/>
              </w:rPr>
              <w:t>1</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hAnsi="宋体" w:cs="宋体" w:hint="eastAsia"/>
                <w:i w:val="0"/>
                <w:iCs w:val="0"/>
                <w:color w:val="000000"/>
                <w:kern w:val="0"/>
                <w:sz w:val="22"/>
                <w:szCs w:val="22"/>
                <w:u w:val="none"/>
                <w:lang w:val="en-US" w:eastAsia="zh-CN" w:bidi="ar"/>
              </w:rPr>
              <w:t>张</w:t>
            </w:r>
          </w:p>
        </w:tc>
      </w:tr>
      <w:tr>
        <w:tblPrEx>
          <w:tblW w:w="8541" w:type="dxa"/>
          <w:tblInd w:w="0" w:type="dxa"/>
          <w:shd w:val="clear" w:color="auto" w:fill="auto"/>
          <w:tblLayout w:type="fixed"/>
          <w:tblCellMar>
            <w:top w:w="0" w:type="dxa"/>
            <w:left w:w="0" w:type="dxa"/>
            <w:bottom w:w="0" w:type="dxa"/>
            <w:right w:w="0" w:type="dxa"/>
          </w:tblCellMar>
        </w:tblPrEx>
        <w:trPr>
          <w:trHeight w:val="1800"/>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19</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0"/>
                <w:szCs w:val="20"/>
                <w:u w:val="none"/>
                <w:lang w:bidi="ar"/>
              </w:rPr>
            </w:pPr>
            <w:r>
              <w:rPr>
                <w:rFonts w:ascii="宋体" w:eastAsia="宋体" w:hAnsi="宋体" w:cs="宋体" w:hint="eastAsia"/>
                <w:i w:val="0"/>
                <w:iCs w:val="0"/>
                <w:color w:val="000000"/>
                <w:kern w:val="0"/>
                <w:sz w:val="20"/>
                <w:szCs w:val="20"/>
                <w:u w:val="none"/>
                <w:lang w:val="en-US" w:eastAsia="zh-CN" w:bidi="ar"/>
              </w:rPr>
              <w:t>儿童分腿式站立架（</w:t>
            </w:r>
            <w:r>
              <w:rPr>
                <w:rFonts w:ascii="宋体" w:hAnsi="宋体" w:cs="宋体" w:hint="eastAsia"/>
                <w:i w:val="0"/>
                <w:iCs w:val="0"/>
                <w:color w:val="000000"/>
                <w:kern w:val="0"/>
                <w:sz w:val="20"/>
                <w:szCs w:val="20"/>
                <w:u w:val="none"/>
                <w:lang w:val="en-US" w:eastAsia="zh-CN" w:bidi="ar"/>
              </w:rPr>
              <w:t>大）</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18"/>
                <w:szCs w:val="18"/>
                <w:u w:val="none"/>
              </w:rPr>
            </w:pPr>
            <w:r>
              <w:rPr>
                <w:rFonts w:ascii="宋体" w:eastAsia="宋体" w:hAnsi="宋体" w:cs="宋体" w:hint="eastAsia"/>
                <w:i w:val="0"/>
                <w:color w:val="000000"/>
                <w:sz w:val="18"/>
                <w:szCs w:val="18"/>
                <w:u w:val="none"/>
              </w:rPr>
              <w:t>690±30×600±30×720-960±30mm（大）； 用途：对患儿的胸、臀、膝和脚部的固定支撑并增加髋关节外展幅度，尤其适用于痉挛型的脑瘫儿童作站立训练。</w:t>
            </w:r>
          </w:p>
          <w:p>
            <w:pPr>
              <w:keepNext w:val="0"/>
              <w:keepLines w:val="0"/>
              <w:widowControl/>
              <w:suppressLineNumbers w:val="0"/>
              <w:jc w:val="center"/>
              <w:textAlignment w:val="center"/>
              <w:rPr>
                <w:rFonts w:ascii="宋体" w:hAnsi="宋体" w:cs="宋体" w:hint="eastAsia"/>
                <w:i w:val="0"/>
                <w:color w:val="000000"/>
                <w:sz w:val="18"/>
                <w:szCs w:val="18"/>
                <w:u w:val="none"/>
              </w:rPr>
            </w:pPr>
            <w:r>
              <w:rPr>
                <w:rFonts w:ascii="宋体" w:eastAsia="宋体" w:hAnsi="宋体" w:cs="宋体" w:hint="eastAsia"/>
                <w:i w:val="0"/>
                <w:color w:val="000000"/>
                <w:sz w:val="18"/>
                <w:szCs w:val="18"/>
                <w:u w:val="none"/>
                <w:lang w:val="en-US" w:eastAsia="zh-Hans"/>
              </w:rPr>
              <w:t>▲</w:t>
            </w:r>
            <w:r>
              <w:rPr>
                <w:rFonts w:ascii="宋体" w:eastAsia="宋体" w:hAnsi="宋体" w:cs="宋体" w:hint="eastAsia"/>
                <w:i w:val="0"/>
                <w:color w:val="000000"/>
                <w:sz w:val="18"/>
                <w:szCs w:val="18"/>
                <w:u w:val="none"/>
              </w:rPr>
              <w:t>所投产品表面的油漆及内部使用的粘合剂提供国际权威认证机构出具的环保无毒安全检验报告</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extDirection w:val="tbRlV"/>
            <w:vAlign w:val="center"/>
          </w:tcPr>
          <w:p>
            <w:pPr>
              <w:keepNext w:val="0"/>
              <w:keepLines w:val="0"/>
              <w:widowControl/>
              <w:suppressLineNumbers w:val="0"/>
              <w:jc w:val="left"/>
              <w:textAlignment w:val="center"/>
            </w:pPr>
            <w:r>
              <w:drawing>
                <wp:inline distT="0" distB="0" distL="114300" distR="114300">
                  <wp:extent cx="751840" cy="921385"/>
                  <wp:effectExtent l="0" t="0" r="10160" b="12065"/>
                  <wp:docPr id="8" name="图片 9" descr="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descr="1111"/>
                          <pic:cNvPicPr>
                            <a:picLocks noChangeAspect="1"/>
                          </pic:cNvPicPr>
                        </pic:nvPicPr>
                        <pic:blipFill>
                          <a:blip xmlns:r="http://schemas.openxmlformats.org/officeDocument/2006/relationships" r:embed="rId55"/>
                          <a:stretch>
                            <a:fillRect/>
                          </a:stretch>
                        </pic:blipFill>
                        <pic:spPr>
                          <a:xfrm>
                            <a:off x="0" y="0"/>
                            <a:ext cx="751840" cy="921385"/>
                          </a:xfrm>
                          <a:prstGeom prst="rect">
                            <a:avLst/>
                          </a:prstGeom>
                          <a:noFill/>
                          <a:ln w="9525">
                            <a:noFill/>
                          </a:ln>
                        </pic:spPr>
                      </pic:pic>
                    </a:graphicData>
                  </a:graphic>
                </wp:inline>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iCs w:val="0"/>
                <w:color w:val="000000"/>
                <w:kern w:val="0"/>
                <w:sz w:val="22"/>
                <w:szCs w:val="22"/>
                <w:u w:val="none"/>
                <w:lang w:bidi="ar"/>
              </w:rPr>
            </w:pPr>
            <w:r>
              <w:rPr>
                <w:rFonts w:ascii="宋体" w:hAnsi="宋体" w:cs="宋体" w:hint="eastAsia"/>
                <w:i w:val="0"/>
                <w:iCs w:val="0"/>
                <w:color w:val="000000"/>
                <w:kern w:val="0"/>
                <w:sz w:val="22"/>
                <w:szCs w:val="22"/>
                <w:u w:val="none"/>
                <w:lang w:val="en-US" w:eastAsia="zh-CN" w:bidi="ar"/>
              </w:rPr>
              <w:t>1</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hAnsi="宋体" w:cs="宋体" w:hint="eastAsia"/>
                <w:i w:val="0"/>
                <w:iCs w:val="0"/>
                <w:color w:val="000000"/>
                <w:kern w:val="0"/>
                <w:sz w:val="22"/>
                <w:szCs w:val="22"/>
                <w:u w:val="none"/>
                <w:lang w:val="en-US" w:eastAsia="zh-CN" w:bidi="ar"/>
              </w:rPr>
              <w:t>张</w:t>
            </w:r>
          </w:p>
        </w:tc>
      </w:tr>
      <w:tr>
        <w:tblPrEx>
          <w:tblW w:w="8541" w:type="dxa"/>
          <w:tblInd w:w="0" w:type="dxa"/>
          <w:shd w:val="clear" w:color="auto" w:fill="auto"/>
          <w:tblLayout w:type="fixed"/>
          <w:tblCellMar>
            <w:top w:w="0" w:type="dxa"/>
            <w:left w:w="0" w:type="dxa"/>
            <w:bottom w:w="0" w:type="dxa"/>
            <w:right w:w="0" w:type="dxa"/>
          </w:tblCellMar>
        </w:tblPrEx>
        <w:trPr>
          <w:trHeight w:val="1800"/>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20</w:t>
            </w: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0"/>
                <w:szCs w:val="20"/>
                <w:u w:val="none"/>
                <w:lang w:bidi="ar"/>
              </w:rPr>
            </w:pPr>
            <w:r>
              <w:rPr>
                <w:rFonts w:ascii="宋体" w:hAnsi="宋体" w:hint="eastAsia"/>
                <w:szCs w:val="21"/>
              </w:rPr>
              <w:t>交互式智能平板</w:t>
            </w: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widowControl/>
              <w:jc w:val="left"/>
              <w:textAlignment w:val="center"/>
              <w:rPr>
                <w:rFonts w:ascii="宋体" w:hAnsi="宋体" w:hint="eastAsia"/>
                <w:szCs w:val="21"/>
              </w:rPr>
            </w:pPr>
            <w:r>
              <w:rPr>
                <w:rFonts w:ascii="宋体" w:hAnsi="宋体" w:hint="eastAsia"/>
                <w:szCs w:val="21"/>
              </w:rPr>
              <w:t>尺寸</w:t>
            </w:r>
            <w:r>
              <w:rPr>
                <w:rFonts w:ascii="宋体" w:hAnsi="宋体" w:hint="eastAsia"/>
                <w:szCs w:val="21"/>
              </w:rPr>
              <w:tab/>
            </w:r>
            <w:r>
              <w:rPr>
                <w:rFonts w:ascii="宋体" w:hAnsi="宋体" w:hint="eastAsia"/>
                <w:szCs w:val="21"/>
              </w:rPr>
              <w:t>70英寸响应时间</w:t>
            </w:r>
            <w:r>
              <w:rPr>
                <w:rFonts w:ascii="宋体" w:hAnsi="宋体" w:hint="eastAsia"/>
                <w:szCs w:val="21"/>
              </w:rPr>
              <w:tab/>
            </w:r>
            <w:r>
              <w:rPr>
                <w:rFonts w:ascii="宋体" w:hAnsi="宋体" w:hint="eastAsia"/>
                <w:szCs w:val="21"/>
              </w:rPr>
              <w:t>8ms画面比例</w:t>
            </w:r>
            <w:r>
              <w:rPr>
                <w:rFonts w:ascii="宋体" w:hAnsi="宋体" w:hint="eastAsia"/>
                <w:szCs w:val="21"/>
              </w:rPr>
              <w:tab/>
            </w:r>
            <w:r>
              <w:rPr>
                <w:rFonts w:ascii="宋体" w:hAnsi="宋体" w:hint="eastAsia"/>
                <w:szCs w:val="21"/>
              </w:rPr>
              <w:t>16:9显示区域</w:t>
            </w:r>
            <w:r>
              <w:rPr>
                <w:rFonts w:ascii="宋体" w:hAnsi="宋体" w:hint="eastAsia"/>
                <w:szCs w:val="21"/>
              </w:rPr>
              <w:tab/>
            </w:r>
            <w:r>
              <w:rPr>
                <w:rFonts w:ascii="宋体" w:hAnsi="宋体" w:hint="eastAsia"/>
                <w:szCs w:val="21"/>
              </w:rPr>
              <w:t>1538.88(H)×865.62(V)mm分辨率</w:t>
            </w:r>
            <w:r>
              <w:rPr>
                <w:rFonts w:ascii="宋体" w:hAnsi="宋体" w:hint="eastAsia"/>
                <w:szCs w:val="21"/>
              </w:rPr>
              <w:tab/>
            </w:r>
            <w:r>
              <w:rPr>
                <w:rFonts w:ascii="宋体" w:hAnsi="宋体" w:hint="eastAsia"/>
                <w:szCs w:val="21"/>
              </w:rPr>
              <w:t>3840(H)×2160(V)像素间距</w:t>
            </w:r>
            <w:r>
              <w:rPr>
                <w:rFonts w:ascii="宋体" w:hAnsi="宋体" w:hint="eastAsia"/>
                <w:szCs w:val="21"/>
              </w:rPr>
              <w:tab/>
            </w:r>
            <w:r>
              <w:rPr>
                <w:rFonts w:ascii="宋体" w:hAnsi="宋体" w:hint="eastAsia"/>
                <w:szCs w:val="21"/>
              </w:rPr>
              <w:t>0.40075×0.40075mm刷新频率</w:t>
            </w:r>
            <w:r>
              <w:rPr>
                <w:rFonts w:ascii="宋体" w:hAnsi="宋体" w:hint="eastAsia"/>
                <w:szCs w:val="21"/>
              </w:rPr>
              <w:tab/>
            </w:r>
            <w:r>
              <w:rPr>
                <w:rFonts w:ascii="宋体" w:hAnsi="宋体" w:hint="eastAsia"/>
                <w:szCs w:val="21"/>
              </w:rPr>
              <w:t>60Hz色彩度</w:t>
            </w:r>
            <w:r>
              <w:rPr>
                <w:rFonts w:ascii="宋体" w:hAnsi="宋体" w:hint="eastAsia"/>
                <w:szCs w:val="21"/>
              </w:rPr>
              <w:tab/>
            </w:r>
            <w:r>
              <w:rPr>
                <w:rFonts w:ascii="宋体" w:hAnsi="宋体" w:hint="eastAsia"/>
                <w:szCs w:val="21"/>
              </w:rPr>
              <w:t>1.07B(10bit)色域</w:t>
            </w:r>
            <w:r>
              <w:rPr>
                <w:rFonts w:ascii="宋体" w:hAnsi="宋体" w:hint="eastAsia"/>
                <w:szCs w:val="21"/>
              </w:rPr>
              <w:tab/>
            </w:r>
            <w:r>
              <w:rPr>
                <w:rFonts w:ascii="宋体" w:hAnsi="宋体" w:hint="eastAsia"/>
                <w:szCs w:val="21"/>
              </w:rPr>
              <w:t>72%对比度</w:t>
            </w:r>
            <w:r>
              <w:rPr>
                <w:rFonts w:ascii="宋体" w:hAnsi="宋体" w:hint="eastAsia"/>
                <w:szCs w:val="21"/>
              </w:rPr>
              <w:tab/>
            </w:r>
            <w:r>
              <w:rPr>
                <w:rFonts w:ascii="宋体" w:hAnsi="宋体" w:hint="eastAsia"/>
                <w:szCs w:val="21"/>
              </w:rPr>
              <w:t>4000:1可视角度</w:t>
            </w:r>
            <w:r>
              <w:rPr>
                <w:rFonts w:ascii="宋体" w:hAnsi="宋体" w:hint="eastAsia"/>
                <w:szCs w:val="21"/>
              </w:rPr>
              <w:tab/>
            </w:r>
            <w:r>
              <w:rPr>
                <w:rFonts w:ascii="宋体" w:hAnsi="宋体" w:hint="eastAsia"/>
                <w:szCs w:val="21"/>
              </w:rPr>
              <w:t>176°(H/V) 亮度</w:t>
            </w:r>
            <w:r>
              <w:rPr>
                <w:rFonts w:ascii="宋体" w:hAnsi="宋体" w:hint="eastAsia"/>
                <w:szCs w:val="21"/>
              </w:rPr>
              <w:tab/>
            </w:r>
            <w:r>
              <w:rPr>
                <w:rFonts w:ascii="宋体" w:hAnsi="宋体" w:hint="eastAsia"/>
                <w:szCs w:val="21"/>
              </w:rPr>
              <w:t>350cd/m2 背光类型</w:t>
            </w:r>
            <w:r>
              <w:rPr>
                <w:rFonts w:ascii="宋体" w:hAnsi="宋体" w:hint="eastAsia"/>
                <w:szCs w:val="21"/>
              </w:rPr>
              <w:tab/>
            </w:r>
            <w:r>
              <w:rPr>
                <w:rFonts w:ascii="宋体" w:hAnsi="宋体" w:hint="eastAsia"/>
                <w:szCs w:val="21"/>
              </w:rPr>
              <w:t>DLED工作寿命</w:t>
            </w:r>
            <w:r>
              <w:rPr>
                <w:rFonts w:ascii="宋体" w:hAnsi="宋体" w:hint="eastAsia"/>
                <w:szCs w:val="21"/>
              </w:rPr>
              <w:tab/>
            </w:r>
            <w:r>
              <w:rPr>
                <w:rFonts w:ascii="宋体" w:hAnsi="宋体" w:hint="eastAsia"/>
                <w:szCs w:val="21"/>
              </w:rPr>
              <w:t>≥30000小时操作系统系统版本</w:t>
            </w:r>
            <w:r>
              <w:rPr>
                <w:rFonts w:ascii="宋体" w:hAnsi="宋体" w:hint="eastAsia"/>
                <w:szCs w:val="21"/>
              </w:rPr>
              <w:tab/>
            </w:r>
            <w:r>
              <w:rPr>
                <w:rFonts w:ascii="宋体" w:hAnsi="宋体" w:hint="eastAsia"/>
                <w:szCs w:val="21"/>
              </w:rPr>
              <w:t>安卓9.0</w:t>
            </w:r>
            <w:r>
              <w:rPr>
                <w:rFonts w:ascii="宋体" w:hAnsi="宋体"/>
                <w:szCs w:val="21"/>
              </w:rPr>
              <w:t>RAM</w:t>
            </w:r>
            <w:r>
              <w:rPr>
                <w:rFonts w:ascii="宋体" w:hAnsi="宋体"/>
                <w:szCs w:val="21"/>
              </w:rPr>
              <w:tab/>
            </w:r>
            <w:r>
              <w:rPr>
                <w:rFonts w:ascii="宋体" w:hAnsi="宋体"/>
                <w:szCs w:val="21"/>
              </w:rPr>
              <w:t>2GROM</w:t>
            </w:r>
            <w:r>
              <w:rPr>
                <w:rFonts w:ascii="宋体" w:hAnsi="宋体"/>
                <w:szCs w:val="21"/>
              </w:rPr>
              <w:tab/>
            </w:r>
            <w:r>
              <w:rPr>
                <w:rFonts w:ascii="宋体" w:hAnsi="宋体"/>
                <w:szCs w:val="21"/>
              </w:rPr>
              <w:t>8G</w:t>
            </w:r>
            <w:r>
              <w:rPr>
                <w:rFonts w:ascii="宋体" w:hAnsi="宋体" w:hint="eastAsia"/>
                <w:szCs w:val="21"/>
                <w:lang w:eastAsia="zh-CN"/>
              </w:rPr>
              <w:t>（含教程软件）</w:t>
            </w:r>
          </w:p>
          <w:p>
            <w:pPr>
              <w:widowControl/>
              <w:jc w:val="left"/>
              <w:textAlignment w:val="center"/>
              <w:rPr>
                <w:rFonts w:ascii="宋体" w:hAnsi="宋体" w:hint="eastAsia"/>
                <w:szCs w:val="21"/>
                <w:lang w:eastAsia="zh-Hans"/>
              </w:rPr>
            </w:pPr>
            <w:r>
              <w:rPr>
                <w:rFonts w:ascii="宋体" w:hAnsi="宋体" w:cs="Times New Roman" w:hint="eastAsia"/>
                <w:szCs w:val="21"/>
                <w:lang w:val="en-US" w:eastAsia="zh-Hans"/>
              </w:rPr>
              <w:t>一、整机设计要求</w:t>
            </w:r>
          </w:p>
          <w:p>
            <w:pPr>
              <w:widowControl/>
              <w:jc w:val="left"/>
              <w:textAlignment w:val="center"/>
              <w:rPr>
                <w:rFonts w:ascii="宋体" w:hAnsi="宋体" w:hint="eastAsia"/>
                <w:szCs w:val="21"/>
                <w:lang w:eastAsia="zh-Hans"/>
              </w:rPr>
            </w:pPr>
            <w:r>
              <w:rPr>
                <w:rFonts w:ascii="宋体" w:hAnsi="宋体" w:cs="Times New Roman" w:hint="eastAsia"/>
                <w:szCs w:val="21"/>
                <w:lang w:val="en-US" w:eastAsia="zh-CN"/>
              </w:rPr>
              <w:t>1</w:t>
            </w:r>
            <w:r>
              <w:rPr>
                <w:rFonts w:ascii="宋体" w:hAnsi="宋体" w:cs="Times New Roman" w:hint="eastAsia"/>
                <w:szCs w:val="21"/>
                <w:lang w:val="en-US" w:eastAsia="zh-Hans"/>
              </w:rPr>
              <w:t>.▲内置非独立外扩展的摄像头（不接受任何外接设备扩展方案），像素不低于800万，摄像头对角角度≥120度，用于教师拍摄所需画面以及调取摄像头进行远程巡课。（需提供国家广播电视产品质量监督检验中心所出具的检测报告复印件并加盖厂家公章）</w:t>
            </w:r>
          </w:p>
          <w:p>
            <w:pPr>
              <w:widowControl/>
              <w:spacing w:after="0"/>
              <w:jc w:val="left"/>
              <w:textAlignment w:val="center"/>
              <w:rPr>
                <w:rFonts w:ascii="宋体" w:hAnsi="宋体" w:hint="eastAsia"/>
                <w:szCs w:val="21"/>
                <w:lang w:eastAsia="zh-Hans"/>
              </w:rPr>
            </w:pPr>
            <w:r>
              <w:rPr>
                <w:rFonts w:ascii="宋体" w:hAnsi="宋体" w:cs="Times New Roman" w:hint="eastAsia"/>
                <w:szCs w:val="21"/>
                <w:lang w:val="en-US" w:eastAsia="zh-CN"/>
              </w:rPr>
              <w:t>2</w:t>
            </w:r>
            <w:r>
              <w:rPr>
                <w:rFonts w:ascii="宋体" w:hAnsi="宋体" w:cs="Times New Roman" w:hint="eastAsia"/>
                <w:szCs w:val="21"/>
                <w:lang w:eastAsia="zh-Hans"/>
              </w:rPr>
              <w:t>.</w:t>
            </w:r>
            <w:r>
              <w:rPr>
                <w:rFonts w:ascii="宋体" w:hAnsi="宋体" w:cs="Times New Roman" w:hint="eastAsia"/>
                <w:szCs w:val="21"/>
                <w:lang w:val="en-US" w:eastAsia="zh-Hans"/>
              </w:rPr>
              <w:t>整机内置非独立外扩展的阵列麦克风</w:t>
            </w:r>
            <w:r>
              <w:rPr>
                <w:rFonts w:ascii="宋体" w:hAnsi="宋体" w:cs="Times New Roman" w:hint="eastAsia"/>
                <w:szCs w:val="21"/>
                <w:lang w:eastAsia="zh-Hans"/>
              </w:rPr>
              <w:t>，</w:t>
            </w:r>
            <w:r>
              <w:rPr>
                <w:rFonts w:ascii="宋体" w:hAnsi="宋体" w:cs="Times New Roman" w:hint="eastAsia"/>
                <w:szCs w:val="21"/>
                <w:lang w:val="en-US" w:eastAsia="zh-Hans"/>
              </w:rPr>
              <w:t>拾音距离至少</w:t>
            </w:r>
            <w:r>
              <w:rPr>
                <w:rFonts w:ascii="宋体" w:hAnsi="宋体" w:cs="Times New Roman" w:hint="eastAsia"/>
                <w:szCs w:val="21"/>
                <w:lang w:eastAsia="zh-Hans"/>
              </w:rPr>
              <w:t>12</w:t>
            </w:r>
            <w:r>
              <w:rPr>
                <w:rFonts w:ascii="宋体" w:hAnsi="宋体" w:cs="Times New Roman" w:hint="eastAsia"/>
                <w:szCs w:val="21"/>
                <w:lang w:val="en-US" w:eastAsia="zh-Hans"/>
              </w:rPr>
              <w:t>米</w:t>
            </w:r>
            <w:r>
              <w:rPr>
                <w:rFonts w:ascii="宋体" w:hAnsi="宋体" w:cs="Times New Roman" w:hint="eastAsia"/>
                <w:szCs w:val="21"/>
                <w:lang w:eastAsia="zh-Hans"/>
              </w:rPr>
              <w:t>，</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extDirection w:val="tbRlV"/>
            <w:vAlign w:val="center"/>
          </w:tcPr>
          <w:p>
            <w:pPr>
              <w:keepNext w:val="0"/>
              <w:keepLines w:val="0"/>
              <w:widowControl/>
              <w:suppressLineNumbers w:val="0"/>
              <w:jc w:val="left"/>
              <w:textAlignment w:val="center"/>
            </w:pPr>
            <w:r>
              <w:drawing>
                <wp:inline distT="0" distB="0" distL="114300" distR="114300">
                  <wp:extent cx="1125855" cy="1266190"/>
                  <wp:effectExtent l="0" t="0" r="17145" b="1016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xmlns:r="http://schemas.openxmlformats.org/officeDocument/2006/relationships" r:embed="rId56"/>
                          <a:stretch>
                            <a:fillRect/>
                          </a:stretch>
                        </pic:blipFill>
                        <pic:spPr>
                          <a:xfrm>
                            <a:off x="0" y="0"/>
                            <a:ext cx="1125855" cy="1266190"/>
                          </a:xfrm>
                          <a:prstGeom prst="rect">
                            <a:avLst/>
                          </a:prstGeom>
                          <a:noFill/>
                          <a:ln>
                            <a:noFill/>
                          </a:ln>
                        </pic:spPr>
                      </pic:pic>
                    </a:graphicData>
                  </a:graphic>
                </wp:inline>
              </w:drawing>
            </w: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default"/>
                <w:i w:val="0"/>
                <w:iCs w:val="0"/>
                <w:color w:val="000000"/>
                <w:kern w:val="0"/>
                <w:sz w:val="22"/>
                <w:szCs w:val="22"/>
                <w:u w:val="none"/>
                <w:lang w:bidi="ar"/>
              </w:rPr>
            </w:pPr>
            <w:r>
              <w:rPr>
                <w:rFonts w:ascii="宋体" w:hAnsi="宋体" w:cs="宋体" w:hint="eastAsia"/>
                <w:i w:val="0"/>
                <w:iCs w:val="0"/>
                <w:color w:val="000000"/>
                <w:kern w:val="0"/>
                <w:sz w:val="22"/>
                <w:szCs w:val="22"/>
                <w:u w:val="none"/>
                <w:lang w:val="en-US" w:eastAsia="zh-CN" w:bidi="ar"/>
              </w:rPr>
              <w:t>3</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宋体" w:hAnsi="宋体" w:cs="宋体" w:hint="eastAsia"/>
                <w:i w:val="0"/>
                <w:iCs w:val="0"/>
                <w:color w:val="000000"/>
                <w:kern w:val="0"/>
                <w:sz w:val="22"/>
                <w:szCs w:val="22"/>
                <w:u w:val="none"/>
                <w:lang w:bidi="ar"/>
              </w:rPr>
            </w:pPr>
            <w:r>
              <w:rPr>
                <w:rFonts w:ascii="宋体" w:hAnsi="宋体" w:cs="宋体" w:hint="eastAsia"/>
                <w:i w:val="0"/>
                <w:iCs w:val="0"/>
                <w:color w:val="000000"/>
                <w:kern w:val="0"/>
                <w:sz w:val="22"/>
                <w:szCs w:val="22"/>
                <w:u w:val="none"/>
                <w:lang w:val="en-US" w:eastAsia="zh-CN" w:bidi="ar"/>
              </w:rPr>
              <w:t>套</w:t>
            </w:r>
          </w:p>
        </w:tc>
      </w:tr>
    </w:tbl>
    <w:p>
      <w:pPr>
        <w:sectPr>
          <w:headerReference w:type="default" r:id="rId57"/>
          <w:footerReference w:type="default" r:id="rId58"/>
          <w:headerReference w:type="first" r:id="rId59"/>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10" w:chapStyle="1" w:chapSep="enDash"/>
          <w:cols w:num="1" w:space="720"/>
          <w:titlePg w:val="0"/>
          <w:rtlGutter w:val="0"/>
          <w:docGrid w:linePitch="312" w:charSpace="0"/>
        </w:sectPr>
      </w:pPr>
    </w:p>
    <w:tbl>
      <w:tblPr>
        <w:tblStyle w:val="TableNormal"/>
        <w:tblW w:w="8541" w:type="dxa"/>
        <w:tblInd w:w="0" w:type="dxa"/>
        <w:shd w:val="clear" w:color="auto" w:fill="auto"/>
        <w:tblLayout w:type="fixed"/>
        <w:tblCellMar>
          <w:top w:w="0" w:type="dxa"/>
          <w:left w:w="0" w:type="dxa"/>
          <w:bottom w:w="0" w:type="dxa"/>
          <w:right w:w="0" w:type="dxa"/>
        </w:tblCellMar>
      </w:tblPr>
      <w:tblGrid>
        <w:gridCol w:w="715"/>
        <w:gridCol w:w="873"/>
        <w:gridCol w:w="3918"/>
        <w:gridCol w:w="1826"/>
        <w:gridCol w:w="663"/>
        <w:gridCol w:w="546"/>
      </w:tblGrid>
      <w:tr>
        <w:tblPrEx>
          <w:tblW w:w="8541" w:type="dxa"/>
          <w:tblInd w:w="0" w:type="dxa"/>
          <w:shd w:val="clear" w:color="auto" w:fill="auto"/>
          <w:tblLayout w:type="fixed"/>
          <w:tblCellMar>
            <w:top w:w="0" w:type="dxa"/>
            <w:left w:w="0" w:type="dxa"/>
            <w:bottom w:w="0" w:type="dxa"/>
            <w:right w:w="0" w:type="dxa"/>
          </w:tblCellMar>
        </w:tblPrEx>
        <w:trPr>
          <w:trHeight w:val="1800"/>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widowControl/>
              <w:spacing w:before="0"/>
              <w:jc w:val="left"/>
              <w:textAlignment w:val="center"/>
              <w:rPr>
                <w:rFonts w:ascii="宋体" w:hAnsi="宋体" w:hint="eastAsia"/>
                <w:szCs w:val="21"/>
                <w:lang w:eastAsia="zh-Hans"/>
              </w:rPr>
            </w:pPr>
            <w:r>
              <w:rPr>
                <w:rFonts w:ascii="宋体" w:hAnsi="宋体" w:cs="Times New Roman" w:hint="eastAsia"/>
                <w:szCs w:val="21"/>
                <w:lang w:val="en-US" w:eastAsia="zh-Hans"/>
              </w:rPr>
              <w:t>采集教室环境音频时降低噪音干扰</w:t>
            </w:r>
            <w:r>
              <w:rPr>
                <w:rFonts w:ascii="宋体" w:hAnsi="宋体" w:cs="Times New Roman" w:hint="eastAsia"/>
                <w:szCs w:val="21"/>
                <w:lang w:eastAsia="zh-Hans"/>
              </w:rPr>
              <w:t>，</w:t>
            </w:r>
            <w:r>
              <w:rPr>
                <w:rFonts w:ascii="宋体" w:hAnsi="宋体" w:cs="Times New Roman" w:hint="eastAsia"/>
                <w:szCs w:val="21"/>
                <w:lang w:val="en-US" w:eastAsia="zh-Hans"/>
              </w:rPr>
              <w:t>保证采集录制效果</w:t>
            </w:r>
            <w:r>
              <w:rPr>
                <w:rFonts w:ascii="宋体" w:hAnsi="宋体" w:cs="Times New Roman" w:hint="eastAsia"/>
                <w:szCs w:val="21"/>
                <w:lang w:eastAsia="zh-Hans"/>
              </w:rPr>
              <w:t>。</w:t>
            </w:r>
          </w:p>
          <w:p>
            <w:pPr>
              <w:widowControl/>
              <w:jc w:val="left"/>
              <w:textAlignment w:val="center"/>
              <w:rPr>
                <w:rFonts w:ascii="宋体" w:hAnsi="宋体" w:hint="eastAsia"/>
                <w:szCs w:val="21"/>
                <w:lang w:eastAsia="zh-Hans"/>
              </w:rPr>
            </w:pPr>
            <w:r>
              <w:rPr>
                <w:rFonts w:ascii="宋体" w:hAnsi="宋体" w:cs="Times New Roman" w:hint="eastAsia"/>
                <w:szCs w:val="21"/>
                <w:lang w:val="en-US" w:eastAsia="zh-CN"/>
              </w:rPr>
              <w:t>3</w:t>
            </w:r>
            <w:r>
              <w:rPr>
                <w:rFonts w:ascii="宋体" w:hAnsi="宋体" w:cs="Times New Roman" w:hint="eastAsia"/>
                <w:szCs w:val="21"/>
                <w:lang w:val="en-US" w:eastAsia="zh-Hans"/>
              </w:rPr>
              <w:t>▲.为保障使用过程中的用眼安全</w:t>
            </w:r>
            <w:r>
              <w:rPr>
                <w:rFonts w:ascii="宋体" w:hAnsi="宋体" w:cs="Times New Roman" w:hint="eastAsia"/>
                <w:szCs w:val="21"/>
                <w:lang w:eastAsia="zh-Hans"/>
              </w:rPr>
              <w:t>，</w:t>
            </w:r>
            <w:r>
              <w:rPr>
                <w:rFonts w:ascii="宋体" w:hAnsi="宋体" w:cs="Times New Roman" w:hint="eastAsia"/>
                <w:szCs w:val="21"/>
                <w:lang w:val="en-US" w:eastAsia="zh-Hans"/>
              </w:rPr>
              <w:t>整机视网膜蓝光在最大危害状况下</w:t>
            </w:r>
            <w:r>
              <w:rPr>
                <w:rFonts w:ascii="宋体" w:hAnsi="宋体" w:cs="Times New Roman" w:hint="eastAsia"/>
                <w:szCs w:val="21"/>
                <w:lang w:eastAsia="zh-Hans"/>
              </w:rPr>
              <w:t>（</w:t>
            </w:r>
            <w:r>
              <w:rPr>
                <w:rFonts w:ascii="宋体" w:hAnsi="宋体" w:cs="Times New Roman" w:hint="eastAsia"/>
                <w:szCs w:val="21"/>
                <w:lang w:val="en-US" w:eastAsia="zh-Hans"/>
              </w:rPr>
              <w:t>LB≤</w:t>
            </w:r>
            <w:r>
              <w:rPr>
                <w:rFonts w:ascii="宋体" w:hAnsi="宋体" w:cs="Times New Roman" w:hint="eastAsia"/>
                <w:szCs w:val="21"/>
                <w:lang w:eastAsia="zh-Hans"/>
              </w:rPr>
              <w:t>0</w:t>
            </w:r>
            <w:r>
              <w:rPr>
                <w:rFonts w:ascii="宋体" w:hAnsi="宋体" w:cs="Times New Roman" w:hint="eastAsia"/>
                <w:szCs w:val="21"/>
                <w:lang w:val="en-US" w:eastAsia="zh-Hans"/>
              </w:rPr>
              <w:t>.</w:t>
            </w:r>
            <w:r>
              <w:rPr>
                <w:rFonts w:ascii="宋体" w:hAnsi="宋体" w:cs="Times New Roman" w:hint="eastAsia"/>
                <w:szCs w:val="21"/>
                <w:lang w:eastAsia="zh-Hans"/>
              </w:rPr>
              <w:t>55），</w:t>
            </w:r>
            <w:r>
              <w:rPr>
                <w:rFonts w:ascii="宋体" w:hAnsi="宋体" w:cs="Times New Roman" w:hint="eastAsia"/>
                <w:szCs w:val="21"/>
                <w:lang w:val="en-US" w:eastAsia="zh-Hans"/>
              </w:rPr>
              <w:t>符合IEC</w:t>
            </w:r>
            <w:r>
              <w:rPr>
                <w:rFonts w:ascii="宋体" w:hAnsi="宋体" w:cs="Times New Roman" w:hint="eastAsia"/>
                <w:szCs w:val="21"/>
                <w:lang w:eastAsia="zh-Hans"/>
              </w:rPr>
              <w:t>62471</w:t>
            </w:r>
            <w:r>
              <w:rPr>
                <w:rFonts w:ascii="宋体" w:hAnsi="宋体" w:cs="Times New Roman" w:hint="eastAsia"/>
                <w:szCs w:val="21"/>
                <w:lang w:val="en-US" w:eastAsia="zh-Hans"/>
              </w:rPr>
              <w:t>标准</w:t>
            </w:r>
            <w:r>
              <w:rPr>
                <w:rFonts w:ascii="宋体" w:hAnsi="宋体" w:cs="Times New Roman" w:hint="eastAsia"/>
                <w:szCs w:val="21"/>
                <w:lang w:eastAsia="zh-Hans"/>
              </w:rPr>
              <w:t>。</w:t>
            </w:r>
            <w:r>
              <w:rPr>
                <w:rFonts w:ascii="宋体" w:hAnsi="宋体" w:cs="Times New Roman" w:hint="eastAsia"/>
                <w:szCs w:val="21"/>
                <w:lang w:val="en-US" w:eastAsia="zh-Hans"/>
              </w:rPr>
              <w:t>（提供国家广播电视产品质量监督检验中心所出具的权威检测报告复印件并加盖厂家公章）</w:t>
            </w:r>
          </w:p>
          <w:p>
            <w:pPr>
              <w:widowControl/>
              <w:jc w:val="left"/>
              <w:textAlignment w:val="center"/>
              <w:rPr>
                <w:rFonts w:ascii="宋体" w:hAnsi="宋体" w:hint="eastAsia"/>
                <w:szCs w:val="21"/>
                <w:lang w:eastAsia="zh-Hans"/>
              </w:rPr>
            </w:pPr>
            <w:r>
              <w:rPr>
                <w:rFonts w:ascii="宋体" w:hAnsi="宋体" w:cs="Times New Roman" w:hint="eastAsia"/>
                <w:szCs w:val="21"/>
                <w:lang w:val="en-US" w:eastAsia="zh-CN"/>
              </w:rPr>
              <w:t>4</w:t>
            </w:r>
            <w:r>
              <w:rPr>
                <w:rFonts w:ascii="宋体" w:hAnsi="宋体" w:cs="Times New Roman" w:hint="eastAsia"/>
                <w:szCs w:val="21"/>
                <w:lang w:val="en-US" w:eastAsia="zh-Hans"/>
              </w:rPr>
              <w:t>.整机前置USB接口配备防撞挡板设计</w:t>
            </w:r>
            <w:r>
              <w:rPr>
                <w:rFonts w:ascii="宋体" w:hAnsi="宋体" w:cs="Times New Roman" w:hint="eastAsia"/>
                <w:szCs w:val="21"/>
                <w:lang w:eastAsia="zh-Hans"/>
              </w:rPr>
              <w:t>，</w:t>
            </w:r>
            <w:r>
              <w:rPr>
                <w:rFonts w:ascii="宋体" w:hAnsi="宋体" w:cs="Times New Roman" w:hint="eastAsia"/>
                <w:szCs w:val="21"/>
                <w:lang w:val="en-US" w:eastAsia="zh-Hans"/>
              </w:rPr>
              <w:t>可通过转轴翻转挡板</w:t>
            </w:r>
            <w:r>
              <w:rPr>
                <w:rFonts w:ascii="宋体" w:hAnsi="宋体" w:cs="Times New Roman" w:hint="eastAsia"/>
                <w:szCs w:val="21"/>
                <w:lang w:eastAsia="zh-Hans"/>
              </w:rPr>
              <w:t>，</w:t>
            </w:r>
            <w:r>
              <w:rPr>
                <w:rFonts w:ascii="宋体" w:hAnsi="宋体" w:cs="Times New Roman" w:hint="eastAsia"/>
                <w:szCs w:val="21"/>
                <w:lang w:val="en-US" w:eastAsia="zh-Hans"/>
              </w:rPr>
              <w:t>保护推拉黑板过程中U盘设备的使用安全</w:t>
            </w:r>
            <w:r>
              <w:rPr>
                <w:rFonts w:ascii="宋体" w:hAnsi="宋体" w:cs="Times New Roman" w:hint="eastAsia"/>
                <w:szCs w:val="21"/>
                <w:lang w:eastAsia="zh-Hans"/>
              </w:rPr>
              <w:t>。</w:t>
            </w:r>
          </w:p>
          <w:p>
            <w:pPr>
              <w:widowControl/>
              <w:jc w:val="left"/>
              <w:textAlignment w:val="center"/>
              <w:rPr>
                <w:rFonts w:ascii="宋体" w:hAnsi="宋体" w:hint="eastAsia"/>
                <w:szCs w:val="21"/>
                <w:lang w:eastAsia="zh-Hans"/>
              </w:rPr>
            </w:pPr>
            <w:r>
              <w:rPr>
                <w:rFonts w:ascii="宋体" w:hAnsi="宋体" w:cs="Times New Roman" w:hint="eastAsia"/>
                <w:szCs w:val="21"/>
                <w:lang w:val="en-US" w:eastAsia="zh-CN"/>
              </w:rPr>
              <w:t>5</w:t>
            </w:r>
            <w:r>
              <w:rPr>
                <w:rFonts w:ascii="宋体" w:hAnsi="宋体" w:cs="Times New Roman" w:hint="eastAsia"/>
                <w:szCs w:val="21"/>
                <w:lang w:eastAsia="zh-Hans"/>
              </w:rPr>
              <w:t>.</w:t>
            </w:r>
            <w:r>
              <w:rPr>
                <w:rFonts w:ascii="宋体" w:hAnsi="宋体" w:cs="Times New Roman" w:hint="eastAsia"/>
                <w:szCs w:val="21"/>
                <w:lang w:val="en-US" w:eastAsia="zh-Hans"/>
              </w:rPr>
              <w:t>整机支持蓝牙Bluetooth4.2标准，内置蓝牙模块工作距离不低于</w:t>
            </w:r>
            <w:r>
              <w:rPr>
                <w:rFonts w:ascii="宋体" w:hAnsi="宋体" w:cs="Times New Roman" w:hint="eastAsia"/>
                <w:szCs w:val="21"/>
                <w:lang w:eastAsia="zh-Hans"/>
              </w:rPr>
              <w:t>12</w:t>
            </w:r>
            <w:r>
              <w:rPr>
                <w:rFonts w:ascii="宋体" w:hAnsi="宋体" w:cs="Times New Roman" w:hint="eastAsia"/>
                <w:szCs w:val="21"/>
                <w:lang w:val="en-US" w:eastAsia="zh-Hans"/>
              </w:rPr>
              <w:t>米</w:t>
            </w:r>
            <w:r>
              <w:rPr>
                <w:rFonts w:ascii="宋体" w:hAnsi="宋体" w:cs="Times New Roman" w:hint="eastAsia"/>
                <w:szCs w:val="21"/>
                <w:lang w:eastAsia="zh-Hans"/>
              </w:rPr>
              <w:t>，</w:t>
            </w:r>
            <w:r>
              <w:rPr>
                <w:rFonts w:ascii="宋体" w:hAnsi="宋体" w:cs="Times New Roman" w:hint="eastAsia"/>
                <w:szCs w:val="21"/>
                <w:lang w:val="en-US" w:eastAsia="zh-Hans"/>
              </w:rPr>
              <w:t>能连接外部蓝牙音箱播放音频，也能接收外部手机通过蓝牙发送的文件。</w:t>
            </w:r>
          </w:p>
          <w:p>
            <w:pPr>
              <w:widowControl/>
              <w:jc w:val="left"/>
              <w:textAlignment w:val="center"/>
              <w:rPr>
                <w:rFonts w:ascii="宋体" w:hAnsi="宋体" w:hint="eastAsia"/>
                <w:szCs w:val="21"/>
                <w:lang w:eastAsia="zh-Hans"/>
              </w:rPr>
            </w:pPr>
            <w:r>
              <w:rPr>
                <w:rFonts w:ascii="宋体" w:hAnsi="宋体" w:cs="Times New Roman" w:hint="eastAsia"/>
                <w:szCs w:val="21"/>
                <w:lang w:val="en-US" w:eastAsia="zh-CN"/>
              </w:rPr>
              <w:t>6</w:t>
            </w:r>
            <w:r>
              <w:rPr>
                <w:rFonts w:ascii="宋体" w:hAnsi="宋体" w:cs="Times New Roman" w:hint="eastAsia"/>
                <w:szCs w:val="21"/>
                <w:lang w:val="en-US" w:eastAsia="zh-Hans"/>
              </w:rPr>
              <w:t>.▲Wi-Fi和AP热点均支持双频2.4G &amp; 5G ，Wi-Fi满足IEEE 802.11 a/b/g/n/ac标准</w:t>
            </w:r>
            <w:r>
              <w:rPr>
                <w:rFonts w:ascii="宋体" w:hAnsi="宋体" w:cs="Times New Roman" w:hint="eastAsia"/>
                <w:szCs w:val="21"/>
                <w:lang w:eastAsia="zh-Hans"/>
              </w:rPr>
              <w:t>，</w:t>
            </w:r>
            <w:r>
              <w:rPr>
                <w:rFonts w:ascii="宋体" w:hAnsi="宋体" w:cs="Times New Roman" w:hint="eastAsia"/>
                <w:szCs w:val="21"/>
                <w:lang w:val="en-US" w:eastAsia="zh-Hans"/>
              </w:rPr>
              <w:t>且Wi-Fi和AP热点工作距离≥12米</w:t>
            </w:r>
            <w:r>
              <w:rPr>
                <w:rFonts w:ascii="宋体" w:hAnsi="宋体" w:cs="Times New Roman" w:hint="eastAsia"/>
                <w:szCs w:val="21"/>
                <w:lang w:eastAsia="zh-Hans"/>
              </w:rPr>
              <w:t>，</w:t>
            </w:r>
            <w:r>
              <w:rPr>
                <w:rFonts w:ascii="宋体" w:hAnsi="宋体" w:cs="Times New Roman" w:hint="eastAsia"/>
                <w:szCs w:val="21"/>
                <w:lang w:val="en-US" w:eastAsia="zh-Hans"/>
              </w:rPr>
              <w:t>保障日常使用场景中的连接更加稳定</w:t>
            </w:r>
            <w:r>
              <w:rPr>
                <w:rFonts w:ascii="宋体" w:hAnsi="宋体" w:cs="Times New Roman" w:hint="eastAsia"/>
                <w:szCs w:val="21"/>
                <w:lang w:eastAsia="zh-Hans"/>
              </w:rPr>
              <w:t>。</w:t>
            </w:r>
            <w:r>
              <w:rPr>
                <w:rFonts w:ascii="宋体" w:hAnsi="宋体" w:cs="Times New Roman" w:hint="eastAsia"/>
                <w:szCs w:val="21"/>
                <w:lang w:val="en-US" w:eastAsia="zh-Hans"/>
              </w:rPr>
              <w:t>（提供国家广播电视产品质量监督检验中心所出具的权威检测报告复印件并加盖厂家公章）</w:t>
            </w:r>
          </w:p>
          <w:p>
            <w:pPr>
              <w:widowControl/>
              <w:jc w:val="left"/>
              <w:textAlignment w:val="center"/>
              <w:rPr>
                <w:rFonts w:ascii="宋体" w:hAnsi="宋体" w:hint="eastAsia"/>
                <w:szCs w:val="21"/>
              </w:rPr>
            </w:pPr>
            <w:r>
              <w:rPr>
                <w:rFonts w:ascii="宋体" w:hAnsi="宋体" w:cs="Times New Roman" w:hint="eastAsia"/>
                <w:szCs w:val="21"/>
                <w:lang w:val="en-US" w:eastAsia="zh-CN"/>
              </w:rPr>
              <w:t>7</w:t>
            </w:r>
            <w:r>
              <w:rPr>
                <w:rFonts w:ascii="宋体" w:hAnsi="宋体" w:cs="Times New Roman" w:hint="eastAsia"/>
                <w:szCs w:val="21"/>
                <w:lang w:val="en-US" w:eastAsia="zh-Hans"/>
              </w:rPr>
              <w:t>.▲整机具备至少6个前置按键，实现老师开关机、调出中控菜单、音量调节、护眼模式开关、屏幕内容录制的操作。（提供国家广播电视产品质量监督检验中心所出具的权威检测报告复印件并加盖厂家公章）</w:t>
            </w:r>
          </w:p>
          <w:p>
            <w:pPr>
              <w:widowControl/>
              <w:jc w:val="left"/>
              <w:textAlignment w:val="center"/>
              <w:rPr>
                <w:rFonts w:ascii="宋体" w:hAnsi="宋体" w:hint="eastAsia"/>
                <w:szCs w:val="21"/>
                <w:lang w:eastAsia="zh-Hans"/>
              </w:rPr>
            </w:pPr>
            <w:r>
              <w:rPr>
                <w:rFonts w:ascii="宋体" w:hAnsi="宋体" w:cs="Times New Roman" w:hint="eastAsia"/>
                <w:szCs w:val="21"/>
                <w:lang w:val="en-US" w:eastAsia="zh-Hans"/>
              </w:rPr>
              <w:t>二、主要功能</w:t>
            </w:r>
          </w:p>
          <w:p>
            <w:pPr>
              <w:widowControl/>
              <w:jc w:val="left"/>
              <w:textAlignment w:val="center"/>
              <w:rPr>
                <w:rFonts w:ascii="宋体" w:hAnsi="宋体" w:hint="eastAsia"/>
                <w:szCs w:val="21"/>
                <w:lang w:eastAsia="zh-Hans"/>
              </w:rPr>
            </w:pPr>
            <w:r>
              <w:rPr>
                <w:rFonts w:ascii="宋体" w:hAnsi="宋体" w:cs="Times New Roman" w:hint="eastAsia"/>
                <w:szCs w:val="21"/>
                <w:lang w:val="en-US" w:eastAsia="zh-Hans"/>
              </w:rPr>
              <w:t>1.▲外接电脑设备通过标准TypeC线连接至整机TypeC口，可直接调用整机内置的摄像头、麦克风、扬声器，在外接电脑即可拍摄教室画面。（需提供国家广播电视产品质量监督检验中心所出具的检测报告复印件并加盖厂家公章）。</w:t>
            </w:r>
          </w:p>
          <w:p>
            <w:pPr>
              <w:widowControl/>
              <w:jc w:val="left"/>
              <w:textAlignment w:val="center"/>
              <w:rPr>
                <w:rFonts w:ascii="宋体" w:hAnsi="宋体" w:hint="eastAsia"/>
                <w:szCs w:val="21"/>
                <w:lang w:eastAsia="zh-Hans"/>
              </w:rPr>
            </w:pPr>
            <w:r>
              <w:rPr>
                <w:rFonts w:ascii="宋体" w:hAnsi="宋体" w:cs="Times New Roman" w:hint="eastAsia"/>
                <w:szCs w:val="21"/>
                <w:lang w:val="en-US" w:eastAsia="zh-Hans"/>
              </w:rPr>
              <w:t>2.整机能感应并自动调节屏幕亮度来达到在不同光照环境下的不同亮度显示效果，此功能可自行开启或关闭。</w:t>
            </w:r>
          </w:p>
          <w:p>
            <w:pPr>
              <w:widowControl/>
              <w:jc w:val="left"/>
              <w:textAlignment w:val="center"/>
              <w:rPr>
                <w:rFonts w:ascii="宋体" w:hAnsi="宋体" w:hint="eastAsia"/>
                <w:szCs w:val="21"/>
                <w:lang w:eastAsia="zh-Hans"/>
              </w:rPr>
            </w:pPr>
            <w:r>
              <w:rPr>
                <w:rFonts w:ascii="宋体" w:hAnsi="宋体" w:cs="Times New Roman" w:hint="eastAsia"/>
                <w:szCs w:val="21"/>
                <w:lang w:eastAsia="zh-Hans"/>
              </w:rPr>
              <w:t>3</w:t>
            </w:r>
            <w:r>
              <w:rPr>
                <w:rFonts w:ascii="宋体" w:hAnsi="宋体" w:cs="Times New Roman" w:hint="eastAsia"/>
                <w:szCs w:val="21"/>
                <w:lang w:val="en-US" w:eastAsia="zh-Hans"/>
              </w:rPr>
              <w:t>.▲整机关机状态下，通过长按电源键进入设置界面后，可点击屏幕选择恢复整机系统及Windows操作系统到出厂默认状态，无需额外工具辅助。（需提供国家广播电视产品质量监督检验中心所出具的检测报告复印件并加盖厂家公章）。</w:t>
            </w:r>
          </w:p>
          <w:p>
            <w:pPr>
              <w:widowControl/>
              <w:jc w:val="left"/>
              <w:textAlignment w:val="center"/>
              <w:rPr>
                <w:rFonts w:ascii="宋体" w:hAnsi="宋体" w:hint="eastAsia"/>
                <w:szCs w:val="21"/>
                <w:lang w:eastAsia="zh-Hans"/>
              </w:rPr>
            </w:pPr>
            <w:r>
              <w:rPr>
                <w:rFonts w:ascii="宋体" w:hAnsi="宋体" w:cs="Times New Roman" w:hint="eastAsia"/>
                <w:szCs w:val="21"/>
                <w:lang w:val="en-US" w:eastAsia="zh-Hans"/>
              </w:rPr>
              <w:t>三、内置组件</w:t>
            </w:r>
          </w:p>
          <w:p>
            <w:pPr>
              <w:widowControl/>
              <w:jc w:val="left"/>
              <w:textAlignment w:val="center"/>
              <w:rPr>
                <w:rFonts w:ascii="宋体" w:hAnsi="宋体" w:hint="eastAsia"/>
                <w:szCs w:val="21"/>
                <w:lang w:eastAsia="zh-Hans"/>
              </w:rPr>
            </w:pPr>
            <w:r>
              <w:rPr>
                <w:rFonts w:ascii="宋体" w:hAnsi="宋体" w:cs="Times New Roman" w:hint="eastAsia"/>
                <w:szCs w:val="21"/>
                <w:lang w:eastAsia="zh-Hans"/>
              </w:rPr>
              <w:t>1</w:t>
            </w:r>
            <w:r>
              <w:rPr>
                <w:rFonts w:ascii="宋体" w:hAnsi="宋体" w:cs="Times New Roman" w:hint="eastAsia"/>
                <w:szCs w:val="21"/>
                <w:lang w:val="en-US" w:eastAsia="zh-Hans"/>
              </w:rPr>
              <w:t>.整机内置触摸中控菜单，将信号源通道切换、护眼、声音调节等整合到同一菜单下，无须实体按键，在任意显示通道下均可通过手势在屏幕上调取该触摸菜单。</w:t>
            </w:r>
          </w:p>
          <w:p>
            <w:pPr>
              <w:widowControl/>
              <w:jc w:val="left"/>
              <w:textAlignment w:val="center"/>
              <w:rPr>
                <w:rFonts w:ascii="宋体" w:hAnsi="宋体" w:hint="eastAsia"/>
                <w:szCs w:val="21"/>
                <w:lang w:eastAsia="zh-Hans"/>
              </w:rPr>
            </w:pPr>
            <w:r>
              <w:rPr>
                <w:rFonts w:ascii="宋体" w:hAnsi="宋体" w:cs="Times New Roman" w:hint="eastAsia"/>
                <w:szCs w:val="21"/>
                <w:lang w:eastAsia="zh-Hans"/>
              </w:rPr>
              <w:t>2</w:t>
            </w:r>
            <w:r>
              <w:rPr>
                <w:rFonts w:ascii="宋体" w:hAnsi="宋体" w:cs="Times New Roman" w:hint="eastAsia"/>
                <w:szCs w:val="21"/>
                <w:lang w:val="en-US" w:eastAsia="zh-Hans"/>
              </w:rPr>
              <w:t>.内置无线网络模块，网络连接性能更佳，无需连接外设无线模块。支持整机不另设外接天线或网卡情况下，可通过本机自带无线模块进行网络连接与AP无线热点的发射。</w:t>
            </w:r>
          </w:p>
          <w:p>
            <w:pPr>
              <w:widowControl/>
              <w:jc w:val="left"/>
              <w:textAlignment w:val="center"/>
              <w:rPr>
                <w:rFonts w:ascii="宋体" w:hAnsi="宋体" w:hint="eastAsia"/>
                <w:szCs w:val="21"/>
                <w:lang w:eastAsia="zh-Hans"/>
              </w:rPr>
            </w:pPr>
            <w:r>
              <w:rPr>
                <w:rFonts w:ascii="宋体" w:hAnsi="宋体" w:cs="Times New Roman" w:hint="eastAsia"/>
                <w:szCs w:val="21"/>
                <w:lang w:val="en-US" w:eastAsia="zh-Hans"/>
              </w:rPr>
              <w:t>四、嵌入式系统</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extDirection w:val="tbRlV"/>
            <w:vAlign w:val="center"/>
          </w:tcP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tc>
      </w:tr>
    </w:tbl>
    <w:p>
      <w:pPr>
        <w:sectPr>
          <w:headerReference w:type="default" r:id="rId60"/>
          <w:footerReference w:type="default" r:id="rId61"/>
          <w:headerReference w:type="first" r:id="rId62"/>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11" w:chapStyle="1" w:chapSep="enDash"/>
          <w:cols w:num="1" w:space="720"/>
          <w:titlePg w:val="0"/>
          <w:rtlGutter w:val="0"/>
          <w:docGrid w:linePitch="312" w:charSpace="0"/>
        </w:sectPr>
      </w:pPr>
    </w:p>
    <w:tbl>
      <w:tblPr>
        <w:tblStyle w:val="TableNormal"/>
        <w:tblW w:w="8541" w:type="dxa"/>
        <w:tblInd w:w="0" w:type="dxa"/>
        <w:shd w:val="clear" w:color="auto" w:fill="auto"/>
        <w:tblLayout w:type="fixed"/>
        <w:tblCellMar>
          <w:top w:w="0" w:type="dxa"/>
          <w:left w:w="0" w:type="dxa"/>
          <w:bottom w:w="0" w:type="dxa"/>
          <w:right w:w="0" w:type="dxa"/>
        </w:tblCellMar>
      </w:tblPr>
      <w:tblGrid>
        <w:gridCol w:w="715"/>
        <w:gridCol w:w="873"/>
        <w:gridCol w:w="3918"/>
        <w:gridCol w:w="1826"/>
        <w:gridCol w:w="663"/>
        <w:gridCol w:w="546"/>
      </w:tblGrid>
      <w:tr>
        <w:tblPrEx>
          <w:tblW w:w="8541" w:type="dxa"/>
          <w:tblInd w:w="0" w:type="dxa"/>
          <w:shd w:val="clear" w:color="auto" w:fill="auto"/>
          <w:tblLayout w:type="fixed"/>
          <w:tblCellMar>
            <w:top w:w="0" w:type="dxa"/>
            <w:left w:w="0" w:type="dxa"/>
            <w:bottom w:w="0" w:type="dxa"/>
            <w:right w:w="0" w:type="dxa"/>
          </w:tblCellMar>
        </w:tblPrEx>
        <w:trPr>
          <w:trHeight w:val="1800"/>
        </w:trPr>
        <w:tc>
          <w:tcPr>
            <w:tcW w:w="71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tc>
        <w:tc>
          <w:tcPr>
            <w:tcW w:w="87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tc>
        <w:tc>
          <w:tcPr>
            <w:tcW w:w="391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pPr>
              <w:widowControl/>
              <w:jc w:val="left"/>
              <w:textAlignment w:val="center"/>
              <w:rPr>
                <w:rFonts w:ascii="宋体" w:hAnsi="宋体" w:hint="eastAsia"/>
                <w:szCs w:val="21"/>
                <w:lang w:eastAsia="zh-Hans"/>
              </w:rPr>
            </w:pPr>
            <w:r>
              <w:rPr>
                <w:rFonts w:ascii="宋体" w:hAnsi="宋体" w:cs="Times New Roman" w:hint="eastAsia"/>
                <w:szCs w:val="21"/>
                <w:lang w:eastAsia="zh-Hans"/>
              </w:rPr>
              <w:t>1</w:t>
            </w:r>
            <w:r>
              <w:rPr>
                <w:rFonts w:ascii="宋体" w:hAnsi="宋体" w:cs="Times New Roman" w:hint="eastAsia"/>
                <w:szCs w:val="21"/>
                <w:lang w:val="en-US" w:eastAsia="zh-Hans"/>
              </w:rPr>
              <w:t>.▲整机内置系统版本不低于Android9.0，内存≥2GB，存储空间≥8GB。（需提供国家广播电视产品质量监督检验中心所出具的检测报告复印件并加盖厂家公章）</w:t>
            </w:r>
          </w:p>
          <w:p>
            <w:pPr>
              <w:widowControl/>
              <w:jc w:val="left"/>
              <w:textAlignment w:val="center"/>
              <w:rPr>
                <w:rFonts w:ascii="宋体" w:hAnsi="宋体" w:hint="eastAsia"/>
                <w:szCs w:val="21"/>
                <w:lang w:eastAsia="zh-Hans"/>
              </w:rPr>
            </w:pPr>
            <w:r>
              <w:rPr>
                <w:rFonts w:ascii="宋体" w:hAnsi="宋体" w:cs="Times New Roman" w:hint="eastAsia"/>
                <w:szCs w:val="21"/>
                <w:lang w:eastAsia="zh-Hans"/>
              </w:rPr>
              <w:t>2</w:t>
            </w:r>
            <w:r>
              <w:rPr>
                <w:rFonts w:ascii="宋体" w:hAnsi="宋体" w:cs="Times New Roman" w:hint="eastAsia"/>
                <w:szCs w:val="21"/>
                <w:lang w:val="en-US" w:eastAsia="zh-Hans"/>
              </w:rPr>
              <w:t>.嵌入式Android操作系统下，白板支持对已经书写的笔迹和形状的颜色进行更换</w:t>
            </w:r>
            <w:r>
              <w:rPr>
                <w:rFonts w:ascii="宋体" w:hAnsi="宋体" w:cs="Times New Roman" w:hint="eastAsia"/>
                <w:szCs w:val="21"/>
                <w:lang w:eastAsia="zh-Hans"/>
              </w:rPr>
              <w:t>，</w:t>
            </w:r>
            <w:r>
              <w:rPr>
                <w:rFonts w:ascii="宋体" w:hAnsi="宋体" w:cs="Times New Roman" w:hint="eastAsia"/>
                <w:szCs w:val="21"/>
                <w:lang w:val="en-US" w:eastAsia="zh-Hans"/>
              </w:rPr>
              <w:t>支持更换不同背景颜色，同时提供学科专用背景，如：五线谱、信纸、田字格、英文格、篮球和足球场地平面图。</w:t>
            </w:r>
          </w:p>
          <w:p>
            <w:pPr>
              <w:widowControl/>
              <w:jc w:val="left"/>
              <w:textAlignment w:val="center"/>
              <w:rPr>
                <w:rFonts w:ascii="宋体" w:hAnsi="宋体" w:hint="eastAsia"/>
                <w:szCs w:val="21"/>
                <w:lang w:eastAsia="zh-Hans"/>
              </w:rPr>
            </w:pPr>
            <w:r>
              <w:rPr>
                <w:rFonts w:ascii="宋体" w:hAnsi="宋体" w:cs="Times New Roman" w:hint="eastAsia"/>
                <w:szCs w:val="21"/>
                <w:lang w:eastAsia="zh-Hans"/>
              </w:rPr>
              <w:t>3</w:t>
            </w:r>
            <w:r>
              <w:rPr>
                <w:rFonts w:ascii="宋体" w:hAnsi="宋体" w:cs="Times New Roman" w:hint="eastAsia"/>
                <w:szCs w:val="21"/>
                <w:lang w:val="en-US" w:eastAsia="zh-Hans"/>
              </w:rPr>
              <w:t>.嵌入式系统内置互动白板支持十笔书写及根据手掌接触面积自动调节擦除大小，白板书写内容可导出PDF、IWB、SVG等格式。支持10种以上平面图形工具，支持8种以上立体图形工具。</w:t>
            </w:r>
          </w:p>
          <w:p>
            <w:pPr>
              <w:widowControl/>
              <w:jc w:val="left"/>
              <w:textAlignment w:val="center"/>
              <w:rPr>
                <w:rFonts w:ascii="宋体" w:hAnsi="宋体" w:hint="eastAsia"/>
                <w:szCs w:val="21"/>
                <w:lang w:eastAsia="zh-Hans"/>
              </w:rPr>
            </w:pPr>
            <w:r>
              <w:rPr>
                <w:rFonts w:ascii="宋体" w:hAnsi="宋体" w:cs="Times New Roman" w:hint="eastAsia"/>
                <w:szCs w:val="21"/>
                <w:lang w:eastAsia="zh-Hans"/>
              </w:rPr>
              <w:t>4</w:t>
            </w:r>
            <w:r>
              <w:rPr>
                <w:rFonts w:ascii="宋体" w:hAnsi="宋体" w:cs="Times New Roman" w:hint="eastAsia"/>
                <w:szCs w:val="21"/>
                <w:lang w:val="en-US" w:eastAsia="zh-Hans"/>
              </w:rPr>
              <w:t>.嵌入式系统可实现windows系统中常用的教学应用功能，如白板书写、WPS软件使用、网页浏览。内置互动白板支持全局漫游，并能在工具栏中对全局内容进行预览和移动。</w:t>
            </w:r>
          </w:p>
          <w:p>
            <w:pPr>
              <w:widowControl/>
              <w:jc w:val="left"/>
              <w:textAlignment w:val="center"/>
              <w:rPr>
                <w:rFonts w:ascii="宋体" w:hAnsi="宋体" w:hint="eastAsia"/>
                <w:szCs w:val="21"/>
                <w:lang w:eastAsia="zh-Hans"/>
              </w:rPr>
            </w:pPr>
            <w:r>
              <w:rPr>
                <w:rFonts w:ascii="宋体" w:hAnsi="宋体" w:cs="Times New Roman" w:hint="eastAsia"/>
                <w:szCs w:val="21"/>
                <w:lang w:val="en-US" w:eastAsia="zh-Hans"/>
              </w:rPr>
              <w:t>五、OPS模块</w:t>
            </w:r>
          </w:p>
          <w:p>
            <w:pPr>
              <w:widowControl/>
              <w:jc w:val="left"/>
              <w:textAlignment w:val="center"/>
              <w:rPr>
                <w:rFonts w:ascii="宋体" w:hAnsi="宋体" w:hint="eastAsia"/>
                <w:szCs w:val="21"/>
                <w:lang w:eastAsia="zh-Hans"/>
              </w:rPr>
            </w:pPr>
            <w:r>
              <w:rPr>
                <w:rFonts w:ascii="宋体" w:hAnsi="宋体" w:cs="Times New Roman" w:hint="eastAsia"/>
                <w:szCs w:val="21"/>
                <w:lang w:val="en-US" w:eastAsia="zh-Hans"/>
              </w:rPr>
              <w:t>1.主板采用H310芯片组，搭载Intel 8代酷睿系列 i</w:t>
            </w:r>
            <w:r>
              <w:rPr>
                <w:rFonts w:ascii="宋体" w:hAnsi="宋体" w:cs="Times New Roman" w:hint="eastAsia"/>
                <w:szCs w:val="21"/>
                <w:lang w:val="en-US" w:eastAsia="zh-CN"/>
              </w:rPr>
              <w:t>3</w:t>
            </w:r>
            <w:r>
              <w:rPr>
                <w:rFonts w:ascii="宋体" w:hAnsi="宋体" w:cs="Times New Roman" w:hint="eastAsia"/>
                <w:szCs w:val="21"/>
                <w:lang w:val="en-US" w:eastAsia="zh-Hans"/>
              </w:rPr>
              <w:t>CPU；内存：</w:t>
            </w:r>
            <w:r>
              <w:rPr>
                <w:rFonts w:ascii="宋体" w:hAnsi="宋体" w:cs="Times New Roman" w:hint="eastAsia"/>
                <w:szCs w:val="21"/>
                <w:lang w:val="en-US" w:eastAsia="zh-CN"/>
              </w:rPr>
              <w:t>4</w:t>
            </w:r>
            <w:r>
              <w:rPr>
                <w:rFonts w:ascii="宋体" w:hAnsi="宋体" w:cs="Times New Roman" w:hint="eastAsia"/>
                <w:szCs w:val="21"/>
                <w:lang w:val="en-US" w:eastAsia="zh-Hans"/>
              </w:rPr>
              <w:t>GB DDR4笔记本内存或以上配置；硬盘：</w:t>
            </w:r>
            <w:r>
              <w:rPr>
                <w:rFonts w:ascii="宋体" w:hAnsi="宋体" w:cs="Times New Roman" w:hint="eastAsia"/>
                <w:szCs w:val="21"/>
                <w:lang w:val="en-US" w:eastAsia="zh-CN"/>
              </w:rPr>
              <w:t>128</w:t>
            </w:r>
            <w:r>
              <w:rPr>
                <w:rFonts w:ascii="宋体" w:hAnsi="宋体" w:cs="Times New Roman" w:hint="eastAsia"/>
                <w:szCs w:val="21"/>
                <w:lang w:val="en-US" w:eastAsia="zh-Hans"/>
              </w:rPr>
              <w:t>GB或以上SSD固态硬盘</w:t>
            </w:r>
          </w:p>
          <w:p>
            <w:pPr>
              <w:widowControl/>
              <w:jc w:val="left"/>
              <w:textAlignment w:val="center"/>
              <w:rPr>
                <w:rFonts w:ascii="宋体" w:hAnsi="宋体" w:hint="eastAsia"/>
                <w:szCs w:val="21"/>
                <w:lang w:eastAsia="zh-Hans"/>
              </w:rPr>
            </w:pPr>
            <w:r>
              <w:rPr>
                <w:rFonts w:ascii="宋体" w:hAnsi="宋体" w:cs="Times New Roman" w:hint="eastAsia"/>
                <w:szCs w:val="21"/>
                <w:lang w:val="en-US" w:eastAsia="zh-Hans"/>
              </w:rPr>
              <w:t>2.采用抽拉内置式模块化电脑，具有按压式卡扣，确保PC模块安装固定到位，同时无需工具就可快速拆卸电脑模块。采用针脚数小于等于40</w:t>
            </w:r>
            <w:r>
              <w:rPr>
                <w:rFonts w:ascii="宋体" w:hAnsi="宋体" w:cs="Times New Roman" w:hint="eastAsia"/>
                <w:szCs w:val="21"/>
                <w:lang w:eastAsia="zh-Hans"/>
              </w:rPr>
              <w:t xml:space="preserve"> </w:t>
            </w:r>
            <w:r>
              <w:rPr>
                <w:rFonts w:ascii="宋体" w:hAnsi="宋体" w:cs="Times New Roman" w:hint="eastAsia"/>
                <w:szCs w:val="21"/>
                <w:lang w:val="en-US" w:eastAsia="zh-Hans"/>
              </w:rPr>
              <w:t>pin</w:t>
            </w:r>
            <w:r>
              <w:rPr>
                <w:rFonts w:ascii="宋体" w:hAnsi="宋体" w:cs="Times New Roman" w:hint="eastAsia"/>
                <w:szCs w:val="21"/>
                <w:lang w:eastAsia="zh-Hans"/>
              </w:rPr>
              <w:t>万兆级接口，传输速率≥10Gbps。</w:t>
            </w:r>
          </w:p>
          <w:p>
            <w:pPr>
              <w:widowControl/>
              <w:jc w:val="left"/>
              <w:textAlignment w:val="center"/>
              <w:rPr>
                <w:rFonts w:ascii="宋体" w:hAnsi="宋体" w:hint="eastAsia"/>
                <w:szCs w:val="21"/>
                <w:lang w:eastAsia="zh-Hans"/>
              </w:rPr>
            </w:pPr>
            <w:r>
              <w:rPr>
                <w:rFonts w:ascii="宋体" w:hAnsi="宋体" w:cs="Times New Roman" w:hint="eastAsia"/>
                <w:szCs w:val="21"/>
                <w:lang w:val="en-US" w:eastAsia="zh-Hans"/>
              </w:rPr>
              <w:t>3.PC模块的USB接口须为冗余备份接口，在正常使用整机的内置摄像头、内置麦克风功能时，USB接口不被占用，确保教师有足够的接口外接存储设备及显示设备</w:t>
            </w:r>
          </w:p>
          <w:p>
            <w:pPr>
              <w:widowControl/>
              <w:jc w:val="left"/>
              <w:textAlignment w:val="center"/>
              <w:rPr>
                <w:rFonts w:ascii="宋体" w:hAnsi="宋体" w:hint="eastAsia"/>
                <w:szCs w:val="21"/>
                <w:lang w:eastAsia="zh-Hans"/>
              </w:rPr>
            </w:pPr>
            <w:r>
              <w:rPr>
                <w:rFonts w:ascii="宋体" w:hAnsi="宋体" w:cs="Times New Roman" w:hint="eastAsia"/>
                <w:szCs w:val="21"/>
                <w:lang w:val="en-US" w:eastAsia="zh-Hans"/>
              </w:rPr>
              <w:t>4.具有独立非外扩展的电脑USB接口：电脑上至少具备3路USB</w:t>
            </w:r>
            <w:r>
              <w:rPr>
                <w:rFonts w:ascii="宋体" w:hAnsi="宋体" w:cs="Times New Roman" w:hint="eastAsia"/>
                <w:szCs w:val="21"/>
                <w:lang w:eastAsia="zh-Hans"/>
              </w:rPr>
              <w:t xml:space="preserve"> </w:t>
            </w:r>
            <w:r>
              <w:rPr>
                <w:rFonts w:ascii="宋体" w:hAnsi="宋体" w:cs="Times New Roman" w:hint="eastAsia"/>
                <w:szCs w:val="21"/>
                <w:lang w:val="en-US" w:eastAsia="zh-Hans"/>
              </w:rPr>
              <w:t>3.0 TypeA接口</w:t>
            </w:r>
            <w:r>
              <w:rPr>
                <w:rFonts w:ascii="宋体" w:hAnsi="宋体" w:cs="Times New Roman" w:hint="eastAsia"/>
                <w:szCs w:val="21"/>
                <w:lang w:eastAsia="zh-Hans"/>
              </w:rPr>
              <w:t>，</w:t>
            </w:r>
            <w:r>
              <w:rPr>
                <w:rFonts w:ascii="宋体" w:hAnsi="宋体" w:cs="Times New Roman" w:hint="eastAsia"/>
                <w:szCs w:val="21"/>
                <w:lang w:val="en-US" w:eastAsia="zh-Hans"/>
              </w:rPr>
              <w:t>至少具备</w:t>
            </w:r>
            <w:r>
              <w:rPr>
                <w:rFonts w:ascii="宋体" w:hAnsi="宋体" w:cs="Times New Roman" w:hint="eastAsia"/>
                <w:szCs w:val="21"/>
                <w:lang w:eastAsia="zh-Hans"/>
              </w:rPr>
              <w:t>1</w:t>
            </w:r>
            <w:r>
              <w:rPr>
                <w:rFonts w:ascii="宋体" w:hAnsi="宋体" w:cs="Times New Roman" w:hint="eastAsia"/>
                <w:szCs w:val="21"/>
                <w:lang w:val="en-US" w:eastAsia="zh-Hans"/>
              </w:rPr>
              <w:t>路HDMI接口</w:t>
            </w:r>
          </w:p>
          <w:p>
            <w:pPr>
              <w:widowControl/>
              <w:jc w:val="left"/>
              <w:textAlignment w:val="center"/>
              <w:rPr>
                <w:rFonts w:ascii="宋体" w:hAnsi="宋体" w:hint="eastAsia"/>
                <w:szCs w:val="21"/>
              </w:rPr>
            </w:pPr>
            <w:r>
              <w:rPr>
                <w:rFonts w:ascii="宋体" w:hAnsi="宋体" w:cs="Times New Roman" w:hint="eastAsia"/>
                <w:szCs w:val="21"/>
                <w:lang w:val="en-US" w:eastAsia="zh-Hans"/>
              </w:rPr>
              <w:t>5.具有标准PC防盗锁孔，确保电脑模块安全防盗。</w:t>
            </w:r>
          </w:p>
          <w:p>
            <w:pPr>
              <w:keepNext w:val="0"/>
              <w:keepLines w:val="0"/>
              <w:widowControl/>
              <w:suppressLineNumbers w:val="0"/>
              <w:jc w:val="center"/>
              <w:textAlignment w:val="center"/>
              <w:rPr>
                <w:rFonts w:ascii="宋体" w:hAnsi="宋体" w:cs="宋体" w:hint="eastAsia"/>
                <w:i w:val="0"/>
                <w:color w:val="000000"/>
                <w:sz w:val="18"/>
                <w:szCs w:val="18"/>
                <w:u w:val="none"/>
              </w:rPr>
            </w:pP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extDirection w:val="tbRlV"/>
            <w:vAlign w:val="center"/>
          </w:tcPr>
          <w:p/>
        </w:tc>
        <w:tc>
          <w:tcPr>
            <w:tcW w:w="66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tc>
        <w:tc>
          <w:tcPr>
            <w:tcW w:w="546"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tc>
      </w:tr>
    </w:tbl>
    <w:p>
      <w:pPr>
        <w:pStyle w:val="NormalWeb"/>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ascii="宋体" w:eastAsia="宋体" w:hAnsi="宋体" w:cs="宋体" w:hint="eastAsia"/>
          <w:b w:val="0"/>
          <w:bCs w:val="0"/>
          <w:color w:val="auto"/>
          <w:sz w:val="21"/>
          <w:szCs w:val="21"/>
          <w:lang w:val="en-US" w:eastAsia="zh-CN" w:bidi="ar-SA"/>
        </w:rPr>
      </w:pPr>
    </w:p>
    <w:p>
      <w:pPr>
        <w:pStyle w:val="NormalWeb"/>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ascii="宋体" w:eastAsia="宋体" w:hAnsi="宋体" w:cs="宋体" w:hint="eastAsia"/>
          <w:b w:val="0"/>
          <w:bCs w:val="0"/>
          <w:color w:val="auto"/>
          <w:sz w:val="21"/>
          <w:szCs w:val="21"/>
          <w:lang w:val="en-US" w:eastAsia="zh-CN" w:bidi="ar-SA"/>
        </w:rPr>
      </w:pPr>
      <w:r>
        <w:rPr>
          <w:rFonts w:ascii="宋体" w:eastAsia="宋体" w:hAnsi="宋体" w:cs="宋体" w:hint="eastAsia"/>
          <w:b w:val="0"/>
          <w:bCs w:val="0"/>
          <w:color w:val="auto"/>
          <w:sz w:val="21"/>
          <w:szCs w:val="21"/>
          <w:lang w:val="en-US" w:eastAsia="zh-CN" w:bidi="ar-SA"/>
        </w:rPr>
        <w:t>合同包</w:t>
      </w:r>
      <w:r>
        <w:rPr>
          <w:rFonts w:ascii="宋体" w:hAnsi="宋体" w:cs="宋体" w:hint="eastAsia"/>
          <w:b w:val="0"/>
          <w:bCs w:val="0"/>
          <w:color w:val="auto"/>
          <w:sz w:val="21"/>
          <w:szCs w:val="21"/>
          <w:lang w:val="en-US" w:eastAsia="zh-CN" w:bidi="ar-SA"/>
        </w:rPr>
        <w:t>组</w:t>
      </w:r>
      <w:r>
        <w:rPr>
          <w:rFonts w:ascii="宋体" w:eastAsia="宋体" w:hAnsi="宋体" w:cs="宋体" w:hint="eastAsia"/>
          <w:b w:val="0"/>
          <w:bCs w:val="0"/>
          <w:color w:val="auto"/>
          <w:sz w:val="21"/>
          <w:szCs w:val="21"/>
          <w:lang w:val="en-US" w:eastAsia="zh-CN" w:bidi="ar-SA"/>
        </w:rPr>
        <w:t>不接受联合体投标</w:t>
      </w:r>
    </w:p>
    <w:p>
      <w:pPr>
        <w:numPr>
          <w:ilvl w:val="0"/>
          <w:numId w:val="0"/>
        </w:numPr>
        <w:tabs>
          <w:tab w:val="left" w:pos="800"/>
          <w:tab w:val="left" w:pos="4500"/>
        </w:tabs>
        <w:autoSpaceDE w:val="0"/>
        <w:autoSpaceDN w:val="0"/>
        <w:adjustRightInd w:val="0"/>
        <w:spacing w:before="240" w:beforeLines="100" w:after="240" w:afterLines="100" w:line="360" w:lineRule="auto"/>
        <w:ind w:right="87" w:rightChars="0"/>
        <w:jc w:val="left"/>
        <w:rPr>
          <w:rFonts w:ascii="宋体" w:hAnsi="宋体" w:cs="宋体" w:hint="eastAsia"/>
          <w:b/>
          <w:color w:val="auto"/>
          <w:kern w:val="0"/>
          <w:sz w:val="24"/>
          <w:szCs w:val="24"/>
        </w:rPr>
      </w:pPr>
      <w:r>
        <w:rPr>
          <w:rFonts w:ascii="宋体" w:eastAsia="宋体" w:hAnsi="宋体" w:cs="宋体" w:hint="eastAsia"/>
          <w:b/>
          <w:color w:val="auto"/>
          <w:szCs w:val="21"/>
        </w:rPr>
        <w:t>项目总体要求</w:t>
      </w:r>
      <w:r>
        <w:rPr>
          <w:rFonts w:ascii="宋体" w:eastAsia="宋体" w:hAnsi="宋体" w:cs="宋体" w:hint="eastAsia"/>
          <w:b/>
          <w:color w:val="auto"/>
          <w:szCs w:val="21"/>
          <w:lang w:val="en-US" w:eastAsia="zh-CN"/>
        </w:rPr>
        <w:t>:</w:t>
      </w:r>
      <w:r>
        <w:rPr>
          <w:rFonts w:ascii="宋体" w:hAnsi="宋体" w:cs="宋体" w:hint="eastAsia"/>
          <w:b/>
          <w:color w:val="auto"/>
          <w:szCs w:val="21"/>
          <w:lang w:val="en-US" w:eastAsia="zh-CN"/>
        </w:rPr>
        <w:t xml:space="preserve"> </w:t>
      </w:r>
      <w:r>
        <w:rPr>
          <w:rFonts w:ascii="宋体" w:eastAsia="宋体" w:hAnsi="宋体" w:cs="宋体" w:hint="eastAsia"/>
          <w:color w:val="auto"/>
          <w:sz w:val="21"/>
          <w:szCs w:val="21"/>
          <w:lang w:val="en-US" w:eastAsia="zh-CN" w:bidi="ar-SA"/>
        </w:rPr>
        <w:t>投标人可以对个别包组或全部包组进行投标，但应对包组内所有的内容进行投标，不允许只对包组内其中部分内容进行投标。</w:t>
      </w:r>
    </w:p>
    <w:p>
      <w:pPr>
        <w:pStyle w:val="NormalIndent"/>
        <w:ind w:left="0" w:firstLine="0" w:leftChars="0" w:firstLineChars="0"/>
        <w:rPr>
          <w:rFonts w:ascii="宋体" w:eastAsia="宋体" w:hAnsi="宋体" w:cs="宋体" w:hint="eastAsia"/>
          <w:b/>
          <w:color w:val="auto"/>
        </w:rPr>
      </w:pPr>
    </w:p>
    <w:p>
      <w:pPr>
        <w:rPr>
          <w:rFonts w:ascii="宋体" w:hAnsi="宋体" w:cs="宋体" w:hint="eastAsia"/>
          <w:b/>
          <w:color w:val="auto"/>
        </w:rPr>
        <w:sectPr>
          <w:headerReference w:type="default" r:id="rId63"/>
          <w:footerReference w:type="default" r:id="rId64"/>
          <w:headerReference w:type="first" r:id="rId65"/>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12" w:chapStyle="1" w:chapSep="enDash"/>
          <w:cols w:num="1" w:space="720"/>
          <w:titlePg w:val="0"/>
          <w:rtlGutter w:val="0"/>
          <w:docGrid w:linePitch="312" w:charSpace="0"/>
        </w:sectPr>
      </w:pPr>
    </w:p>
    <w:p>
      <w:pPr>
        <w:pStyle w:val="NormalIndent"/>
        <w:ind w:left="0" w:firstLine="0" w:leftChars="0" w:firstLineChars="0"/>
        <w:rPr>
          <w:rFonts w:ascii="宋体" w:eastAsia="宋体" w:hAnsi="宋体" w:cs="宋体" w:hint="eastAsia"/>
          <w:b/>
          <w:color w:val="auto"/>
        </w:rPr>
      </w:pPr>
    </w:p>
    <w:p>
      <w:pPr>
        <w:rPr>
          <w:rFonts w:hint="eastAsia"/>
          <w:color w:val="auto"/>
        </w:rPr>
      </w:pPr>
    </w:p>
    <w:p>
      <w:pPr>
        <w:autoSpaceDE w:val="0"/>
        <w:autoSpaceDN w:val="0"/>
        <w:spacing w:line="360" w:lineRule="auto"/>
        <w:rPr>
          <w:rFonts w:ascii="宋体" w:hAnsi="宋体" w:cs="宋体" w:hint="eastAsia"/>
          <w:b/>
          <w:bCs/>
          <w:color w:val="auto"/>
          <w:sz w:val="30"/>
          <w:szCs w:val="30"/>
        </w:rPr>
      </w:pPr>
      <w:r>
        <w:rPr>
          <w:rFonts w:ascii="宋体" w:hAnsi="宋体" w:cs="宋体" w:hint="eastAsia"/>
          <w:b/>
          <w:bCs/>
          <w:color w:val="auto"/>
          <w:sz w:val="30"/>
          <w:szCs w:val="30"/>
          <w:lang w:val="en-US" w:eastAsia="zh-CN"/>
        </w:rPr>
        <w:t>三</w:t>
      </w:r>
      <w:r>
        <w:rPr>
          <w:rFonts w:ascii="宋体" w:eastAsia="宋体" w:hAnsi="宋体" w:cs="宋体" w:hint="eastAsia"/>
          <w:b/>
          <w:bCs/>
          <w:color w:val="auto"/>
          <w:sz w:val="30"/>
          <w:szCs w:val="30"/>
        </w:rPr>
        <w:t>、商务要求</w:t>
      </w:r>
    </w:p>
    <w:p>
      <w:pPr>
        <w:spacing w:line="360" w:lineRule="auto"/>
        <w:rPr>
          <w:rFonts w:ascii="宋体" w:hAnsi="宋体" w:cs="宋体" w:hint="eastAsia"/>
          <w:color w:val="auto"/>
          <w:szCs w:val="21"/>
        </w:rPr>
      </w:pPr>
      <w:r>
        <w:rPr>
          <w:rFonts w:ascii="宋体" w:eastAsia="宋体" w:hAnsi="宋体" w:cs="宋体" w:hint="eastAsia"/>
          <w:b/>
          <w:color w:val="auto"/>
          <w:sz w:val="21"/>
          <w:szCs w:val="21"/>
        </w:rPr>
        <w:t>（1）</w:t>
      </w:r>
      <w:r>
        <w:rPr>
          <w:rFonts w:ascii="宋体" w:hAnsi="宋体" w:cs="宋体" w:hint="eastAsia"/>
          <w:b/>
          <w:color w:val="auto"/>
          <w:sz w:val="21"/>
          <w:szCs w:val="21"/>
          <w:lang w:eastAsia="zh-CN"/>
        </w:rPr>
        <w:t>供货期（含</w:t>
      </w:r>
      <w:r>
        <w:rPr>
          <w:rFonts w:ascii="宋体" w:eastAsia="宋体" w:hAnsi="宋体" w:cs="宋体" w:hint="eastAsia"/>
          <w:b/>
          <w:color w:val="auto"/>
          <w:sz w:val="21"/>
          <w:szCs w:val="21"/>
        </w:rPr>
        <w:t>建设期</w:t>
      </w:r>
      <w:r>
        <w:rPr>
          <w:rFonts w:ascii="宋体" w:hAnsi="宋体" w:cs="宋体" w:hint="eastAsia"/>
          <w:b/>
          <w:color w:val="auto"/>
          <w:sz w:val="21"/>
          <w:szCs w:val="21"/>
          <w:lang w:eastAsia="zh-CN"/>
        </w:rPr>
        <w:t>）</w:t>
      </w:r>
      <w:r>
        <w:rPr>
          <w:rFonts w:ascii="宋体" w:eastAsia="宋体" w:hAnsi="宋体" w:cs="宋体" w:hint="eastAsia"/>
          <w:b/>
          <w:color w:val="auto"/>
          <w:sz w:val="21"/>
          <w:szCs w:val="21"/>
        </w:rPr>
        <w:t>：</w:t>
      </w:r>
      <w:r>
        <w:rPr>
          <w:rFonts w:ascii="宋体" w:hAnsi="宋体" w:hint="eastAsia"/>
          <w:color w:val="auto"/>
          <w:highlight w:val="none"/>
        </w:rPr>
        <w:t>交货、安装调试时间</w:t>
      </w:r>
      <w:r>
        <w:rPr>
          <w:rFonts w:ascii="宋体" w:hAnsi="宋体" w:hint="eastAsia"/>
          <w:color w:val="auto"/>
          <w:highlight w:val="none"/>
          <w:lang w:eastAsia="zh-CN"/>
        </w:rPr>
        <w:t>，</w:t>
      </w:r>
      <w:r>
        <w:rPr>
          <w:rFonts w:ascii="宋体" w:hAnsi="宋体" w:hint="eastAsia"/>
          <w:color w:val="auto"/>
          <w:highlight w:val="none"/>
        </w:rPr>
        <w:t>须</w:t>
      </w:r>
      <w:r>
        <w:rPr>
          <w:rFonts w:ascii="宋体" w:hAnsi="宋体" w:hint="eastAsia"/>
          <w:color w:val="auto"/>
          <w:highlight w:val="none"/>
          <w:lang w:eastAsia="zh-CN"/>
        </w:rPr>
        <w:t>在</w:t>
      </w:r>
      <w:r>
        <w:rPr>
          <w:rFonts w:ascii="宋体" w:hAnsi="宋体" w:hint="eastAsia"/>
          <w:color w:val="auto"/>
          <w:highlight w:val="none"/>
          <w:lang w:val="en-US" w:eastAsia="zh-CN"/>
        </w:rPr>
        <w:t>2022年9月底</w:t>
      </w:r>
      <w:r>
        <w:rPr>
          <w:rFonts w:ascii="宋体" w:hAnsi="宋体" w:hint="eastAsia"/>
          <w:color w:val="auto"/>
          <w:highlight w:val="none"/>
          <w:lang w:eastAsia="zh-CN"/>
        </w:rPr>
        <w:t>按</w:t>
      </w:r>
      <w:r>
        <w:rPr>
          <w:rFonts w:ascii="宋体" w:hAnsi="宋体" w:hint="eastAsia"/>
          <w:color w:val="auto"/>
        </w:rPr>
        <w:t>采购人</w:t>
      </w:r>
      <w:r>
        <w:rPr>
          <w:rFonts w:ascii="宋体" w:hAnsi="宋体" w:hint="eastAsia"/>
          <w:color w:val="auto"/>
          <w:highlight w:val="none"/>
          <w:lang w:eastAsia="zh-CN"/>
        </w:rPr>
        <w:t>要求</w:t>
      </w:r>
      <w:r>
        <w:rPr>
          <w:rFonts w:ascii="宋体" w:hAnsi="宋体" w:hint="eastAsia"/>
          <w:color w:val="auto"/>
          <w:highlight w:val="none"/>
        </w:rPr>
        <w:t>完成</w:t>
      </w:r>
      <w:r>
        <w:rPr>
          <w:rFonts w:ascii="宋体" w:hAnsi="宋体" w:hint="eastAsia"/>
          <w:color w:val="auto"/>
          <w:highlight w:val="none"/>
          <w:lang w:eastAsia="zh-CN"/>
        </w:rPr>
        <w:t>；</w:t>
      </w:r>
    </w:p>
    <w:p>
      <w:pPr>
        <w:numPr>
          <w:ilvl w:val="0"/>
          <w:numId w:val="4"/>
        </w:numPr>
        <w:autoSpaceDE w:val="0"/>
        <w:autoSpaceDN w:val="0"/>
        <w:spacing w:line="360" w:lineRule="auto"/>
        <w:rPr>
          <w:rFonts w:ascii="宋体" w:hAnsi="宋体" w:cs="宋体" w:hint="eastAsia"/>
          <w:color w:val="auto"/>
          <w:szCs w:val="21"/>
        </w:rPr>
      </w:pPr>
      <w:r>
        <w:rPr>
          <w:rFonts w:ascii="宋体" w:eastAsia="宋体" w:hAnsi="宋体" w:cs="宋体" w:hint="eastAsia"/>
          <w:b/>
          <w:bCs/>
          <w:color w:val="auto"/>
          <w:spacing w:val="6"/>
          <w:sz w:val="21"/>
          <w:szCs w:val="21"/>
        </w:rPr>
        <w:t>报价要求：</w:t>
      </w:r>
      <w:r>
        <w:rPr>
          <w:rFonts w:ascii="宋体" w:eastAsia="宋体" w:hAnsi="宋体" w:cs="宋体" w:hint="eastAsia"/>
          <w:color w:val="auto"/>
          <w:sz w:val="21"/>
          <w:szCs w:val="21"/>
          <w:lang w:val="en-US" w:eastAsia="zh-CN" w:bidi="ar-SA"/>
        </w:rPr>
        <w:t>投标报价应包含但不限于以下全部费用，主要包含货物购置费（货物价款、备品备件价、易损件价、专用工具价、相关配件、附件、安装材料、技术资料及零配件价）、检验费、保险费用、运输费、装卸费、安装调试费，商检费用、银行费用、税费及一切技术和售后服务费等所有不可预见的隐含费用（以上费用如涉及到多次指导、人员培训，应包括软件许可费以及一切技术服务费、人员培训费。</w:t>
      </w:r>
      <w:r>
        <w:rPr>
          <w:rFonts w:ascii="宋体" w:hAnsi="宋体" w:cs="宋体" w:hint="eastAsia"/>
          <w:color w:val="auto"/>
          <w:sz w:val="21"/>
          <w:szCs w:val="21"/>
          <w:lang w:val="en-US" w:eastAsia="zh-CN" w:bidi="ar-SA"/>
        </w:rPr>
        <w:t>)</w:t>
      </w:r>
      <w:r>
        <w:rPr>
          <w:rFonts w:ascii="宋体" w:eastAsia="宋体" w:hAnsi="宋体" w:cs="宋体" w:hint="eastAsia"/>
          <w:color w:val="auto"/>
          <w:sz w:val="21"/>
          <w:szCs w:val="21"/>
          <w:lang w:val="en-US" w:eastAsia="zh-CN" w:bidi="ar-SA"/>
        </w:rPr>
        <w:t>投标</w:t>
      </w:r>
      <w:r>
        <w:rPr>
          <w:rFonts w:ascii="宋体" w:eastAsia="宋体" w:hAnsi="宋体" w:cs="宋体" w:hint="eastAsia"/>
          <w:bCs/>
          <w:color w:val="auto"/>
          <w:spacing w:val="6"/>
          <w:sz w:val="21"/>
          <w:szCs w:val="21"/>
        </w:rPr>
        <w:t>总报价应包括各种货物成本、资料费、服务费、税费及合同实施过程中的所有费用</w:t>
      </w:r>
      <w:r>
        <w:rPr>
          <w:rFonts w:ascii="宋体" w:eastAsia="宋体" w:hAnsi="宋体" w:cs="宋体" w:hint="eastAsia"/>
          <w:bCs/>
          <w:color w:val="auto"/>
          <w:spacing w:val="6"/>
          <w:sz w:val="21"/>
          <w:szCs w:val="21"/>
          <w:lang w:eastAsia="zh-CN"/>
        </w:rPr>
        <w:t>，</w:t>
      </w:r>
      <w:r>
        <w:rPr>
          <w:rFonts w:ascii="宋体" w:eastAsia="宋体" w:hAnsi="宋体" w:cs="宋体" w:hint="eastAsia"/>
          <w:color w:val="auto"/>
          <w:sz w:val="21"/>
          <w:szCs w:val="21"/>
          <w:lang w:val="en-US" w:eastAsia="zh-CN" w:bidi="ar-SA"/>
        </w:rPr>
        <w:t>投标人不得再向采购人收取任何费用。</w:t>
      </w:r>
    </w:p>
    <w:p>
      <w:pPr>
        <w:spacing w:line="360" w:lineRule="auto"/>
        <w:rPr>
          <w:rFonts w:ascii="宋体" w:hAnsi="宋体" w:hint="eastAsia"/>
          <w:color w:val="auto"/>
          <w:highlight w:val="none"/>
        </w:rPr>
      </w:pPr>
      <w:r>
        <w:rPr>
          <w:rFonts w:ascii="宋体" w:eastAsia="宋体" w:hAnsi="宋体" w:cs="宋体" w:hint="eastAsia"/>
          <w:b/>
          <w:color w:val="auto"/>
          <w:sz w:val="21"/>
          <w:szCs w:val="21"/>
        </w:rPr>
        <w:t>（</w:t>
      </w:r>
      <w:r>
        <w:rPr>
          <w:rFonts w:ascii="宋体" w:hAnsi="宋体" w:cs="宋体" w:hint="eastAsia"/>
          <w:b/>
          <w:color w:val="auto"/>
          <w:sz w:val="21"/>
          <w:szCs w:val="21"/>
          <w:lang w:val="en-US" w:eastAsia="zh-CN"/>
        </w:rPr>
        <w:t>3</w:t>
      </w:r>
      <w:r>
        <w:rPr>
          <w:rFonts w:ascii="宋体" w:eastAsia="宋体" w:hAnsi="宋体" w:cs="宋体" w:hint="eastAsia"/>
          <w:b/>
          <w:color w:val="auto"/>
          <w:sz w:val="21"/>
          <w:szCs w:val="21"/>
        </w:rPr>
        <w:t>）验收要求：</w:t>
      </w:r>
      <w:r>
        <w:rPr>
          <w:rFonts w:ascii="宋体" w:eastAsia="宋体" w:hAnsi="宋体" w:cs="宋体" w:hint="eastAsia"/>
          <w:color w:val="auto"/>
          <w:sz w:val="21"/>
          <w:szCs w:val="21"/>
        </w:rPr>
        <w:t>由采购人组织，按有关规定进行验收。</w:t>
      </w:r>
      <w:r>
        <w:rPr>
          <w:rFonts w:ascii="宋体" w:hAnsi="宋体" w:cs="宋体" w:hint="eastAsia"/>
          <w:color w:val="auto"/>
          <w:sz w:val="21"/>
          <w:szCs w:val="21"/>
          <w:lang w:eastAsia="zh-CN"/>
        </w:rPr>
        <w:t>如</w:t>
      </w:r>
      <w:r>
        <w:rPr>
          <w:rFonts w:ascii="宋体" w:hAnsi="宋体" w:hint="eastAsia"/>
          <w:color w:val="auto"/>
          <w:highlight w:val="none"/>
        </w:rPr>
        <w:t>发现货物性能指标或者功能上不符合招标文件要求时，将被看作性能不合格，货物使用单位有权拒收并要求赔偿</w:t>
      </w:r>
      <w:r>
        <w:rPr>
          <w:rFonts w:ascii="宋体" w:hAnsi="宋体" w:hint="eastAsia"/>
          <w:color w:val="auto"/>
          <w:highlight w:val="none"/>
          <w:lang w:eastAsia="zh-CN"/>
        </w:rPr>
        <w:t>，</w:t>
      </w:r>
      <w:r>
        <w:rPr>
          <w:rFonts w:ascii="宋体" w:hAnsi="宋体" w:hint="eastAsia"/>
          <w:color w:val="auto"/>
          <w:highlight w:val="none"/>
        </w:rPr>
        <w:t>货物性能指标或者功能不符合招标文件</w:t>
      </w:r>
      <w:r>
        <w:rPr>
          <w:rFonts w:ascii="宋体" w:hAnsi="宋体" w:hint="eastAsia"/>
          <w:color w:val="auto"/>
          <w:highlight w:val="none"/>
          <w:lang w:eastAsia="zh-CN"/>
        </w:rPr>
        <w:t>数量达到</w:t>
      </w:r>
      <w:r>
        <w:rPr>
          <w:rFonts w:ascii="宋体" w:hAnsi="宋体" w:hint="eastAsia"/>
          <w:color w:val="auto"/>
          <w:highlight w:val="none"/>
          <w:lang w:val="en-US" w:eastAsia="zh-CN"/>
        </w:rPr>
        <w:t>5件以上的，</w:t>
      </w:r>
      <w:r>
        <w:rPr>
          <w:rFonts w:ascii="宋体" w:hAnsi="宋体" w:hint="eastAsia"/>
          <w:color w:val="auto"/>
          <w:highlight w:val="none"/>
        </w:rPr>
        <w:t>承担一切法律责任并认可采购人或采购代理机构作出的取消中标资格、罚没保证金等决定</w:t>
      </w:r>
      <w:r>
        <w:rPr>
          <w:rFonts w:ascii="宋体" w:hAnsi="宋体" w:hint="eastAsia"/>
          <w:color w:val="auto"/>
          <w:highlight w:val="none"/>
          <w:lang w:eastAsia="zh-CN"/>
        </w:rPr>
        <w:t>。</w:t>
      </w:r>
    </w:p>
    <w:p>
      <w:pPr>
        <w:autoSpaceDE w:val="0"/>
        <w:autoSpaceDN w:val="0"/>
        <w:spacing w:line="360" w:lineRule="auto"/>
        <w:rPr>
          <w:rFonts w:ascii="宋体" w:hAnsi="宋体" w:cs="宋体" w:hint="eastAsia"/>
          <w:b/>
          <w:color w:val="auto"/>
          <w:sz w:val="44"/>
          <w:szCs w:val="44"/>
        </w:rPr>
      </w:pPr>
      <w:r>
        <w:rPr>
          <w:rFonts w:ascii="宋体" w:eastAsia="宋体" w:hAnsi="宋体" w:cs="宋体" w:hint="eastAsia"/>
          <w:b/>
          <w:color w:val="auto"/>
          <w:sz w:val="21"/>
          <w:szCs w:val="21"/>
        </w:rPr>
        <w:t>（</w:t>
      </w:r>
      <w:r>
        <w:rPr>
          <w:rFonts w:ascii="宋体" w:hAnsi="宋体" w:cs="宋体" w:hint="eastAsia"/>
          <w:b/>
          <w:color w:val="auto"/>
          <w:sz w:val="21"/>
          <w:szCs w:val="21"/>
          <w:lang w:val="en-US" w:eastAsia="zh-CN"/>
        </w:rPr>
        <w:t>4</w:t>
      </w:r>
      <w:r>
        <w:rPr>
          <w:rFonts w:ascii="宋体" w:eastAsia="宋体" w:hAnsi="宋体" w:cs="宋体" w:hint="eastAsia"/>
          <w:b/>
          <w:color w:val="auto"/>
          <w:sz w:val="21"/>
          <w:szCs w:val="21"/>
        </w:rPr>
        <w:t>）</w:t>
      </w:r>
      <w:r>
        <w:rPr>
          <w:rFonts w:ascii="宋体" w:hAnsi="宋体" w:cs="宋体" w:hint="eastAsia"/>
          <w:b/>
          <w:color w:val="auto"/>
          <w:sz w:val="21"/>
          <w:szCs w:val="21"/>
          <w:lang w:eastAsia="zh-CN"/>
        </w:rPr>
        <w:t>付款方式</w:t>
      </w:r>
      <w:r>
        <w:rPr>
          <w:rFonts w:ascii="宋体" w:eastAsia="宋体" w:hAnsi="宋体" w:cs="宋体" w:hint="eastAsia"/>
          <w:b/>
          <w:color w:val="auto"/>
          <w:sz w:val="21"/>
          <w:szCs w:val="21"/>
        </w:rPr>
        <w:t>：</w:t>
      </w:r>
      <w:r>
        <w:rPr>
          <w:rFonts w:ascii="宋体" w:eastAsia="宋体" w:hAnsi="宋体" w:cs="宋体" w:hint="eastAsia"/>
          <w:bCs/>
          <w:color w:val="auto"/>
          <w:spacing w:val="6"/>
          <w:sz w:val="21"/>
          <w:szCs w:val="21"/>
        </w:rPr>
        <w:t>签订合同后</w:t>
      </w:r>
      <w:r>
        <w:rPr>
          <w:rFonts w:ascii="宋体" w:hAnsi="宋体" w:cs="宋体" w:hint="eastAsia"/>
          <w:bCs/>
          <w:color w:val="auto"/>
          <w:spacing w:val="6"/>
          <w:sz w:val="21"/>
          <w:szCs w:val="21"/>
          <w:lang w:val="en-US" w:eastAsia="zh-CN"/>
        </w:rPr>
        <w:t>7</w:t>
      </w:r>
      <w:r>
        <w:rPr>
          <w:rFonts w:ascii="宋体" w:eastAsia="宋体" w:hAnsi="宋体" w:cs="宋体" w:hint="eastAsia"/>
          <w:bCs/>
          <w:color w:val="auto"/>
          <w:spacing w:val="6"/>
          <w:sz w:val="21"/>
          <w:szCs w:val="21"/>
        </w:rPr>
        <w:t>天内预付合同总金额的</w:t>
      </w:r>
      <w:r>
        <w:rPr>
          <w:rFonts w:ascii="宋体" w:hAnsi="宋体" w:cs="宋体" w:hint="eastAsia"/>
          <w:bCs/>
          <w:color w:val="auto"/>
          <w:spacing w:val="6"/>
          <w:sz w:val="21"/>
          <w:szCs w:val="21"/>
          <w:lang w:val="en-US" w:eastAsia="zh-CN"/>
        </w:rPr>
        <w:t>30</w:t>
      </w:r>
      <w:r>
        <w:rPr>
          <w:rFonts w:ascii="宋体" w:eastAsia="宋体" w:hAnsi="宋体" w:cs="宋体" w:hint="eastAsia"/>
          <w:bCs/>
          <w:color w:val="auto"/>
          <w:spacing w:val="6"/>
          <w:sz w:val="21"/>
          <w:szCs w:val="21"/>
        </w:rPr>
        <w:t>%，中标人在货物全部安装、调试完毕并验收合格后凭有效文件由采购人在</w:t>
      </w:r>
      <w:r>
        <w:rPr>
          <w:rFonts w:ascii="宋体" w:hAnsi="宋体" w:cs="宋体" w:hint="eastAsia"/>
          <w:bCs/>
          <w:color w:val="auto"/>
          <w:spacing w:val="6"/>
          <w:sz w:val="21"/>
          <w:szCs w:val="21"/>
          <w:lang w:val="en-US" w:eastAsia="zh-CN"/>
        </w:rPr>
        <w:t>45</w:t>
      </w:r>
      <w:r>
        <w:rPr>
          <w:rFonts w:ascii="宋体" w:eastAsia="宋体" w:hAnsi="宋体" w:cs="宋体" w:hint="eastAsia"/>
          <w:bCs/>
          <w:color w:val="auto"/>
          <w:spacing w:val="6"/>
          <w:sz w:val="21"/>
          <w:szCs w:val="21"/>
        </w:rPr>
        <w:t>天内付</w:t>
      </w:r>
      <w:r>
        <w:rPr>
          <w:rFonts w:ascii="宋体" w:hAnsi="宋体" w:cs="宋体" w:hint="eastAsia"/>
          <w:bCs/>
          <w:color w:val="auto"/>
          <w:spacing w:val="6"/>
          <w:sz w:val="21"/>
          <w:szCs w:val="21"/>
          <w:lang w:eastAsia="zh-CN"/>
        </w:rPr>
        <w:t>清</w:t>
      </w:r>
      <w:r>
        <w:rPr>
          <w:rFonts w:ascii="宋体" w:eastAsia="宋体" w:hAnsi="宋体" w:cs="宋体" w:hint="eastAsia"/>
          <w:bCs/>
          <w:color w:val="auto"/>
          <w:spacing w:val="6"/>
          <w:sz w:val="21"/>
          <w:szCs w:val="21"/>
        </w:rPr>
        <w:t>合同总金额</w:t>
      </w:r>
      <w:r>
        <w:rPr>
          <w:rFonts w:ascii="宋体" w:hAnsi="宋体" w:cs="宋体" w:hint="eastAsia"/>
          <w:bCs/>
          <w:color w:val="auto"/>
          <w:spacing w:val="6"/>
          <w:sz w:val="21"/>
          <w:szCs w:val="21"/>
          <w:lang w:eastAsia="zh-CN"/>
        </w:rPr>
        <w:t>。</w:t>
      </w:r>
      <w:r>
        <w:rPr>
          <w:rFonts w:ascii="宋体" w:hAnsi="宋体" w:cs="宋体" w:hint="eastAsia"/>
          <w:b/>
          <w:bCs w:val="0"/>
          <w:color w:val="auto"/>
          <w:spacing w:val="6"/>
          <w:sz w:val="21"/>
          <w:szCs w:val="21"/>
          <w:lang w:eastAsia="zh-CN"/>
        </w:rPr>
        <w:t>（注：在质保期（</w:t>
      </w:r>
      <w:r>
        <w:rPr>
          <w:rFonts w:ascii="宋体" w:eastAsia="宋体" w:hAnsi="宋体" w:cs="Times New Roman" w:hint="eastAsia"/>
          <w:b/>
          <w:bCs w:val="0"/>
          <w:color w:val="auto"/>
          <w:sz w:val="21"/>
          <w:highlight w:val="none"/>
          <w:lang w:val="en-US" w:eastAsia="zh-CN" w:bidi="ar-SA"/>
        </w:rPr>
        <w:t>本项目质保期为</w:t>
      </w:r>
      <w:r>
        <w:rPr>
          <w:rFonts w:ascii="宋体" w:hAnsi="宋体" w:cs="Times New Roman" w:hint="eastAsia"/>
          <w:b/>
          <w:bCs w:val="0"/>
          <w:color w:val="auto"/>
          <w:sz w:val="21"/>
          <w:highlight w:val="none"/>
          <w:lang w:val="en-US" w:eastAsia="zh-CN" w:bidi="ar-SA"/>
        </w:rPr>
        <w:t>验收后</w:t>
      </w:r>
      <w:r>
        <w:rPr>
          <w:rFonts w:ascii="宋体" w:eastAsia="宋体" w:hAnsi="宋体" w:cs="Times New Roman" w:hint="eastAsia"/>
          <w:b/>
          <w:bCs w:val="0"/>
          <w:color w:val="auto"/>
          <w:sz w:val="21"/>
          <w:highlight w:val="none"/>
          <w:lang w:val="en-US" w:eastAsia="zh-CN" w:bidi="ar-SA"/>
        </w:rPr>
        <w:t>一年</w:t>
      </w:r>
      <w:r>
        <w:rPr>
          <w:rFonts w:ascii="宋体" w:hAnsi="宋体" w:cs="宋体" w:hint="eastAsia"/>
          <w:b/>
          <w:bCs w:val="0"/>
          <w:color w:val="auto"/>
          <w:spacing w:val="6"/>
          <w:sz w:val="21"/>
          <w:szCs w:val="21"/>
          <w:lang w:eastAsia="zh-CN"/>
        </w:rPr>
        <w:t>）内中标人必须无偿提供质保服务</w:t>
      </w:r>
      <w:r>
        <w:rPr>
          <w:rFonts w:ascii="宋体" w:eastAsia="宋体" w:hAnsi="宋体" w:cs="宋体" w:hint="eastAsia"/>
          <w:b/>
          <w:bCs w:val="0"/>
          <w:color w:val="auto"/>
          <w:spacing w:val="6"/>
          <w:sz w:val="21"/>
          <w:szCs w:val="21"/>
        </w:rPr>
        <w:t>）</w:t>
      </w:r>
      <w:r>
        <w:rPr>
          <w:rFonts w:ascii="宋体" w:hAnsi="宋体" w:cs="宋体" w:hint="eastAsia"/>
          <w:b/>
          <w:bCs w:val="0"/>
          <w:color w:val="auto"/>
          <w:spacing w:val="6"/>
          <w:sz w:val="21"/>
          <w:szCs w:val="21"/>
          <w:lang w:eastAsia="zh-CN"/>
        </w:rPr>
        <w:t>。</w:t>
      </w:r>
    </w:p>
    <w:p>
      <w:pPr>
        <w:spacing w:line="360" w:lineRule="auto"/>
        <w:jc w:val="both"/>
        <w:rPr>
          <w:rFonts w:ascii="宋体" w:hAnsi="宋体" w:cs="宋体" w:hint="eastAsia"/>
          <w:b/>
          <w:color w:val="auto"/>
          <w:sz w:val="44"/>
          <w:szCs w:val="44"/>
        </w:rPr>
      </w:pPr>
    </w:p>
    <w:p>
      <w:pPr>
        <w:pStyle w:val="PlainText"/>
        <w:rPr>
          <w:rFonts w:eastAsia="宋体" w:hAnsi="宋体" w:cs="宋体" w:hint="eastAsia"/>
          <w:b/>
          <w:color w:val="auto"/>
          <w:sz w:val="44"/>
          <w:szCs w:val="44"/>
        </w:rPr>
      </w:pPr>
    </w:p>
    <w:p>
      <w:pPr>
        <w:rPr>
          <w:rFonts w:hint="eastAsia"/>
          <w:color w:val="auto"/>
        </w:rPr>
      </w:pPr>
    </w:p>
    <w:p>
      <w:pPr>
        <w:pStyle w:val="PlainText"/>
        <w:rPr>
          <w:rFonts w:hint="eastAsia"/>
          <w:color w:val="auto"/>
        </w:rPr>
      </w:pPr>
    </w:p>
    <w:p>
      <w:pPr>
        <w:spacing w:line="360" w:lineRule="auto"/>
        <w:jc w:val="center"/>
        <w:rPr>
          <w:rFonts w:ascii="宋体" w:hAnsi="宋体" w:cs="宋体" w:hint="eastAsia"/>
          <w:b/>
          <w:color w:val="auto"/>
          <w:sz w:val="44"/>
          <w:szCs w:val="44"/>
        </w:rPr>
      </w:pPr>
    </w:p>
    <w:p>
      <w:pPr>
        <w:spacing w:line="360" w:lineRule="auto"/>
        <w:jc w:val="center"/>
        <w:rPr>
          <w:rFonts w:ascii="宋体" w:hAnsi="宋体" w:cs="宋体" w:hint="eastAsia"/>
          <w:b/>
          <w:color w:val="auto"/>
          <w:sz w:val="44"/>
          <w:szCs w:val="44"/>
        </w:rPr>
      </w:pPr>
    </w:p>
    <w:p>
      <w:pPr>
        <w:spacing w:line="360" w:lineRule="auto"/>
        <w:jc w:val="center"/>
        <w:rPr>
          <w:rFonts w:ascii="宋体" w:hAnsi="宋体" w:cs="宋体" w:hint="eastAsia"/>
          <w:b/>
          <w:color w:val="auto"/>
          <w:sz w:val="44"/>
          <w:szCs w:val="44"/>
        </w:rPr>
      </w:pPr>
    </w:p>
    <w:p>
      <w:pPr>
        <w:spacing w:line="360" w:lineRule="auto"/>
        <w:jc w:val="center"/>
        <w:rPr>
          <w:rFonts w:ascii="宋体" w:hAnsi="宋体" w:cs="宋体" w:hint="eastAsia"/>
          <w:b/>
          <w:color w:val="auto"/>
          <w:sz w:val="44"/>
          <w:szCs w:val="44"/>
        </w:rPr>
      </w:pPr>
    </w:p>
    <w:p>
      <w:pPr>
        <w:spacing w:line="360" w:lineRule="auto"/>
        <w:jc w:val="center"/>
        <w:rPr>
          <w:rFonts w:ascii="宋体" w:hAnsi="宋体" w:cs="宋体" w:hint="eastAsia"/>
          <w:b/>
          <w:color w:val="auto"/>
          <w:sz w:val="44"/>
          <w:szCs w:val="44"/>
        </w:rPr>
      </w:pPr>
    </w:p>
    <w:p>
      <w:pPr>
        <w:spacing w:line="360" w:lineRule="auto"/>
        <w:jc w:val="center"/>
        <w:rPr>
          <w:rFonts w:ascii="宋体" w:hAnsi="宋体" w:cs="宋体" w:hint="eastAsia"/>
          <w:b/>
          <w:color w:val="auto"/>
          <w:sz w:val="44"/>
          <w:szCs w:val="44"/>
        </w:rPr>
        <w:sectPr>
          <w:headerReference w:type="default" r:id="rId66"/>
          <w:footerReference w:type="default" r:id="rId67"/>
          <w:headerReference w:type="first" r:id="rId68"/>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13" w:chapStyle="1" w:chapSep="enDash"/>
          <w:cols w:num="1" w:space="720"/>
          <w:titlePg w:val="0"/>
          <w:rtlGutter w:val="0"/>
          <w:docGrid w:linePitch="312" w:charSpace="0"/>
        </w:sectPr>
      </w:pPr>
    </w:p>
    <w:p>
      <w:pPr>
        <w:spacing w:line="360" w:lineRule="auto"/>
        <w:jc w:val="center"/>
        <w:rPr>
          <w:rFonts w:ascii="宋体" w:hAnsi="宋体" w:cs="宋体" w:hint="eastAsia"/>
          <w:b/>
          <w:color w:val="auto"/>
          <w:sz w:val="44"/>
          <w:szCs w:val="44"/>
        </w:rPr>
      </w:pPr>
    </w:p>
    <w:p>
      <w:pPr>
        <w:spacing w:line="360" w:lineRule="auto"/>
        <w:jc w:val="center"/>
        <w:rPr>
          <w:rFonts w:ascii="宋体" w:hAnsi="宋体" w:cs="宋体" w:hint="eastAsia"/>
          <w:b/>
          <w:color w:val="auto"/>
          <w:sz w:val="44"/>
          <w:szCs w:val="44"/>
        </w:rPr>
      </w:pPr>
    </w:p>
    <w:p>
      <w:pPr>
        <w:spacing w:line="360" w:lineRule="auto"/>
        <w:jc w:val="center"/>
        <w:rPr>
          <w:rFonts w:ascii="宋体" w:hAnsi="宋体" w:cs="宋体" w:hint="eastAsia"/>
          <w:b/>
          <w:color w:val="auto"/>
          <w:sz w:val="44"/>
          <w:szCs w:val="44"/>
        </w:rPr>
      </w:pPr>
    </w:p>
    <w:p>
      <w:pPr>
        <w:spacing w:line="360" w:lineRule="auto"/>
        <w:jc w:val="center"/>
        <w:rPr>
          <w:rFonts w:ascii="宋体" w:hAnsi="宋体" w:cs="宋体" w:hint="eastAsia"/>
          <w:b/>
          <w:color w:val="auto"/>
          <w:sz w:val="44"/>
          <w:szCs w:val="44"/>
        </w:rPr>
      </w:pPr>
    </w:p>
    <w:p>
      <w:pPr>
        <w:spacing w:line="360" w:lineRule="auto"/>
        <w:jc w:val="center"/>
        <w:rPr>
          <w:rFonts w:ascii="宋体" w:hAnsi="宋体" w:cs="宋体" w:hint="eastAsia"/>
          <w:b/>
          <w:color w:val="auto"/>
          <w:sz w:val="44"/>
          <w:szCs w:val="44"/>
        </w:rPr>
      </w:pPr>
    </w:p>
    <w:p>
      <w:pPr>
        <w:spacing w:line="360" w:lineRule="auto"/>
        <w:jc w:val="center"/>
        <w:rPr>
          <w:rFonts w:ascii="宋体" w:hAnsi="宋体" w:cs="宋体" w:hint="eastAsia"/>
          <w:b/>
          <w:color w:val="auto"/>
          <w:sz w:val="44"/>
          <w:szCs w:val="44"/>
        </w:rPr>
      </w:pPr>
    </w:p>
    <w:p>
      <w:pPr>
        <w:spacing w:line="360" w:lineRule="auto"/>
        <w:jc w:val="center"/>
        <w:rPr>
          <w:rFonts w:ascii="宋体" w:hAnsi="宋体" w:cs="宋体" w:hint="eastAsia"/>
          <w:b/>
          <w:color w:val="auto"/>
          <w:sz w:val="44"/>
          <w:szCs w:val="44"/>
        </w:rPr>
      </w:pPr>
      <w:r>
        <w:rPr>
          <w:rFonts w:ascii="宋体" w:eastAsia="宋体" w:hAnsi="宋体" w:cs="宋体" w:hint="eastAsia"/>
          <w:b/>
          <w:color w:val="auto"/>
          <w:sz w:val="44"/>
          <w:szCs w:val="44"/>
        </w:rPr>
        <w:t>第三部分</w:t>
      </w:r>
    </w:p>
    <w:p>
      <w:pPr>
        <w:tabs>
          <w:tab w:val="left" w:pos="3210"/>
        </w:tabs>
        <w:spacing w:line="360" w:lineRule="auto"/>
        <w:jc w:val="center"/>
        <w:rPr>
          <w:rFonts w:ascii="宋体" w:hAnsi="宋体" w:cs="宋体" w:hint="eastAsia"/>
          <w:b/>
          <w:color w:val="auto"/>
          <w:sz w:val="44"/>
          <w:szCs w:val="44"/>
        </w:rPr>
        <w:sectPr>
          <w:headerReference w:type="default" r:id="rId69"/>
          <w:footerReference w:type="default" r:id="rId70"/>
          <w:headerReference w:type="first" r:id="rId71"/>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14" w:chapStyle="1" w:chapSep="enDash"/>
          <w:cols w:num="1" w:space="720"/>
          <w:titlePg w:val="0"/>
          <w:rtlGutter w:val="0"/>
          <w:docGrid w:linePitch="312" w:charSpace="0"/>
        </w:sectPr>
      </w:pPr>
      <w:r>
        <w:rPr>
          <w:rFonts w:ascii="宋体" w:eastAsia="宋体" w:hAnsi="宋体" w:cs="宋体" w:hint="eastAsia"/>
          <w:b/>
          <w:color w:val="auto"/>
          <w:sz w:val="44"/>
          <w:szCs w:val="44"/>
        </w:rPr>
        <w:t>投标人须知</w:t>
      </w:r>
    </w:p>
    <w:p>
      <w:pPr>
        <w:jc w:val="center"/>
        <w:rPr>
          <w:rFonts w:ascii="宋体" w:hAnsi="宋体" w:cs="宋体" w:hint="eastAsia"/>
          <w:color w:val="auto"/>
        </w:rPr>
      </w:pPr>
      <w:r>
        <w:rPr>
          <w:rFonts w:ascii="宋体" w:eastAsia="宋体" w:hAnsi="宋体" w:cs="宋体" w:hint="eastAsia"/>
          <w:b/>
          <w:color w:val="auto"/>
          <w:sz w:val="32"/>
          <w:szCs w:val="32"/>
        </w:rPr>
        <w:t>投标人须知</w:t>
      </w:r>
    </w:p>
    <w:p>
      <w:pPr>
        <w:pStyle w:val="CM78"/>
        <w:spacing w:line="360" w:lineRule="auto"/>
        <w:ind w:firstLine="420" w:firstLineChars="200"/>
        <w:rPr>
          <w:rFonts w:ascii="宋体" w:eastAsia="宋体" w:hAnsi="宋体" w:cs="宋体" w:hint="eastAsia"/>
          <w:sz w:val="21"/>
          <w:szCs w:val="21"/>
        </w:rPr>
      </w:pPr>
      <w:r>
        <w:rPr>
          <w:rFonts w:ascii="宋体" w:eastAsia="宋体" w:hAnsi="宋体" w:cs="宋体" w:hint="eastAsia"/>
          <w:b/>
          <w:bCs/>
          <w:color w:val="auto"/>
          <w:sz w:val="21"/>
          <w:szCs w:val="21"/>
        </w:rPr>
        <w:t>一、说明</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1．适用范围</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1.1本招标文件适用于本投标邀请中所述项目的政府采购。</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2.定义</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2.1“采购人”是指：</w:t>
      </w:r>
      <w:r>
        <w:rPr>
          <w:rFonts w:ascii="宋体" w:eastAsia="宋体" w:hAnsi="宋体" w:cs="宋体" w:hint="eastAsia"/>
          <w:color w:val="auto"/>
          <w:sz w:val="21"/>
          <w:szCs w:val="21"/>
          <w:lang w:eastAsia="zh-CN"/>
        </w:rPr>
        <w:t>兴宁市残疾人康复中心</w:t>
      </w:r>
      <w:r>
        <w:rPr>
          <w:rFonts w:ascii="宋体" w:eastAsia="宋体" w:hAnsi="宋体" w:cs="宋体" w:hint="eastAsia"/>
          <w:color w:val="auto"/>
          <w:sz w:val="21"/>
          <w:szCs w:val="21"/>
        </w:rPr>
        <w:t>。</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w:t>
      </w:r>
      <w:r>
        <w:rPr>
          <w:rFonts w:ascii="宋体" w:eastAsia="宋体" w:hAnsi="宋体" w:cs="宋体" w:hint="eastAsia"/>
          <w:color w:val="auto"/>
          <w:sz w:val="21"/>
          <w:szCs w:val="21"/>
          <w:lang w:val="en-US" w:eastAsia="zh-CN"/>
        </w:rPr>
        <w:t>2</w:t>
      </w:r>
      <w:r>
        <w:rPr>
          <w:rFonts w:ascii="宋体" w:eastAsia="宋体" w:hAnsi="宋体" w:cs="宋体" w:hint="eastAsia"/>
          <w:color w:val="auto"/>
          <w:sz w:val="21"/>
          <w:szCs w:val="21"/>
        </w:rPr>
        <w:t>“采购代理机构”是指：</w:t>
      </w:r>
      <w:r>
        <w:rPr>
          <w:rFonts w:ascii="宋体" w:eastAsia="宋体" w:hAnsi="宋体" w:cs="宋体" w:hint="eastAsia"/>
          <w:color w:val="auto"/>
          <w:sz w:val="21"/>
          <w:szCs w:val="21"/>
          <w:u w:val="none"/>
          <w:lang w:eastAsia="zh-CN"/>
        </w:rPr>
        <w:t>广东粤能工程管理有限公司</w:t>
      </w:r>
      <w:r>
        <w:rPr>
          <w:rFonts w:ascii="宋体" w:eastAsia="宋体" w:hAnsi="宋体" w:cs="宋体" w:hint="eastAsia"/>
          <w:color w:val="auto"/>
          <w:sz w:val="21"/>
          <w:szCs w:val="21"/>
        </w:rPr>
        <w:t>。</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w:t>
      </w:r>
      <w:r>
        <w:rPr>
          <w:rFonts w:ascii="宋体" w:eastAsia="宋体" w:hAnsi="宋体" w:cs="宋体" w:hint="eastAsia"/>
          <w:color w:val="auto"/>
          <w:sz w:val="21"/>
          <w:szCs w:val="21"/>
          <w:lang w:val="en-US" w:eastAsia="zh-CN"/>
        </w:rPr>
        <w:t>3</w:t>
      </w:r>
      <w:r>
        <w:rPr>
          <w:rFonts w:ascii="宋体" w:eastAsia="宋体" w:hAnsi="宋体" w:cs="宋体" w:hint="eastAsia"/>
          <w:color w:val="auto"/>
          <w:sz w:val="21"/>
          <w:szCs w:val="21"/>
        </w:rPr>
        <w:t>“招标采购单位”是指：</w:t>
      </w:r>
      <w:r>
        <w:rPr>
          <w:rFonts w:ascii="宋体" w:eastAsia="宋体" w:hAnsi="宋体" w:cs="宋体" w:hint="eastAsia"/>
          <w:color w:val="auto"/>
          <w:sz w:val="21"/>
          <w:szCs w:val="21"/>
          <w:lang w:eastAsia="zh-CN"/>
        </w:rPr>
        <w:t>兴宁市残疾人康复中心</w:t>
      </w:r>
      <w:r>
        <w:rPr>
          <w:rFonts w:ascii="宋体" w:eastAsia="宋体" w:hAnsi="宋体" w:cs="宋体" w:hint="eastAsia"/>
          <w:color w:val="auto"/>
          <w:sz w:val="21"/>
          <w:szCs w:val="21"/>
        </w:rPr>
        <w:t>，</w:t>
      </w:r>
      <w:r>
        <w:rPr>
          <w:rFonts w:ascii="宋体" w:eastAsia="宋体" w:hAnsi="宋体" w:cs="宋体" w:hint="eastAsia"/>
          <w:color w:val="auto"/>
          <w:sz w:val="21"/>
          <w:szCs w:val="21"/>
          <w:u w:val="none"/>
          <w:lang w:eastAsia="zh-CN"/>
        </w:rPr>
        <w:t>广东粤能工程管理有限公司</w:t>
      </w:r>
      <w:r>
        <w:rPr>
          <w:rFonts w:ascii="宋体" w:eastAsia="宋体" w:hAnsi="宋体" w:cs="宋体" w:hint="eastAsia"/>
          <w:color w:val="auto"/>
          <w:sz w:val="21"/>
          <w:szCs w:val="21"/>
        </w:rPr>
        <w:t>。</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w:t>
      </w:r>
      <w:r>
        <w:rPr>
          <w:rFonts w:ascii="宋体" w:eastAsia="宋体" w:hAnsi="宋体" w:cs="宋体" w:hint="eastAsia"/>
          <w:color w:val="auto"/>
          <w:sz w:val="21"/>
          <w:szCs w:val="21"/>
          <w:lang w:val="en-US" w:eastAsia="zh-CN"/>
        </w:rPr>
        <w:t>4</w:t>
      </w:r>
      <w:r>
        <w:rPr>
          <w:rFonts w:ascii="宋体" w:eastAsia="宋体" w:hAnsi="宋体" w:cs="宋体" w:hint="eastAsia"/>
          <w:color w:val="auto"/>
          <w:sz w:val="21"/>
          <w:szCs w:val="21"/>
        </w:rPr>
        <w:t>“供应商资格”是指符合第一部分</w:t>
      </w:r>
      <w:r>
        <w:rPr>
          <w:rFonts w:ascii="宋体" w:eastAsia="宋体" w:hAnsi="宋体" w:cs="宋体" w:hint="eastAsia"/>
          <w:color w:val="auto"/>
          <w:sz w:val="21"/>
          <w:szCs w:val="21"/>
          <w:lang w:eastAsia="zh-CN"/>
        </w:rPr>
        <w:t>招标公告二</w:t>
      </w:r>
      <w:r>
        <w:rPr>
          <w:rFonts w:ascii="宋体" w:eastAsia="宋体" w:hAnsi="宋体" w:cs="宋体" w:hint="eastAsia"/>
          <w:color w:val="auto"/>
          <w:sz w:val="21"/>
          <w:szCs w:val="21"/>
        </w:rPr>
        <w:t>、合格投标人资格。</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w:t>
      </w:r>
      <w:r>
        <w:rPr>
          <w:rFonts w:ascii="宋体" w:eastAsia="宋体" w:hAnsi="宋体" w:cs="宋体" w:hint="eastAsia"/>
          <w:color w:val="auto"/>
          <w:sz w:val="21"/>
          <w:szCs w:val="21"/>
          <w:lang w:val="en-US" w:eastAsia="zh-CN"/>
        </w:rPr>
        <w:t>5</w:t>
      </w:r>
      <w:r>
        <w:rPr>
          <w:rFonts w:ascii="宋体" w:eastAsia="宋体" w:hAnsi="宋体" w:cs="宋体" w:hint="eastAsia"/>
          <w:color w:val="auto"/>
          <w:sz w:val="21"/>
          <w:szCs w:val="21"/>
        </w:rPr>
        <w:t>“中标人”是指经法定程序确定并授予合同的投标人。</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3.合格的服务</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3.1“服务”是指除货物和工程以外的其他政府采购对象,其中包括：投标人须承担的运输、安装、技术支持、培训以及招标文件规定的其它服务。</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3.2投标人必须保证，采购人在中华人民共和国境内使用投标服务或其任何一部分时，享有不受限制的无偿使用权，如有第三方向采购人提出侵犯其专利权、商标权或其它知识产权的主张，该责任应由投标人承担。投标报价应包含所有应向所有权人支付的专利权、商标权或其它知识产权的一切相关费用。</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4．投标费用</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4.1投标人应承担所有与准备和参加投标有关的费用。不论投标的结果如何，政府采购代理机构和采购人均无义务和责任承担这些费用。</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4.2中标</w:t>
      </w:r>
      <w:r>
        <w:rPr>
          <w:rFonts w:ascii="宋体" w:eastAsia="宋体" w:hAnsi="宋体" w:cs="宋体" w:hint="eastAsia"/>
          <w:color w:val="auto"/>
          <w:sz w:val="21"/>
          <w:szCs w:val="21"/>
          <w:lang w:eastAsia="zh-CN"/>
        </w:rPr>
        <w:t>人</w:t>
      </w:r>
      <w:r>
        <w:rPr>
          <w:rFonts w:ascii="宋体" w:eastAsia="宋体" w:hAnsi="宋体" w:cs="宋体" w:hint="eastAsia"/>
          <w:color w:val="auto"/>
          <w:sz w:val="21"/>
          <w:szCs w:val="21"/>
        </w:rPr>
        <w:t>在收取《中标通知书》时应向采购代理机构交纳中标服务费，中标服务费的收费标准参照国家计委（计价格[2002]1980号）及发改办价格[2003]857号文件</w:t>
      </w:r>
      <w:r>
        <w:rPr>
          <w:rFonts w:ascii="宋体" w:eastAsia="宋体" w:hAnsi="宋体" w:cs="宋体" w:hint="eastAsia"/>
          <w:color w:val="auto"/>
          <w:sz w:val="21"/>
          <w:szCs w:val="21"/>
          <w:lang w:eastAsia="zh-CN"/>
        </w:rPr>
        <w:t>及国家现行有关规定</w:t>
      </w:r>
      <w:r>
        <w:rPr>
          <w:rFonts w:ascii="宋体" w:eastAsia="宋体" w:hAnsi="宋体" w:cs="宋体" w:hint="eastAsia"/>
          <w:color w:val="auto"/>
          <w:sz w:val="21"/>
          <w:szCs w:val="21"/>
        </w:rPr>
        <w:t>执行收取。</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1）中标服务费以人民币支付。</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2）中标服务费支付方式：一次性以银行转账或现金形式支付。</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w:t>
      </w:r>
      <w:r>
        <w:rPr>
          <w:rFonts w:ascii="宋体" w:eastAsia="宋体" w:hAnsi="宋体" w:cs="宋体" w:hint="eastAsia"/>
          <w:color w:val="auto"/>
          <w:sz w:val="21"/>
          <w:szCs w:val="21"/>
          <w:lang w:eastAsia="zh-CN"/>
        </w:rPr>
        <w:t>投标人报价应充分考虑</w:t>
      </w:r>
      <w:r>
        <w:rPr>
          <w:rFonts w:ascii="宋体" w:eastAsia="宋体" w:hAnsi="宋体" w:cs="宋体" w:hint="eastAsia"/>
          <w:color w:val="auto"/>
          <w:sz w:val="21"/>
          <w:szCs w:val="21"/>
        </w:rPr>
        <w:t>服务费</w:t>
      </w:r>
      <w:r>
        <w:rPr>
          <w:rFonts w:ascii="宋体" w:eastAsia="宋体" w:hAnsi="宋体" w:cs="宋体" w:hint="eastAsia"/>
          <w:color w:val="auto"/>
          <w:sz w:val="21"/>
          <w:szCs w:val="21"/>
          <w:lang w:eastAsia="zh-CN"/>
        </w:rPr>
        <w:t>及中标后一切费用，</w:t>
      </w:r>
      <w:r>
        <w:rPr>
          <w:rFonts w:ascii="宋体" w:eastAsia="宋体" w:hAnsi="宋体" w:cs="宋体" w:hint="eastAsia"/>
          <w:color w:val="auto"/>
          <w:sz w:val="21"/>
          <w:szCs w:val="21"/>
        </w:rPr>
        <w:t>中标服务费不在报价中单列。</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4）投标人如果不按规定交纳中标服务费，采购代理机构将在中标人的投标保证金中抵扣中标服务费。</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5.知识产权</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5.1投标人必须保证，采购人在中华人民共和国境内使用响应服务或其任何一部分时，享有不受限制的无偿使用权，如有第三方向采购人提出侵犯其专利权、商标权或其它知识产权的主张，该责任应由投标人承担。</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5.2投标报价应包含所有应向所有权人支付的专利权、商标权或其它知识产权的一切相关费用。</w:t>
      </w:r>
    </w:p>
    <w:p>
      <w:pPr>
        <w:pStyle w:val="Default"/>
        <w:spacing w:line="360" w:lineRule="auto"/>
        <w:ind w:firstLine="420" w:firstLineChars="200"/>
        <w:rPr>
          <w:rFonts w:ascii="宋体" w:eastAsia="宋体" w:hAnsi="宋体" w:cs="宋体" w:hint="eastAsia"/>
          <w:color w:val="auto"/>
          <w:sz w:val="21"/>
          <w:szCs w:val="21"/>
        </w:rPr>
        <w:sectPr>
          <w:headerReference w:type="default" r:id="rId72"/>
          <w:footerReference w:type="default" r:id="rId73"/>
          <w:headerReference w:type="first" r:id="rId74"/>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15" w:chapStyle="1" w:chapSep="enDash"/>
          <w:cols w:num="1" w:space="720"/>
          <w:titlePg w:val="0"/>
          <w:rtlGutter w:val="0"/>
          <w:docGrid w:linePitch="312" w:charSpace="0"/>
        </w:sectPr>
      </w:pPr>
      <w:r>
        <w:rPr>
          <w:rFonts w:ascii="宋体" w:eastAsia="宋体" w:hAnsi="宋体" w:cs="宋体" w:hint="eastAsia"/>
          <w:color w:val="auto"/>
          <w:sz w:val="21"/>
          <w:szCs w:val="21"/>
        </w:rPr>
        <w:t>5.3系统软件、通用软件必须是具有在中国境内的合法使用权或版权的正版软件，涉及到第三方提出侵权或知识产权的起诉及支付版税等费用由投标人承担所有责任及费用。</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6.其它</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6.1供应商（投标人）向我司咨询的有关项目事项，一切以法律法规的规定和本公司书面答复为准，其他一切形式均为个人意见，不代表本公司的意见。</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二、招标文件</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7.招标文件的构成</w:t>
      </w:r>
    </w:p>
    <w:p>
      <w:pPr>
        <w:pStyle w:val="Default"/>
        <w:spacing w:line="360" w:lineRule="auto"/>
        <w:ind w:left="420" w:leftChars="200"/>
        <w:rPr>
          <w:rFonts w:ascii="宋体" w:eastAsia="宋体" w:hAnsi="宋体" w:cs="宋体" w:hint="eastAsia"/>
          <w:color w:val="auto"/>
          <w:sz w:val="21"/>
          <w:szCs w:val="21"/>
        </w:rPr>
      </w:pPr>
      <w:r>
        <w:rPr>
          <w:rFonts w:ascii="宋体" w:eastAsia="宋体" w:hAnsi="宋体" w:cs="宋体" w:hint="eastAsia"/>
          <w:color w:val="auto"/>
          <w:sz w:val="21"/>
          <w:szCs w:val="21"/>
        </w:rPr>
        <w:t>7.1招标文件由下列文件以及在招标过程中发出的澄清或者修改文件组成：</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w:t>
      </w:r>
      <w:r>
        <w:rPr>
          <w:rFonts w:ascii="宋体" w:eastAsia="宋体" w:hAnsi="宋体" w:cs="宋体" w:hint="eastAsia"/>
          <w:color w:val="auto"/>
          <w:sz w:val="21"/>
          <w:szCs w:val="21"/>
          <w:lang w:eastAsia="zh-CN"/>
        </w:rPr>
        <w:t>招标公告（</w:t>
      </w:r>
      <w:r>
        <w:rPr>
          <w:rFonts w:ascii="宋体" w:eastAsia="宋体" w:hAnsi="宋体" w:cs="宋体" w:hint="eastAsia"/>
          <w:color w:val="auto"/>
          <w:sz w:val="21"/>
          <w:szCs w:val="21"/>
        </w:rPr>
        <w:t>投标邀请书</w:t>
      </w:r>
      <w:r>
        <w:rPr>
          <w:rFonts w:ascii="宋体" w:eastAsia="宋体" w:hAnsi="宋体" w:cs="宋体" w:hint="eastAsia"/>
          <w:color w:val="auto"/>
          <w:sz w:val="21"/>
          <w:szCs w:val="21"/>
          <w:lang w:eastAsia="zh-CN"/>
        </w:rPr>
        <w:t>）</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2）采购项目内容</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3）投标人须知</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4）合同书格式</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5）投标文件格式（第一册、第二册）</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6）在招标过程中由</w:t>
      </w:r>
      <w:r>
        <w:rPr>
          <w:rFonts w:ascii="宋体" w:eastAsia="宋体" w:hAnsi="宋体" w:cs="宋体" w:hint="eastAsia"/>
          <w:color w:val="auto"/>
          <w:sz w:val="21"/>
          <w:szCs w:val="21"/>
          <w:u w:val="none"/>
          <w:lang w:eastAsia="zh-CN"/>
        </w:rPr>
        <w:t>广东粤能工程管理有限公司</w:t>
      </w:r>
      <w:r>
        <w:rPr>
          <w:rFonts w:ascii="宋体" w:eastAsia="宋体" w:hAnsi="宋体" w:cs="宋体" w:hint="eastAsia"/>
          <w:color w:val="auto"/>
          <w:sz w:val="21"/>
          <w:szCs w:val="21"/>
        </w:rPr>
        <w:t>发出的澄清或者修改文件等</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7.2投标人应认真阅读、并充分理解招标文件的全部内容（包括所有的补充、修改内容、重要事项、格式、条款和技术规范、参数及要求等）。</w:t>
      </w:r>
    </w:p>
    <w:p>
      <w:pPr>
        <w:pStyle w:val="Default"/>
        <w:spacing w:line="360" w:lineRule="auto"/>
        <w:ind w:left="420" w:firstLine="61" w:leftChars="200" w:firstLineChars="29"/>
        <w:rPr>
          <w:rFonts w:ascii="宋体" w:eastAsia="宋体" w:hAnsi="宋体" w:cs="宋体" w:hint="eastAsia"/>
          <w:color w:val="auto"/>
          <w:sz w:val="21"/>
          <w:szCs w:val="21"/>
        </w:rPr>
      </w:pPr>
      <w:r>
        <w:rPr>
          <w:rFonts w:ascii="宋体" w:eastAsia="宋体" w:hAnsi="宋体" w:cs="宋体" w:hint="eastAsia"/>
          <w:b/>
          <w:bCs/>
          <w:color w:val="auto"/>
          <w:sz w:val="21"/>
          <w:szCs w:val="21"/>
        </w:rPr>
        <w:t>8.招标文件的澄清</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8.1任何要求对招标文件进行澄清的投标人，均应以书面形式</w:t>
      </w:r>
      <w:r>
        <w:rPr>
          <w:rFonts w:ascii="宋体" w:eastAsia="宋体" w:hAnsi="宋体" w:cs="宋体" w:hint="eastAsia"/>
          <w:color w:val="auto"/>
          <w:sz w:val="21"/>
          <w:szCs w:val="21"/>
          <w:lang w:eastAsia="zh-CN"/>
        </w:rPr>
        <w:t>（须盖公章及法人或法人授权委托人亲笔签名）</w:t>
      </w:r>
      <w:r>
        <w:rPr>
          <w:rFonts w:ascii="宋体" w:eastAsia="宋体" w:hAnsi="宋体" w:cs="宋体" w:hint="eastAsia"/>
          <w:color w:val="auto"/>
          <w:sz w:val="21"/>
          <w:szCs w:val="21"/>
        </w:rPr>
        <w:t>在投标截止时间十五日以前（或答疑会、现场踏堪前一天）通知</w:t>
      </w:r>
      <w:r>
        <w:rPr>
          <w:rFonts w:ascii="宋体" w:eastAsia="宋体" w:hAnsi="宋体" w:cs="宋体" w:hint="eastAsia"/>
          <w:color w:val="auto"/>
          <w:sz w:val="21"/>
          <w:szCs w:val="21"/>
          <w:u w:val="none"/>
          <w:lang w:eastAsia="zh-CN"/>
        </w:rPr>
        <w:t>广东粤能工程管理有限公司</w:t>
      </w:r>
      <w:r>
        <w:rPr>
          <w:rFonts w:ascii="宋体" w:eastAsia="宋体" w:hAnsi="宋体" w:cs="宋体" w:hint="eastAsia"/>
          <w:color w:val="auto"/>
          <w:sz w:val="21"/>
          <w:szCs w:val="21"/>
        </w:rPr>
        <w:t>。</w:t>
      </w:r>
      <w:r>
        <w:rPr>
          <w:rFonts w:ascii="宋体" w:eastAsia="宋体" w:hAnsi="宋体" w:cs="宋体" w:hint="eastAsia"/>
          <w:color w:val="auto"/>
          <w:sz w:val="21"/>
          <w:szCs w:val="21"/>
          <w:u w:val="none"/>
          <w:lang w:eastAsia="zh-CN"/>
        </w:rPr>
        <w:t>广东粤能工程管理有限公司</w:t>
      </w:r>
      <w:r>
        <w:rPr>
          <w:rFonts w:ascii="宋体" w:eastAsia="宋体" w:hAnsi="宋体" w:cs="宋体" w:hint="eastAsia"/>
          <w:color w:val="auto"/>
          <w:sz w:val="21"/>
          <w:szCs w:val="21"/>
        </w:rPr>
        <w:t>将组织采购人对投标人所要求澄清的内容均以书面形式予以答复。必要时，</w:t>
      </w:r>
      <w:r>
        <w:rPr>
          <w:rFonts w:ascii="宋体" w:eastAsia="宋体" w:hAnsi="宋体" w:cs="宋体" w:hint="eastAsia"/>
          <w:color w:val="auto"/>
          <w:sz w:val="21"/>
          <w:szCs w:val="21"/>
          <w:u w:val="none"/>
          <w:lang w:eastAsia="zh-CN"/>
        </w:rPr>
        <w:t>广东粤能工程管理有限公司</w:t>
      </w:r>
      <w:r>
        <w:rPr>
          <w:rFonts w:ascii="宋体" w:eastAsia="宋体" w:hAnsi="宋体" w:cs="宋体" w:hint="eastAsia"/>
          <w:color w:val="auto"/>
          <w:sz w:val="21"/>
          <w:szCs w:val="21"/>
        </w:rPr>
        <w:t>将组织相关专家召开答疑会，并将会议内容以书面的形式发给每个购买招标文件的潜在投标人（答复中不包括问题的来源）。</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8.2投标人在规定的时间内未对招标文件提出澄清或提出疑问的，</w:t>
      </w:r>
      <w:r>
        <w:rPr>
          <w:rFonts w:ascii="宋体" w:eastAsia="宋体" w:hAnsi="宋体" w:cs="宋体" w:hint="eastAsia"/>
          <w:color w:val="auto"/>
          <w:sz w:val="21"/>
          <w:szCs w:val="21"/>
          <w:u w:val="none"/>
          <w:lang w:eastAsia="zh-CN"/>
        </w:rPr>
        <w:t>广东粤能工程管理有限公司</w:t>
      </w:r>
      <w:r>
        <w:rPr>
          <w:rFonts w:ascii="宋体" w:eastAsia="宋体" w:hAnsi="宋体" w:cs="宋体" w:hint="eastAsia"/>
          <w:color w:val="auto"/>
          <w:sz w:val="21"/>
          <w:szCs w:val="21"/>
        </w:rPr>
        <w:t>将视其为无异议。对招标文件中描述有歧意或前后不一致的地方，评标委员会有权进行评判，但对同一条款的评判应适用于每个投标人。</w:t>
      </w:r>
    </w:p>
    <w:p>
      <w:pPr>
        <w:pStyle w:val="Default"/>
        <w:spacing w:line="360" w:lineRule="auto"/>
        <w:ind w:left="420" w:firstLine="61" w:leftChars="200" w:firstLineChars="29"/>
        <w:rPr>
          <w:rFonts w:ascii="宋体" w:eastAsia="宋体" w:hAnsi="宋体" w:cs="宋体" w:hint="eastAsia"/>
          <w:color w:val="auto"/>
          <w:sz w:val="21"/>
          <w:szCs w:val="21"/>
        </w:rPr>
      </w:pPr>
      <w:r>
        <w:rPr>
          <w:rFonts w:ascii="宋体" w:eastAsia="宋体" w:hAnsi="宋体" w:cs="宋体" w:hint="eastAsia"/>
          <w:b/>
          <w:bCs/>
          <w:color w:val="auto"/>
          <w:sz w:val="21"/>
          <w:szCs w:val="21"/>
        </w:rPr>
        <w:t>9.招标文件的澄清或者修改</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9.1在投标截止时间十五日以前，无论出于何种原因，</w:t>
      </w:r>
      <w:r>
        <w:rPr>
          <w:rFonts w:ascii="宋体" w:eastAsia="宋体" w:hAnsi="宋体" w:cs="宋体" w:hint="eastAsia"/>
          <w:color w:val="auto"/>
          <w:sz w:val="21"/>
          <w:szCs w:val="21"/>
          <w:u w:val="single"/>
          <w:lang w:eastAsia="zh-CN"/>
        </w:rPr>
        <w:t>广东粤能工程管理有限公司</w:t>
      </w:r>
      <w:r>
        <w:rPr>
          <w:rFonts w:ascii="宋体" w:eastAsia="宋体" w:hAnsi="宋体" w:cs="宋体" w:hint="eastAsia"/>
          <w:color w:val="auto"/>
          <w:sz w:val="21"/>
          <w:szCs w:val="21"/>
          <w:u w:val="single"/>
        </w:rPr>
        <w:t>、采购人</w:t>
      </w:r>
      <w:r>
        <w:rPr>
          <w:rFonts w:ascii="宋体" w:eastAsia="宋体" w:hAnsi="宋体" w:cs="宋体" w:hint="eastAsia"/>
          <w:color w:val="auto"/>
          <w:sz w:val="21"/>
          <w:szCs w:val="21"/>
        </w:rPr>
        <w:t>可主动地或在解答投标人提出的疑问时对招标文件进行澄清或者修改。</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9.2澄清或者修改后的内容是招标文件的组成部分，将以书面形式通知所有购买招标文件的潜在投标人，并对潜在投标人具有约束力。潜在投标人在收到上述澄清或者修改文件24小时内，应当以书面形式确认并回函至采购代理机构确认，投标人如在24小时内无书面回函则被视为同意确认招标文件澄清或者修改的内容。</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9.3为使投标人准备投标时有充足时间对招标文件的澄清或者修改部分进行研究，</w:t>
      </w:r>
      <w:r>
        <w:rPr>
          <w:rFonts w:ascii="宋体" w:eastAsia="宋体" w:hAnsi="宋体" w:cs="宋体" w:hint="eastAsia"/>
          <w:color w:val="auto"/>
          <w:sz w:val="21"/>
          <w:szCs w:val="21"/>
          <w:u w:val="single"/>
          <w:lang w:eastAsia="zh-CN"/>
        </w:rPr>
        <w:t>广东粤能工程管理有限公司</w:t>
      </w:r>
      <w:r>
        <w:rPr>
          <w:rFonts w:ascii="宋体" w:eastAsia="宋体" w:hAnsi="宋体" w:cs="宋体" w:hint="eastAsia"/>
          <w:color w:val="auto"/>
          <w:sz w:val="21"/>
          <w:szCs w:val="21"/>
          <w:u w:val="single"/>
        </w:rPr>
        <w:t>、采购人</w:t>
      </w:r>
      <w:r>
        <w:rPr>
          <w:rFonts w:ascii="宋体" w:eastAsia="宋体" w:hAnsi="宋体" w:cs="宋体" w:hint="eastAsia"/>
          <w:color w:val="auto"/>
          <w:sz w:val="21"/>
          <w:szCs w:val="21"/>
        </w:rPr>
        <w:t>可适当推迟投标截止时间和开标时间，并将变更时间在原公告发布媒体上发布澄清或者修改公告并视为有效送达所有购买招标文件的投标人。</w:t>
      </w:r>
    </w:p>
    <w:p>
      <w:pPr>
        <w:pStyle w:val="Default"/>
        <w:spacing w:line="360" w:lineRule="auto"/>
        <w:rPr>
          <w:rFonts w:ascii="宋体" w:eastAsia="宋体" w:hAnsi="宋体" w:cs="宋体" w:hint="eastAsia"/>
          <w:color w:val="auto"/>
          <w:sz w:val="21"/>
          <w:szCs w:val="21"/>
        </w:rPr>
        <w:sectPr>
          <w:headerReference w:type="default" r:id="rId75"/>
          <w:footerReference w:type="default" r:id="rId76"/>
          <w:headerReference w:type="first" r:id="rId77"/>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16" w:chapStyle="1" w:chapSep="enDash"/>
          <w:cols w:num="1" w:space="720"/>
          <w:titlePg w:val="0"/>
          <w:rtlGutter w:val="0"/>
          <w:docGrid w:linePitch="312" w:charSpace="0"/>
        </w:sectPr>
      </w:pPr>
    </w:p>
    <w:p>
      <w:pPr>
        <w:pStyle w:val="CM17"/>
        <w:spacing w:line="360" w:lineRule="auto"/>
        <w:ind w:firstLine="420" w:firstLineChars="200"/>
        <w:jc w:val="both"/>
        <w:rPr>
          <w:rFonts w:ascii="宋体" w:eastAsia="宋体" w:hAnsi="宋体" w:cs="宋体" w:hint="eastAsia"/>
          <w:sz w:val="21"/>
          <w:szCs w:val="21"/>
          <w:lang w:eastAsia="zh-CN"/>
        </w:rPr>
      </w:pPr>
      <w:r>
        <w:rPr>
          <w:rFonts w:ascii="宋体" w:eastAsia="宋体" w:hAnsi="宋体" w:cs="宋体" w:hint="eastAsia"/>
          <w:b/>
          <w:bCs/>
          <w:color w:val="auto"/>
          <w:sz w:val="21"/>
          <w:szCs w:val="21"/>
        </w:rPr>
        <w:t>三、投标文件的编制和数量</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10．投标的语言</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10.1投标人提交的投标文件以及投标人与</w:t>
      </w:r>
      <w:r>
        <w:rPr>
          <w:rFonts w:ascii="宋体" w:eastAsia="宋体" w:hAnsi="宋体" w:cs="宋体" w:hint="eastAsia"/>
          <w:color w:val="auto"/>
          <w:sz w:val="21"/>
          <w:szCs w:val="21"/>
          <w:u w:val="none"/>
          <w:lang w:eastAsia="zh-CN"/>
        </w:rPr>
        <w:t>广东粤能工程管理有限公司</w:t>
      </w:r>
      <w:r>
        <w:rPr>
          <w:rFonts w:ascii="宋体" w:eastAsia="宋体" w:hAnsi="宋体" w:cs="宋体" w:hint="eastAsia"/>
          <w:color w:val="auto"/>
          <w:sz w:val="21"/>
          <w:szCs w:val="21"/>
        </w:rPr>
        <w:t>就有关投标的所有来往函电均应使用中文。投标人提交的支持文件或印刷的资料可以用另一种语言，但相应内容应附有中文翻译本，在解释投标文件的修改内容时以中文翻译本为准。对中文翻译有异议的，以权威机构的译本为准。</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10.2投标文件的构成应符合法律法规及招标文件的要求。</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11.投标文件编制</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11.1投标人</w:t>
      </w:r>
      <w:r>
        <w:rPr>
          <w:rFonts w:ascii="宋体" w:eastAsia="宋体" w:hAnsi="宋体" w:cs="宋体" w:hint="eastAsia"/>
          <w:color w:val="auto"/>
          <w:sz w:val="21"/>
          <w:szCs w:val="21"/>
          <w:lang w:eastAsia="zh-CN"/>
        </w:rPr>
        <w:t>应对包组要求分别编制投标文件，</w:t>
      </w:r>
      <w:r>
        <w:rPr>
          <w:rFonts w:ascii="宋体" w:eastAsia="宋体" w:hAnsi="宋体" w:cs="宋体" w:hint="eastAsia"/>
          <w:color w:val="auto"/>
          <w:sz w:val="21"/>
          <w:szCs w:val="21"/>
        </w:rPr>
        <w:t>应当对投标文件第一册的正本、所有的副本分别进行装订、封装和第二册的正本、所有的副本分别进行装订、封装</w:t>
      </w:r>
      <w:r>
        <w:rPr>
          <w:rFonts w:ascii="宋体" w:eastAsia="宋体" w:hAnsi="宋体" w:cs="宋体" w:hint="eastAsia"/>
          <w:color w:val="auto"/>
        </w:rPr>
        <w:t>。</w:t>
      </w:r>
      <w:r>
        <w:rPr>
          <w:rFonts w:ascii="宋体" w:eastAsia="宋体" w:hAnsi="宋体" w:cs="宋体" w:hint="eastAsia"/>
          <w:color w:val="auto"/>
          <w:sz w:val="21"/>
          <w:szCs w:val="21"/>
        </w:rPr>
        <w:t>对未经装订的投标文件可能发生的文件散落或缺损，由此产生的后果由投标人承担。如投标人同时对招标文件中多个包（组）进行投标的，其投标文件的编制应按每个包（组）的第一册的正本、所有的副本分别进行装订、封装和第二册的正本、所有的副本分别进行装订、封装。</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11.2投标人应按照投标文件格式完整、真实、准确的填写相应的内容以及招标文件中规定的其他所有内容。</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11.3投标人必须对投标文件所提供的全部资料的真实性承担法律责任，并无条件接受</w:t>
      </w:r>
      <w:r>
        <w:rPr>
          <w:rFonts w:ascii="宋体" w:eastAsia="宋体" w:hAnsi="宋体" w:cs="宋体" w:hint="eastAsia"/>
          <w:color w:val="auto"/>
          <w:sz w:val="21"/>
          <w:szCs w:val="21"/>
          <w:u w:val="none"/>
          <w:lang w:eastAsia="zh-CN"/>
        </w:rPr>
        <w:t>广东粤能工程管理有限公司</w:t>
      </w:r>
      <w:r>
        <w:rPr>
          <w:rFonts w:ascii="宋体" w:eastAsia="宋体" w:hAnsi="宋体" w:cs="宋体" w:hint="eastAsia"/>
          <w:color w:val="auto"/>
          <w:sz w:val="21"/>
          <w:szCs w:val="21"/>
        </w:rPr>
        <w:t>及政府采购监督管理部门等对其中任何资料进行核实的要求。</w:t>
      </w:r>
      <w:r>
        <w:rPr>
          <w:rFonts w:ascii="宋体" w:eastAsia="宋体" w:hAnsi="宋体" w:cs="宋体" w:hint="eastAsia"/>
          <w:b/>
          <w:color w:val="auto"/>
          <w:sz w:val="21"/>
          <w:szCs w:val="21"/>
        </w:rPr>
        <w:t>投标人必须对投标文件所提供的全部资料的真实性承担法律责任。</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11.4如果因为投标人投标文件填报的内容不详，或没有提供招标文件中所要求的全部资料及数据，由此造成的后果，其责任由投标人承担。</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12.投标报价</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12.1投标人所提供的</w:t>
      </w:r>
      <w:r>
        <w:rPr>
          <w:rFonts w:ascii="宋体" w:eastAsia="宋体" w:hAnsi="宋体" w:cs="宋体" w:hint="eastAsia"/>
          <w:color w:val="auto"/>
          <w:sz w:val="21"/>
          <w:szCs w:val="21"/>
          <w:lang w:eastAsia="zh-CN"/>
        </w:rPr>
        <w:t>货物及</w:t>
      </w:r>
      <w:r>
        <w:rPr>
          <w:rFonts w:ascii="宋体" w:eastAsia="宋体" w:hAnsi="宋体" w:cs="宋体" w:hint="eastAsia"/>
          <w:color w:val="auto"/>
          <w:sz w:val="21"/>
          <w:szCs w:val="21"/>
        </w:rPr>
        <w:t>服务均应以人民币报价，若同时以人民币及外币报价的，以人民币报价为准。</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12.2投标人应按照第二部分《采购项目内容》</w:t>
      </w:r>
      <w:r>
        <w:rPr>
          <w:rFonts w:ascii="宋体" w:eastAsia="宋体" w:hAnsi="宋体" w:cs="宋体" w:hint="eastAsia"/>
          <w:color w:val="auto"/>
        </w:rPr>
        <w:t>的</w:t>
      </w:r>
      <w:r>
        <w:rPr>
          <w:rFonts w:ascii="宋体" w:eastAsia="宋体" w:hAnsi="宋体" w:cs="宋体" w:hint="eastAsia"/>
          <w:color w:val="auto"/>
          <w:sz w:val="21"/>
          <w:szCs w:val="21"/>
        </w:rPr>
        <w:t>规定的要求、责任范围以及合同条款进行报价。并按《开标一览表》和《投标报价明细表》确定的格式报出分项价格和总价。投标总价中不得包含招标文件要求以外的内容，否则，在评标时不予核减。投标总价中也不得缺漏招标文件所要求的内容，否则，其投标将可能被视为无效投标或确定为投标无效。</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12.3《投标报价明细表》填写时应响应下列要求：</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所有根据合同或其它原因应由投标人支付的税款和其它应交纳的费用都要包括在投标人提交的投标价格中；</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12.4每一种服务只允许有一个报价，且不能出现“免费”或“0元”等以赠送的形式进行报价，否则将被视为无效投标。</w:t>
      </w:r>
    </w:p>
    <w:p>
      <w:pPr>
        <w:pStyle w:val="Default"/>
        <w:spacing w:line="360" w:lineRule="auto"/>
        <w:ind w:firstLine="420" w:firstLineChars="200"/>
        <w:rPr>
          <w:rFonts w:ascii="宋体" w:eastAsia="宋体" w:hAnsi="宋体" w:cs="宋体" w:hint="eastAsia"/>
          <w:color w:val="auto"/>
          <w:sz w:val="21"/>
          <w:szCs w:val="21"/>
        </w:rPr>
        <w:sectPr>
          <w:headerReference w:type="default" r:id="rId78"/>
          <w:footerReference w:type="default" r:id="rId79"/>
          <w:headerReference w:type="first" r:id="rId80"/>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17" w:chapStyle="1" w:chapSep="enDash"/>
          <w:cols w:num="1" w:space="720"/>
          <w:titlePg w:val="0"/>
          <w:rtlGutter w:val="0"/>
          <w:docGrid w:linePitch="312" w:charSpace="0"/>
        </w:sectPr>
      </w:pPr>
      <w:r>
        <w:rPr>
          <w:rFonts w:ascii="宋体" w:eastAsia="宋体" w:hAnsi="宋体" w:cs="宋体" w:hint="eastAsia"/>
          <w:color w:val="auto"/>
          <w:sz w:val="21"/>
          <w:szCs w:val="21"/>
        </w:rPr>
        <w:t>12.5投标人漏报的单价或每单价报价中漏报、少报的费用，处理办法见招标文件《投标人须知》第26条。</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13.备选方案</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13.1只允许投标人有一个投标方案，不允许提交备选方案，否则将被视为无效投标（招标文件允许有备选方案的除外）。</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14.联合体投标</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14.1除非本项目招标公告中另有规定，本项目均不接受联合体投标。如果本项目招标公告中规定允许联合体投标的，则必须满足以下条件：</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1）联合体形式参与，须另提供联合体协议书原件附入投标文件的“第一册”“第二册”正本内，联合体协议应当明确联合体成员各方的权利和义务。</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2）联合体中有同类资质的供应商按照联合体分工承担相同工作的，应当按照资质等级较低的供应商确定资质等级。</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3）联合体投标的，可以由联合体中的一方或者共同提交投标保证金，以一方名义提交投标保证金的，对联合体各方均具有约束力。</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4）以联合体投标的应当对所有联合体成员进行信用记录查询，联合体成员存在不良信用记录的，视同联合体存在不良信用记录。</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5）参加联合体的投标人均应当符合《中华人民共和国政府采购法》第二十二条规定的条件。</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6）联合体中标的，联合体各方应当共同与采购人签订合同，就采购合同约定的事项对采购人承担连带责任。</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7）以联合体形式参加本项目投标的，联合体各方不得再单独参加或者与其他供应商另外组成联合体参加本项目的投标。）</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15.投标人资格证明文件</w:t>
      </w:r>
    </w:p>
    <w:p>
      <w:pPr>
        <w:tabs>
          <w:tab w:val="left" w:pos="3210"/>
        </w:tabs>
        <w:spacing w:line="360" w:lineRule="auto"/>
        <w:ind w:firstLine="420" w:firstLineChars="200"/>
        <w:rPr>
          <w:rFonts w:ascii="宋体" w:hAnsi="宋体" w:cs="宋体" w:hint="eastAsia"/>
          <w:color w:val="auto"/>
        </w:rPr>
      </w:pPr>
      <w:r>
        <w:rPr>
          <w:rFonts w:ascii="宋体" w:eastAsia="宋体" w:hAnsi="宋体" w:cs="宋体" w:hint="eastAsia"/>
          <w:color w:val="auto"/>
        </w:rPr>
        <w:t>15.1投标人应按招标文件的要求，提交证明其有资格参加投标和中标后有履行合同能力的文件，并作为其投标文件的组成部分，包括但不限于下列文件：</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1）资格证明文件：按招标文件第五部分《投标文件格式》内的第一册的规定提供的内容；</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2）证明投标</w:t>
      </w:r>
      <w:r>
        <w:rPr>
          <w:rFonts w:ascii="宋体" w:eastAsia="宋体" w:hAnsi="宋体" w:cs="宋体" w:hint="eastAsia"/>
          <w:color w:val="auto"/>
          <w:sz w:val="21"/>
          <w:szCs w:val="21"/>
          <w:highlight w:val="none"/>
        </w:rPr>
        <w:t>标的</w:t>
      </w:r>
      <w:r>
        <w:rPr>
          <w:rFonts w:ascii="宋体" w:eastAsia="宋体" w:hAnsi="宋体" w:cs="宋体" w:hint="eastAsia"/>
          <w:color w:val="auto"/>
          <w:sz w:val="21"/>
          <w:szCs w:val="21"/>
        </w:rPr>
        <w:t>的合格性文件；</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3）投标人认为有必要提供的其他资格证明文件。</w:t>
      </w:r>
    </w:p>
    <w:p>
      <w:pPr>
        <w:tabs>
          <w:tab w:val="left" w:pos="3210"/>
        </w:tabs>
        <w:spacing w:line="360" w:lineRule="auto"/>
        <w:ind w:firstLine="420" w:firstLineChars="200"/>
        <w:rPr>
          <w:rFonts w:ascii="宋体" w:hAnsi="宋体" w:cs="宋体" w:hint="eastAsia"/>
          <w:color w:val="auto"/>
        </w:rPr>
      </w:pPr>
      <w:r>
        <w:rPr>
          <w:rFonts w:ascii="宋体" w:eastAsia="宋体" w:hAnsi="宋体" w:cs="宋体" w:hint="eastAsia"/>
          <w:color w:val="auto"/>
        </w:rPr>
        <w:t>15.2资格证明文件必须真实有效，</w:t>
      </w:r>
      <w:r>
        <w:rPr>
          <w:rFonts w:ascii="宋体" w:eastAsia="宋体" w:hAnsi="宋体" w:cs="宋体" w:hint="eastAsia"/>
          <w:color w:val="auto"/>
          <w:szCs w:val="21"/>
        </w:rPr>
        <w:t>且符合招标文件要求的密封、签署、盖章的要求。</w:t>
      </w:r>
      <w:r>
        <w:rPr>
          <w:rFonts w:ascii="宋体" w:eastAsia="宋体" w:hAnsi="宋体" w:cs="宋体" w:hint="eastAsia"/>
          <w:color w:val="auto"/>
        </w:rPr>
        <w:t>资格证明文件中提供的复印件或原件必须加盖投标人公章。</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16.证明投标标的的合格性和符合招标文件规定的文件：</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16.1投标人应按招标文件的要求，提交证明其合格性和符合招标文件规定的文件，并作为其投标文件的组成部分，包括但不限于下列文件：</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1）按招标文件第五部分《投标文件格式》内的第二册的规定提供的内容；</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2）证明投标标的符合招标文件规定的文件；</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3）投标人认为有必要提供的其他文件；</w:t>
      </w:r>
    </w:p>
    <w:p>
      <w:pPr>
        <w:pStyle w:val="Default"/>
        <w:spacing w:line="360" w:lineRule="auto"/>
        <w:ind w:firstLine="420" w:firstLineChars="200"/>
        <w:rPr>
          <w:rFonts w:ascii="宋体" w:eastAsia="宋体" w:hAnsi="宋体" w:cs="宋体" w:hint="eastAsia"/>
          <w:color w:val="auto"/>
          <w:sz w:val="21"/>
          <w:szCs w:val="21"/>
        </w:rPr>
        <w:sectPr>
          <w:headerReference w:type="default" r:id="rId81"/>
          <w:footerReference w:type="default" r:id="rId82"/>
          <w:headerReference w:type="first" r:id="rId83"/>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18" w:chapStyle="1" w:chapSep="enDash"/>
          <w:cols w:num="1" w:space="720"/>
          <w:titlePg w:val="0"/>
          <w:rtlGutter w:val="0"/>
          <w:docGrid w:linePitch="312" w:charSpace="0"/>
        </w:sectPr>
      </w:pPr>
      <w:r>
        <w:rPr>
          <w:rFonts w:ascii="宋体" w:eastAsia="宋体" w:hAnsi="宋体" w:cs="宋体" w:hint="eastAsia"/>
          <w:color w:val="auto"/>
          <w:sz w:val="21"/>
          <w:szCs w:val="21"/>
        </w:rPr>
        <w:t>16.2所有文件必须真实有效，且符合招标文件要求的密封、签署、盖章的要求。</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17.投标保证金</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17.1投标人应当按招标文件规定的金额、形式和期限提交投标保证金(</w:t>
      </w:r>
      <w:r>
        <w:rPr>
          <w:rFonts w:ascii="宋体" w:eastAsia="宋体" w:hAnsi="宋体" w:cs="宋体" w:hint="eastAsia"/>
          <w:b/>
          <w:color w:val="auto"/>
          <w:sz w:val="21"/>
          <w:szCs w:val="21"/>
          <w:u w:val="single"/>
        </w:rPr>
        <w:t>只接受以投标人名义提交的投标保证金</w:t>
      </w:r>
      <w:r>
        <w:rPr>
          <w:rFonts w:ascii="宋体" w:eastAsia="宋体" w:hAnsi="宋体" w:cs="宋体" w:hint="eastAsia"/>
          <w:color w:val="auto"/>
          <w:sz w:val="21"/>
          <w:szCs w:val="21"/>
        </w:rPr>
        <w:t>)，投标保证金作为投标文件的组成部分。</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本项目的投标保证金金额：</w:t>
      </w:r>
      <w:r>
        <w:rPr>
          <w:rFonts w:ascii="宋体" w:eastAsia="宋体" w:hAnsi="宋体" w:cs="宋体" w:hint="eastAsia"/>
          <w:b/>
          <w:color w:val="auto"/>
          <w:sz w:val="21"/>
          <w:szCs w:val="21"/>
          <w:u w:val="single"/>
          <w:lang w:val="en-US" w:eastAsia="zh-CN"/>
        </w:rPr>
        <w:t>：</w:t>
      </w:r>
      <w:r>
        <w:rPr>
          <w:rFonts w:ascii="宋体" w:eastAsia="宋体" w:hAnsi="宋体" w:cs="宋体" w:hint="eastAsia"/>
          <w:b/>
          <w:color w:val="auto"/>
          <w:sz w:val="21"/>
          <w:szCs w:val="21"/>
          <w:u w:val="single"/>
        </w:rPr>
        <w:t>人民币</w:t>
      </w:r>
      <w:r>
        <w:rPr>
          <w:rFonts w:ascii="宋体" w:eastAsia="宋体" w:hAnsi="宋体" w:cs="宋体" w:hint="eastAsia"/>
          <w:b/>
          <w:color w:val="auto"/>
          <w:sz w:val="21"/>
          <w:szCs w:val="21"/>
          <w:u w:val="single"/>
          <w:lang w:val="en-US" w:eastAsia="zh-CN"/>
        </w:rPr>
        <w:t>伍仟</w:t>
      </w:r>
      <w:r>
        <w:rPr>
          <w:rFonts w:ascii="宋体" w:eastAsia="宋体" w:hAnsi="宋体" w:cs="宋体" w:hint="eastAsia"/>
          <w:b/>
          <w:color w:val="auto"/>
          <w:sz w:val="21"/>
          <w:szCs w:val="21"/>
          <w:u w:val="single"/>
          <w:lang w:eastAsia="zh-CN"/>
        </w:rPr>
        <w:t>元整</w:t>
      </w:r>
      <w:r>
        <w:rPr>
          <w:rFonts w:ascii="宋体" w:eastAsia="宋体" w:hAnsi="宋体" w:cs="宋体" w:hint="eastAsia"/>
          <w:b/>
          <w:color w:val="auto"/>
          <w:sz w:val="21"/>
          <w:szCs w:val="21"/>
          <w:u w:val="single"/>
        </w:rPr>
        <w:t>（</w:t>
      </w:r>
      <w:r>
        <w:rPr>
          <w:rFonts w:ascii="宋体" w:eastAsia="宋体" w:hAnsi="宋体" w:cs="宋体" w:hint="eastAsia"/>
          <w:bCs/>
          <w:color w:val="auto"/>
          <w:szCs w:val="21"/>
          <w:u w:val="single"/>
        </w:rPr>
        <w:t>￥</w:t>
      </w:r>
      <w:r>
        <w:rPr>
          <w:rFonts w:ascii="宋体" w:eastAsia="宋体" w:hAnsi="宋体" w:cs="宋体" w:hint="eastAsia"/>
          <w:bCs/>
          <w:color w:val="auto"/>
          <w:szCs w:val="21"/>
          <w:u w:val="single"/>
          <w:lang w:val="en-US" w:eastAsia="zh-CN"/>
        </w:rPr>
        <w:t>5000.00元</w:t>
      </w:r>
      <w:r>
        <w:rPr>
          <w:rFonts w:ascii="宋体" w:eastAsia="宋体" w:hAnsi="宋体" w:cs="宋体" w:hint="eastAsia"/>
          <w:b/>
          <w:color w:val="auto"/>
          <w:sz w:val="21"/>
          <w:szCs w:val="21"/>
          <w:u w:val="single"/>
        </w:rPr>
        <w:t>）</w:t>
      </w:r>
      <w:r>
        <w:rPr>
          <w:rFonts w:ascii="宋体" w:eastAsia="宋体" w:hAnsi="宋体" w:cs="宋体" w:hint="eastAsia"/>
          <w:b/>
          <w:color w:val="auto"/>
          <w:sz w:val="21"/>
          <w:szCs w:val="21"/>
        </w:rPr>
        <w:t>。</w:t>
      </w:r>
    </w:p>
    <w:p>
      <w:pPr>
        <w:pStyle w:val="Default"/>
        <w:spacing w:line="360" w:lineRule="auto"/>
        <w:ind w:firstLine="420" w:firstLineChars="200"/>
        <w:rPr>
          <w:rFonts w:ascii="宋体" w:eastAsia="宋体" w:hAnsi="宋体" w:cs="宋体" w:hint="eastAsia"/>
          <w:b/>
          <w:color w:val="auto"/>
          <w:sz w:val="21"/>
          <w:szCs w:val="21"/>
        </w:rPr>
      </w:pPr>
      <w:r>
        <w:rPr>
          <w:rFonts w:ascii="宋体" w:eastAsia="宋体" w:hAnsi="宋体" w:cs="宋体" w:hint="eastAsia"/>
          <w:b/>
          <w:color w:val="auto"/>
          <w:sz w:val="21"/>
          <w:szCs w:val="21"/>
        </w:rPr>
        <w:t>17.2投标保证金提交形式和期限：</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1)投标保证金提交形式：投标保证金应当以支票、汇票、本票、银行转账或者金融机构、担保机构出具的保函等非现金形式提交：</w:t>
      </w:r>
    </w:p>
    <w:p>
      <w:pPr>
        <w:pStyle w:val="Default"/>
        <w:spacing w:line="360" w:lineRule="auto"/>
        <w:ind w:firstLine="420" w:firstLineChars="200"/>
        <w:rPr>
          <w:rFonts w:ascii="宋体" w:eastAsia="宋体" w:hAnsi="宋体" w:cs="宋体" w:hint="eastAsia"/>
          <w:b/>
          <w:color w:val="auto"/>
          <w:sz w:val="21"/>
          <w:szCs w:val="21"/>
        </w:rPr>
      </w:pPr>
      <w:r>
        <w:rPr>
          <w:rFonts w:ascii="宋体" w:eastAsia="宋体" w:hAnsi="宋体" w:cs="宋体" w:hint="eastAsia"/>
          <w:b/>
          <w:color w:val="auto"/>
          <w:sz w:val="21"/>
          <w:szCs w:val="21"/>
        </w:rPr>
        <w:t>a.采用银行转账提交保证金的，应当符合下列规定：</w:t>
      </w:r>
    </w:p>
    <w:p>
      <w:pPr>
        <w:pStyle w:val="Default"/>
        <w:spacing w:line="360" w:lineRule="auto"/>
        <w:ind w:firstLine="840" w:firstLineChars="400"/>
        <w:rPr>
          <w:rFonts w:ascii="宋体" w:eastAsia="宋体" w:hAnsi="宋体" w:cs="宋体" w:hint="eastAsia"/>
          <w:color w:val="auto"/>
          <w:sz w:val="21"/>
          <w:szCs w:val="21"/>
        </w:rPr>
      </w:pPr>
      <w:r>
        <w:rPr>
          <w:rFonts w:ascii="宋体" w:eastAsia="宋体" w:hAnsi="宋体" w:cs="宋体" w:hint="eastAsia"/>
          <w:color w:val="auto"/>
          <w:sz w:val="21"/>
          <w:szCs w:val="21"/>
        </w:rPr>
        <w:t>收款人：</w:t>
      </w:r>
      <w:r>
        <w:rPr>
          <w:rFonts w:ascii="宋体" w:eastAsia="宋体" w:hAnsi="宋体" w:cs="宋体" w:hint="eastAsia"/>
          <w:b/>
          <w:color w:val="auto"/>
          <w:sz w:val="21"/>
          <w:szCs w:val="21"/>
          <w:u w:val="single"/>
          <w:lang w:eastAsia="zh-CN"/>
        </w:rPr>
        <w:t>广东粤能工程管理有限公司梅州分公司</w:t>
      </w:r>
    </w:p>
    <w:p>
      <w:pPr>
        <w:pStyle w:val="Default"/>
        <w:spacing w:line="360" w:lineRule="auto"/>
        <w:ind w:firstLine="840" w:firstLineChars="400"/>
        <w:rPr>
          <w:rFonts w:ascii="宋体" w:eastAsia="宋体" w:hAnsi="宋体" w:cs="宋体" w:hint="eastAsia"/>
          <w:b/>
          <w:color w:val="auto"/>
          <w:sz w:val="21"/>
          <w:szCs w:val="21"/>
          <w:u w:val="single"/>
        </w:rPr>
      </w:pPr>
      <w:r>
        <w:rPr>
          <w:rFonts w:ascii="宋体" w:eastAsia="宋体" w:hAnsi="宋体" w:cs="宋体" w:hint="eastAsia"/>
          <w:color w:val="auto"/>
          <w:sz w:val="21"/>
          <w:szCs w:val="21"/>
        </w:rPr>
        <w:t>开户银行：</w:t>
      </w:r>
      <w:r>
        <w:rPr>
          <w:rFonts w:ascii="宋体" w:eastAsia="宋体" w:hAnsi="宋体" w:cs="宋体" w:hint="eastAsia"/>
          <w:b/>
          <w:color w:val="auto"/>
          <w:sz w:val="21"/>
          <w:szCs w:val="21"/>
          <w:u w:val="single"/>
          <w:lang w:eastAsia="zh-CN"/>
        </w:rPr>
        <w:t>广发银行股份有限公司梅州兴宁支行</w:t>
      </w:r>
    </w:p>
    <w:p>
      <w:pPr>
        <w:pStyle w:val="Default"/>
        <w:spacing w:line="360" w:lineRule="auto"/>
        <w:ind w:left="630" w:firstLine="210" w:leftChars="300" w:firstLineChars="100"/>
        <w:rPr>
          <w:rFonts w:ascii="宋体" w:eastAsia="宋体" w:hAnsi="宋体" w:cs="宋体" w:hint="eastAsia"/>
          <w:color w:val="auto"/>
          <w:sz w:val="21"/>
          <w:szCs w:val="21"/>
          <w:u w:val="single"/>
        </w:rPr>
      </w:pPr>
      <w:r>
        <w:rPr>
          <w:rFonts w:ascii="宋体" w:eastAsia="宋体" w:hAnsi="宋体" w:cs="宋体" w:hint="eastAsia"/>
          <w:color w:val="auto"/>
          <w:sz w:val="21"/>
          <w:szCs w:val="21"/>
        </w:rPr>
        <w:t>账号：</w:t>
      </w:r>
      <w:r>
        <w:rPr>
          <w:rFonts w:ascii="宋体" w:eastAsia="宋体" w:hAnsi="宋体" w:cs="宋体" w:hint="eastAsia"/>
          <w:b/>
          <w:color w:val="auto"/>
          <w:szCs w:val="22"/>
          <w:u w:val="single"/>
        </w:rPr>
        <w:t>9550880210723400346</w:t>
      </w:r>
    </w:p>
    <w:p>
      <w:pPr>
        <w:pStyle w:val="Default"/>
        <w:spacing w:line="360" w:lineRule="auto"/>
        <w:ind w:left="630" w:leftChars="300"/>
        <w:rPr>
          <w:rFonts w:ascii="宋体" w:eastAsia="宋体" w:hAnsi="宋体" w:cs="宋体" w:hint="eastAsia"/>
          <w:color w:val="auto"/>
          <w:sz w:val="21"/>
          <w:szCs w:val="21"/>
        </w:rPr>
      </w:pPr>
      <w:r>
        <w:rPr>
          <w:rFonts w:ascii="宋体" w:eastAsia="宋体" w:hAnsi="宋体" w:cs="宋体" w:hint="eastAsia"/>
          <w:color w:val="auto"/>
          <w:sz w:val="21"/>
          <w:szCs w:val="21"/>
        </w:rPr>
        <w:t>[递交投标保证金</w:t>
      </w:r>
      <w:r>
        <w:rPr>
          <w:rFonts w:ascii="宋体" w:eastAsia="宋体" w:hAnsi="宋体" w:cs="宋体" w:hint="eastAsia"/>
          <w:color w:val="auto"/>
          <w:sz w:val="21"/>
          <w:szCs w:val="21"/>
          <w:lang w:eastAsia="zh-CN"/>
        </w:rPr>
        <w:t>请</w:t>
      </w:r>
      <w:r>
        <w:rPr>
          <w:rFonts w:ascii="宋体" w:eastAsia="宋体" w:hAnsi="宋体" w:cs="宋体" w:hint="eastAsia"/>
          <w:color w:val="auto"/>
          <w:sz w:val="21"/>
          <w:szCs w:val="21"/>
        </w:rPr>
        <w:t>标注“</w:t>
      </w:r>
      <w:r>
        <w:rPr>
          <w:rFonts w:ascii="宋体" w:eastAsia="宋体" w:hAnsi="宋体" w:cs="宋体" w:hint="eastAsia"/>
          <w:b/>
          <w:color w:val="auto"/>
          <w:sz w:val="21"/>
          <w:szCs w:val="21"/>
          <w:u w:val="single"/>
          <w:lang w:eastAsia="zh-CN"/>
        </w:rPr>
        <w:t>兴宁市残疾人康复中心设备器材采购项目</w:t>
      </w:r>
      <w:r>
        <w:rPr>
          <w:rFonts w:ascii="宋体" w:eastAsia="宋体" w:hAnsi="宋体" w:cs="宋体" w:hint="eastAsia"/>
          <w:b/>
          <w:color w:val="auto"/>
          <w:sz w:val="21"/>
          <w:szCs w:val="21"/>
          <w:u w:val="single"/>
          <w:lang w:val="en-US" w:eastAsia="zh-CN"/>
        </w:rPr>
        <w:t>保证金</w:t>
      </w:r>
      <w:r>
        <w:rPr>
          <w:rFonts w:ascii="宋体" w:eastAsia="宋体" w:hAnsi="宋体" w:cs="宋体" w:hint="eastAsia"/>
          <w:color w:val="auto"/>
          <w:sz w:val="21"/>
          <w:szCs w:val="21"/>
        </w:rPr>
        <w:t>”]</w:t>
      </w:r>
      <w:r>
        <w:rPr>
          <w:rFonts w:ascii="宋体" w:eastAsia="宋体" w:hAnsi="宋体" w:cs="宋体" w:hint="eastAsia"/>
          <w:color w:val="auto"/>
          <w:sz w:val="21"/>
          <w:szCs w:val="21"/>
          <w:lang w:eastAsia="zh-CN"/>
        </w:rPr>
        <w:t>（可简缩写）</w:t>
      </w:r>
    </w:p>
    <w:p>
      <w:pPr>
        <w:pStyle w:val="Default"/>
        <w:spacing w:line="360" w:lineRule="auto"/>
        <w:ind w:firstLine="420" w:firstLineChars="200"/>
        <w:rPr>
          <w:rFonts w:ascii="宋体" w:eastAsia="宋体" w:hAnsi="宋体" w:cs="宋体" w:hint="eastAsia"/>
          <w:b/>
          <w:color w:val="auto"/>
          <w:sz w:val="21"/>
          <w:szCs w:val="21"/>
        </w:rPr>
      </w:pPr>
      <w:r>
        <w:rPr>
          <w:rFonts w:ascii="宋体" w:eastAsia="宋体" w:hAnsi="宋体" w:cs="宋体" w:hint="eastAsia"/>
          <w:b/>
          <w:color w:val="auto"/>
          <w:sz w:val="21"/>
          <w:szCs w:val="21"/>
        </w:rPr>
        <w:t>b.采用支票、汇票、本票提交保证金的，应当符合下列规定：</w:t>
      </w:r>
    </w:p>
    <w:p>
      <w:pPr>
        <w:pStyle w:val="Default"/>
        <w:spacing w:line="360" w:lineRule="auto"/>
        <w:ind w:firstLine="840" w:firstLineChars="400"/>
        <w:rPr>
          <w:rFonts w:ascii="宋体" w:eastAsia="宋体" w:hAnsi="宋体" w:cs="宋体" w:hint="eastAsia"/>
          <w:b/>
          <w:color w:val="auto"/>
          <w:sz w:val="21"/>
          <w:szCs w:val="21"/>
          <w:u w:val="single"/>
        </w:rPr>
      </w:pPr>
      <w:r>
        <w:rPr>
          <w:rFonts w:ascii="宋体" w:eastAsia="宋体" w:hAnsi="宋体" w:cs="宋体" w:hint="eastAsia"/>
          <w:color w:val="auto"/>
          <w:sz w:val="21"/>
          <w:szCs w:val="21"/>
        </w:rPr>
        <w:t>收款人：</w:t>
      </w:r>
      <w:r>
        <w:rPr>
          <w:rFonts w:ascii="宋体" w:eastAsia="宋体" w:hAnsi="宋体" w:cs="宋体" w:hint="eastAsia"/>
          <w:b/>
          <w:color w:val="auto"/>
          <w:sz w:val="21"/>
          <w:szCs w:val="21"/>
          <w:u w:val="single"/>
          <w:lang w:eastAsia="zh-CN"/>
        </w:rPr>
        <w:t>广东粤能工程管理有限公司梅州分公司</w:t>
      </w:r>
    </w:p>
    <w:p>
      <w:pPr>
        <w:pStyle w:val="Default"/>
        <w:spacing w:line="360" w:lineRule="auto"/>
        <w:ind w:firstLine="840" w:firstLineChars="400"/>
        <w:rPr>
          <w:rFonts w:ascii="宋体" w:eastAsia="宋体" w:hAnsi="宋体" w:cs="宋体" w:hint="eastAsia"/>
          <w:color w:val="auto"/>
          <w:sz w:val="21"/>
          <w:szCs w:val="21"/>
        </w:rPr>
      </w:pPr>
      <w:r>
        <w:rPr>
          <w:rFonts w:ascii="宋体" w:eastAsia="宋体" w:hAnsi="宋体" w:cs="宋体" w:hint="eastAsia"/>
          <w:color w:val="auto"/>
          <w:sz w:val="21"/>
          <w:szCs w:val="21"/>
        </w:rPr>
        <w:t>[递交投标保证金</w:t>
      </w:r>
      <w:r>
        <w:rPr>
          <w:rFonts w:ascii="宋体" w:eastAsia="宋体" w:hAnsi="宋体" w:cs="宋体" w:hint="eastAsia"/>
          <w:color w:val="auto"/>
          <w:sz w:val="21"/>
          <w:szCs w:val="21"/>
          <w:lang w:eastAsia="zh-CN"/>
        </w:rPr>
        <w:t>请</w:t>
      </w:r>
      <w:r>
        <w:rPr>
          <w:rFonts w:ascii="宋体" w:eastAsia="宋体" w:hAnsi="宋体" w:cs="宋体" w:hint="eastAsia"/>
          <w:color w:val="auto"/>
          <w:sz w:val="21"/>
          <w:szCs w:val="21"/>
        </w:rPr>
        <w:t>标注“</w:t>
      </w:r>
      <w:r>
        <w:rPr>
          <w:rFonts w:ascii="宋体" w:eastAsia="宋体" w:hAnsi="宋体" w:cs="宋体" w:hint="eastAsia"/>
          <w:b/>
          <w:color w:val="auto"/>
          <w:sz w:val="21"/>
          <w:szCs w:val="21"/>
          <w:u w:val="single"/>
          <w:lang w:eastAsia="zh-CN"/>
        </w:rPr>
        <w:t>兴宁市残疾人康复中心设备器材采购项目</w:t>
      </w:r>
      <w:r>
        <w:rPr>
          <w:rFonts w:ascii="宋体" w:eastAsia="宋体" w:hAnsi="宋体" w:cs="宋体" w:hint="eastAsia"/>
          <w:b/>
          <w:color w:val="auto"/>
          <w:sz w:val="21"/>
          <w:szCs w:val="21"/>
          <w:u w:val="single"/>
          <w:lang w:val="en-US" w:eastAsia="zh-CN"/>
        </w:rPr>
        <w:t>保证金</w:t>
      </w:r>
      <w:r>
        <w:rPr>
          <w:rFonts w:ascii="宋体" w:eastAsia="宋体" w:hAnsi="宋体" w:cs="宋体" w:hint="eastAsia"/>
          <w:color w:val="auto"/>
          <w:sz w:val="21"/>
          <w:szCs w:val="21"/>
        </w:rPr>
        <w:t>”]</w:t>
      </w:r>
      <w:r>
        <w:rPr>
          <w:rFonts w:ascii="宋体" w:eastAsia="宋体" w:hAnsi="宋体" w:cs="宋体" w:hint="eastAsia"/>
          <w:color w:val="auto"/>
          <w:sz w:val="21"/>
          <w:szCs w:val="21"/>
          <w:lang w:eastAsia="zh-CN"/>
        </w:rPr>
        <w:t>（可简缩写）</w:t>
      </w:r>
    </w:p>
    <w:p>
      <w:pPr>
        <w:pStyle w:val="Default"/>
        <w:wordWrap w:val="0"/>
        <w:spacing w:line="360" w:lineRule="auto"/>
        <w:ind w:firstLine="420" w:firstLineChars="200"/>
        <w:rPr>
          <w:rFonts w:ascii="宋体" w:eastAsia="宋体" w:hAnsi="宋体" w:cs="宋体" w:hint="eastAsia"/>
          <w:b/>
          <w:color w:val="auto"/>
          <w:sz w:val="21"/>
          <w:szCs w:val="21"/>
        </w:rPr>
      </w:pPr>
      <w:r>
        <w:rPr>
          <w:rFonts w:ascii="宋体" w:eastAsia="宋体" w:hAnsi="宋体" w:cs="宋体" w:hint="eastAsia"/>
          <w:b/>
          <w:color w:val="auto"/>
          <w:sz w:val="21"/>
          <w:szCs w:val="21"/>
        </w:rPr>
        <w:t>c.采用金融机构、担保机构出具的保函提交保证金的，应当符合下列规定：</w:t>
      </w:r>
    </w:p>
    <w:p>
      <w:pPr>
        <w:pStyle w:val="Default"/>
        <w:wordWrap w:val="0"/>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保函中须标明本项目的采购项目名称“</w:t>
      </w:r>
      <w:r>
        <w:rPr>
          <w:rFonts w:ascii="宋体" w:eastAsia="宋体" w:hAnsi="宋体" w:cs="宋体" w:hint="eastAsia"/>
          <w:b/>
          <w:color w:val="auto"/>
          <w:sz w:val="21"/>
          <w:szCs w:val="21"/>
          <w:u w:val="single"/>
          <w:lang w:eastAsia="zh-CN"/>
        </w:rPr>
        <w:t>兴宁市残疾人康复中心设备器材采购项目</w:t>
      </w:r>
      <w:r>
        <w:rPr>
          <w:rFonts w:ascii="宋体" w:eastAsia="宋体" w:hAnsi="宋体" w:cs="宋体" w:hint="eastAsia"/>
          <w:color w:val="auto"/>
          <w:sz w:val="21"/>
          <w:szCs w:val="21"/>
          <w:u w:val="single"/>
        </w:rPr>
        <w:t>”、采购项目编号“</w:t>
      </w:r>
      <w:r>
        <w:rPr>
          <w:rFonts w:ascii="宋体" w:eastAsia="宋体" w:hAnsi="宋体" w:cs="宋体" w:hint="eastAsia"/>
          <w:color w:val="auto"/>
          <w:sz w:val="21"/>
          <w:szCs w:val="21"/>
          <w:u w:val="single"/>
          <w:lang w:val="en-US" w:eastAsia="zh-CN"/>
        </w:rPr>
        <w:t>GDYNMZ20220801</w:t>
      </w:r>
      <w:r>
        <w:rPr>
          <w:rFonts w:ascii="宋体" w:eastAsia="宋体" w:hAnsi="宋体" w:cs="宋体" w:hint="eastAsia"/>
          <w:color w:val="auto"/>
          <w:sz w:val="21"/>
          <w:szCs w:val="21"/>
          <w:u w:val="single"/>
        </w:rPr>
        <w:t>”</w:t>
      </w:r>
      <w:r>
        <w:rPr>
          <w:rFonts w:ascii="宋体" w:eastAsia="宋体" w:hAnsi="宋体" w:cs="宋体" w:hint="eastAsia"/>
          <w:color w:val="auto"/>
          <w:sz w:val="21"/>
          <w:szCs w:val="21"/>
        </w:rPr>
        <w:t>和受益人为采购人“</w:t>
      </w:r>
      <w:r>
        <w:rPr>
          <w:rFonts w:ascii="宋体" w:eastAsia="宋体" w:hAnsi="宋体" w:cs="宋体" w:hint="eastAsia"/>
          <w:b/>
          <w:color w:val="auto"/>
          <w:sz w:val="21"/>
          <w:szCs w:val="21"/>
          <w:u w:val="single"/>
          <w:lang w:eastAsia="zh-CN"/>
        </w:rPr>
        <w:t>兴宁市残疾人康复中心</w:t>
      </w:r>
      <w:r>
        <w:rPr>
          <w:rFonts w:ascii="宋体" w:eastAsia="宋体" w:hAnsi="宋体" w:cs="宋体" w:hint="eastAsia"/>
          <w:color w:val="auto"/>
          <w:sz w:val="21"/>
          <w:szCs w:val="21"/>
        </w:rPr>
        <w:t>”，投标人所提交的保函金额应当与本项目的投标保证金金额相同，保函有效期应不少于本招标文件规定的投标有效期。</w:t>
      </w:r>
    </w:p>
    <w:p>
      <w:pPr>
        <w:pStyle w:val="Default"/>
        <w:spacing w:line="360" w:lineRule="auto"/>
        <w:ind w:firstLine="412" w:firstLineChars="196"/>
        <w:rPr>
          <w:rFonts w:ascii="宋体" w:eastAsia="宋体" w:hAnsi="宋体" w:cs="宋体" w:hint="eastAsia"/>
          <w:color w:val="auto"/>
          <w:sz w:val="21"/>
          <w:szCs w:val="21"/>
        </w:rPr>
      </w:pPr>
      <w:r>
        <w:rPr>
          <w:rFonts w:ascii="宋体" w:eastAsia="宋体" w:hAnsi="宋体" w:cs="宋体" w:hint="eastAsia"/>
          <w:color w:val="auto"/>
          <w:sz w:val="21"/>
          <w:szCs w:val="21"/>
        </w:rPr>
        <w:t>2)投标保证金提交期限：</w:t>
      </w:r>
      <w:r>
        <w:rPr>
          <w:rFonts w:ascii="宋体" w:eastAsia="宋体" w:hAnsi="宋体" w:cs="宋体" w:hint="eastAsia"/>
          <w:b/>
          <w:color w:val="auto"/>
          <w:sz w:val="21"/>
          <w:szCs w:val="21"/>
          <w:u w:val="single"/>
        </w:rPr>
        <w:t>投标保证金提交截止时间与本项目投标截止时间相同</w:t>
      </w:r>
      <w:r>
        <w:rPr>
          <w:rFonts w:ascii="宋体" w:eastAsia="宋体" w:hAnsi="宋体" w:cs="宋体" w:hint="eastAsia"/>
          <w:color w:val="auto"/>
          <w:sz w:val="21"/>
          <w:szCs w:val="21"/>
        </w:rPr>
        <w:t>；</w:t>
      </w:r>
      <w:r>
        <w:rPr>
          <w:rFonts w:ascii="宋体" w:eastAsia="宋体" w:hAnsi="宋体" w:cs="宋体" w:hint="eastAsia"/>
          <w:b/>
          <w:color w:val="auto"/>
          <w:sz w:val="21"/>
          <w:szCs w:val="21"/>
          <w:u w:val="single"/>
        </w:rPr>
        <w:t>投标人提交保证金采用银行转账的，到达时间以采购代理机构账户到达时间为准</w:t>
      </w:r>
      <w:r>
        <w:rPr>
          <w:rFonts w:ascii="宋体" w:eastAsia="宋体" w:hAnsi="宋体" w:cs="宋体" w:hint="eastAsia"/>
          <w:color w:val="auto"/>
          <w:sz w:val="21"/>
          <w:szCs w:val="21"/>
        </w:rPr>
        <w:t>。</w:t>
      </w:r>
    </w:p>
    <w:p>
      <w:pPr>
        <w:pStyle w:val="Default"/>
        <w:spacing w:line="360" w:lineRule="auto"/>
        <w:ind w:firstLine="412" w:firstLineChars="196"/>
        <w:rPr>
          <w:rFonts w:ascii="宋体" w:eastAsia="宋体" w:hAnsi="宋体" w:cs="宋体" w:hint="eastAsia"/>
          <w:color w:val="auto"/>
          <w:sz w:val="21"/>
          <w:szCs w:val="21"/>
        </w:rPr>
      </w:pPr>
      <w:r>
        <w:rPr>
          <w:rFonts w:ascii="宋体" w:eastAsia="宋体" w:hAnsi="宋体" w:cs="宋体" w:hint="eastAsia"/>
          <w:color w:val="auto"/>
          <w:sz w:val="21"/>
          <w:szCs w:val="21"/>
        </w:rPr>
        <w:t>3)</w:t>
      </w:r>
      <w:r>
        <w:rPr>
          <w:rFonts w:ascii="宋体" w:eastAsia="宋体" w:hAnsi="宋体" w:cs="宋体" w:hint="eastAsia"/>
          <w:b/>
          <w:color w:val="auto"/>
          <w:sz w:val="21"/>
          <w:szCs w:val="21"/>
          <w:u w:val="single"/>
        </w:rPr>
        <w:t>投标人提交保证金采用银行转账方式的，银行转账凭证复印件应当另附入一份至《唱标信封》内，并与投标文件一同递交；采用支票、汇票、本票或者金融机构、担保机构出具的保函方式的，其原件应当附入《唱标信封》内，并与投标文件一同递交。</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17.3凡未按规定交纳投标保证金的投标，为投标无效。</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17.4如无质疑或投诉，未中标的投标人保证金，在中标通知书发出后五个工作日内不计利息原额退还；如有质疑或投诉，将在质疑和投诉处理完毕后不计利息原额退还。</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17.5采购代理机构自中标供应商与采购人签订采购合同并将合同原件提交给采购代理机构存档后5个工作日内，不计利息原额退还投标保证金或者转为中标供应商的履约保证金。</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17.6有下列情形之一的，投标保证金将被依法没收并上缴同级国库：</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1）中标后无正当理由放弃中标或不与采购人签订合同的；</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2）将中标项目转让给他人，或者在投标文件中未说明，且未经采购人同意，违反招标文件规定，将中标项目分包给他人的；</w:t>
      </w:r>
    </w:p>
    <w:p>
      <w:pPr>
        <w:pStyle w:val="Default"/>
        <w:spacing w:line="360" w:lineRule="auto"/>
        <w:ind w:firstLine="420" w:firstLineChars="200"/>
        <w:rPr>
          <w:rFonts w:ascii="宋体" w:eastAsia="宋体" w:hAnsi="宋体" w:cs="宋体" w:hint="eastAsia"/>
          <w:color w:val="auto"/>
          <w:sz w:val="21"/>
          <w:szCs w:val="21"/>
        </w:rPr>
        <w:sectPr>
          <w:headerReference w:type="default" r:id="rId84"/>
          <w:footerReference w:type="default" r:id="rId85"/>
          <w:headerReference w:type="first" r:id="rId86"/>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19" w:chapStyle="1" w:chapSep="enDash"/>
          <w:cols w:num="1" w:space="720"/>
          <w:titlePg w:val="0"/>
          <w:rtlGutter w:val="0"/>
          <w:docGrid w:linePitch="312" w:charSpace="0"/>
        </w:sectPr>
      </w:pPr>
      <w:r>
        <w:rPr>
          <w:rFonts w:ascii="宋体" w:eastAsia="宋体" w:hAnsi="宋体" w:cs="宋体" w:hint="eastAsia"/>
          <w:color w:val="auto"/>
          <w:sz w:val="21"/>
          <w:szCs w:val="21"/>
        </w:rPr>
        <w:t>3）投标有效期内投标人撤销投标文件的。</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18.投标的截止期</w:t>
      </w:r>
    </w:p>
    <w:p>
      <w:pPr>
        <w:pStyle w:val="Default"/>
        <w:spacing w:line="360" w:lineRule="auto"/>
        <w:ind w:firstLine="420" w:firstLineChars="200"/>
        <w:rPr>
          <w:rFonts w:ascii="宋体" w:eastAsia="宋体" w:hAnsi="宋体" w:cs="宋体" w:hint="eastAsia"/>
          <w:b/>
          <w:bCs/>
          <w:color w:val="auto"/>
          <w:sz w:val="21"/>
          <w:szCs w:val="21"/>
        </w:rPr>
      </w:pPr>
      <w:r>
        <w:rPr>
          <w:rFonts w:ascii="宋体" w:eastAsia="宋体" w:hAnsi="宋体" w:cs="宋体" w:hint="eastAsia"/>
          <w:b/>
          <w:bCs/>
          <w:color w:val="auto"/>
          <w:sz w:val="21"/>
          <w:szCs w:val="21"/>
        </w:rPr>
        <w:t>18.1投标截止时间为202</w:t>
      </w:r>
      <w:r>
        <w:rPr>
          <w:rFonts w:ascii="宋体" w:eastAsia="宋体" w:hAnsi="宋体" w:cs="宋体" w:hint="eastAsia"/>
          <w:b/>
          <w:bCs/>
          <w:color w:val="auto"/>
          <w:sz w:val="21"/>
          <w:szCs w:val="21"/>
          <w:lang w:val="en-US" w:eastAsia="zh-CN"/>
        </w:rPr>
        <w:t>2</w:t>
      </w:r>
      <w:r>
        <w:rPr>
          <w:rFonts w:ascii="宋体" w:eastAsia="宋体" w:hAnsi="宋体" w:cs="宋体" w:hint="eastAsia"/>
          <w:b/>
          <w:bCs/>
          <w:color w:val="auto"/>
          <w:sz w:val="21"/>
          <w:szCs w:val="21"/>
        </w:rPr>
        <w:t>年</w:t>
      </w:r>
      <w:r>
        <w:rPr>
          <w:rFonts w:ascii="宋体" w:eastAsia="宋体" w:hAnsi="宋体" w:cs="宋体" w:hint="eastAsia"/>
          <w:b/>
          <w:bCs/>
          <w:color w:val="auto"/>
          <w:sz w:val="21"/>
          <w:szCs w:val="21"/>
          <w:lang w:val="en-US" w:eastAsia="zh-CN"/>
        </w:rPr>
        <w:t xml:space="preserve"> 9 </w:t>
      </w:r>
      <w:r>
        <w:rPr>
          <w:rFonts w:ascii="宋体" w:eastAsia="宋体" w:hAnsi="宋体" w:cs="宋体" w:hint="eastAsia"/>
          <w:b/>
          <w:bCs/>
          <w:color w:val="auto"/>
          <w:sz w:val="21"/>
          <w:szCs w:val="21"/>
        </w:rPr>
        <w:t>月</w:t>
      </w:r>
      <w:r>
        <w:rPr>
          <w:rFonts w:ascii="宋体" w:eastAsia="宋体" w:hAnsi="宋体" w:cs="宋体" w:hint="eastAsia"/>
          <w:b/>
          <w:bCs/>
          <w:color w:val="auto"/>
          <w:sz w:val="21"/>
          <w:szCs w:val="21"/>
          <w:lang w:val="en-US" w:eastAsia="zh-CN"/>
        </w:rPr>
        <w:t xml:space="preserve"> 5 </w:t>
      </w:r>
      <w:r>
        <w:rPr>
          <w:rFonts w:ascii="宋体" w:eastAsia="宋体" w:hAnsi="宋体" w:cs="宋体" w:hint="eastAsia"/>
          <w:b/>
          <w:bCs/>
          <w:color w:val="auto"/>
          <w:sz w:val="21"/>
          <w:szCs w:val="21"/>
        </w:rPr>
        <w:t>日</w:t>
      </w:r>
      <w:r>
        <w:rPr>
          <w:rFonts w:ascii="宋体" w:eastAsia="宋体" w:hAnsi="宋体" w:cs="宋体" w:hint="eastAsia"/>
          <w:b/>
          <w:bCs/>
          <w:color w:val="auto"/>
          <w:sz w:val="21"/>
          <w:szCs w:val="21"/>
          <w:lang w:eastAsia="zh-CN"/>
        </w:rPr>
        <w:t>下</w:t>
      </w:r>
      <w:r>
        <w:rPr>
          <w:rFonts w:ascii="宋体" w:eastAsia="宋体" w:hAnsi="宋体" w:cs="宋体" w:hint="eastAsia"/>
          <w:b/>
          <w:bCs/>
          <w:color w:val="auto"/>
          <w:sz w:val="21"/>
          <w:szCs w:val="21"/>
        </w:rPr>
        <w:t>午</w:t>
      </w:r>
      <w:r>
        <w:rPr>
          <w:rFonts w:ascii="宋体" w:eastAsia="宋体" w:hAnsi="宋体" w:cs="宋体" w:hint="eastAsia"/>
          <w:b/>
          <w:bCs/>
          <w:color w:val="auto"/>
          <w:sz w:val="21"/>
          <w:szCs w:val="21"/>
          <w:lang w:val="en-US" w:eastAsia="zh-CN"/>
        </w:rPr>
        <w:t>15</w:t>
      </w:r>
      <w:r>
        <w:rPr>
          <w:rFonts w:ascii="宋体" w:eastAsia="宋体" w:hAnsi="宋体" w:cs="宋体" w:hint="eastAsia"/>
          <w:b/>
          <w:bCs/>
          <w:color w:val="auto"/>
          <w:sz w:val="21"/>
          <w:szCs w:val="21"/>
        </w:rPr>
        <w:t>：00（北京时间），投标人应当在招标文件要求提交投标文件的截止时间前，将投标文件密封送达投标地点。逾期送达或者未按照招标文件要求密封的投标文件，采购人、采购代理机构应当拒收。</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19.投标文件的数量和签署及盖章要求</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19.1</w:t>
      </w:r>
      <w:r>
        <w:rPr>
          <w:rFonts w:ascii="宋体" w:eastAsia="宋体" w:hAnsi="宋体" w:cs="宋体" w:hint="eastAsia"/>
          <w:bCs/>
          <w:color w:val="auto"/>
          <w:sz w:val="21"/>
          <w:szCs w:val="21"/>
        </w:rPr>
        <w:t>投标文件的数量要求：</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1）投标人应按招标文件第五部分《投标文件格式》（第二册）内容编制一式</w:t>
      </w:r>
      <w:r>
        <w:rPr>
          <w:rFonts w:ascii="宋体" w:eastAsia="宋体" w:hAnsi="宋体" w:cs="宋体" w:hint="eastAsia"/>
          <w:color w:val="auto"/>
          <w:sz w:val="21"/>
          <w:szCs w:val="21"/>
          <w:u w:val="single"/>
          <w:lang w:eastAsia="zh-CN"/>
        </w:rPr>
        <w:t>柒</w:t>
      </w:r>
      <w:r>
        <w:rPr>
          <w:rFonts w:ascii="宋体" w:eastAsia="宋体" w:hAnsi="宋体" w:cs="宋体" w:hint="eastAsia"/>
          <w:color w:val="auto"/>
          <w:sz w:val="21"/>
          <w:szCs w:val="21"/>
        </w:rPr>
        <w:t>份，其中正本</w:t>
      </w:r>
      <w:r>
        <w:rPr>
          <w:rFonts w:ascii="宋体" w:eastAsia="宋体" w:hAnsi="宋体" w:cs="宋体" w:hint="eastAsia"/>
          <w:color w:val="auto"/>
          <w:sz w:val="21"/>
          <w:szCs w:val="21"/>
          <w:u w:val="single"/>
        </w:rPr>
        <w:t>壹</w:t>
      </w:r>
      <w:r>
        <w:rPr>
          <w:rFonts w:ascii="宋体" w:eastAsia="宋体" w:hAnsi="宋体" w:cs="宋体" w:hint="eastAsia"/>
          <w:color w:val="auto"/>
          <w:sz w:val="21"/>
          <w:szCs w:val="21"/>
        </w:rPr>
        <w:t>份、副本</w:t>
      </w:r>
      <w:r>
        <w:rPr>
          <w:rFonts w:ascii="宋体" w:eastAsia="宋体" w:hAnsi="宋体" w:cs="宋体" w:hint="eastAsia"/>
          <w:color w:val="auto"/>
          <w:sz w:val="21"/>
          <w:szCs w:val="21"/>
          <w:u w:val="single"/>
          <w:lang w:val="en-US" w:eastAsia="zh-CN"/>
        </w:rPr>
        <w:t xml:space="preserve"> 伍 </w:t>
      </w:r>
      <w:r>
        <w:rPr>
          <w:rFonts w:ascii="宋体" w:eastAsia="宋体" w:hAnsi="宋体" w:cs="宋体" w:hint="eastAsia"/>
          <w:color w:val="auto"/>
          <w:sz w:val="21"/>
          <w:szCs w:val="21"/>
        </w:rPr>
        <w:t>份和电子文件</w:t>
      </w:r>
      <w:r>
        <w:rPr>
          <w:rFonts w:ascii="宋体" w:eastAsia="宋体" w:hAnsi="宋体" w:cs="宋体" w:hint="eastAsia"/>
          <w:color w:val="auto"/>
          <w:sz w:val="21"/>
          <w:szCs w:val="21"/>
          <w:u w:val="single"/>
        </w:rPr>
        <w:t>壹</w:t>
      </w:r>
      <w:r>
        <w:rPr>
          <w:rFonts w:ascii="宋体" w:eastAsia="宋体" w:hAnsi="宋体" w:cs="宋体" w:hint="eastAsia"/>
          <w:color w:val="auto"/>
          <w:sz w:val="21"/>
          <w:szCs w:val="21"/>
        </w:rPr>
        <w:t>份；</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2）投标人应按招标文件第五部分《投标文件格式》（第一册）内容编制一式</w:t>
      </w:r>
      <w:r>
        <w:rPr>
          <w:rFonts w:ascii="宋体" w:eastAsia="宋体" w:hAnsi="宋体" w:cs="宋体" w:hint="eastAsia"/>
          <w:color w:val="auto"/>
          <w:sz w:val="21"/>
          <w:szCs w:val="21"/>
          <w:u w:val="single"/>
          <w:lang w:val="en-US" w:eastAsia="zh-CN"/>
        </w:rPr>
        <w:t xml:space="preserve"> </w:t>
      </w:r>
      <w:r>
        <w:rPr>
          <w:rFonts w:ascii="宋体" w:eastAsia="宋体" w:hAnsi="宋体" w:cs="宋体" w:hint="eastAsia"/>
          <w:color w:val="auto"/>
          <w:sz w:val="21"/>
          <w:szCs w:val="21"/>
          <w:u w:val="single"/>
          <w:lang w:eastAsia="zh-CN"/>
        </w:rPr>
        <w:t>肆</w:t>
      </w:r>
      <w:r>
        <w:rPr>
          <w:rFonts w:ascii="宋体" w:eastAsia="宋体" w:hAnsi="宋体" w:cs="宋体" w:hint="eastAsia"/>
          <w:color w:val="auto"/>
          <w:sz w:val="21"/>
          <w:szCs w:val="21"/>
        </w:rPr>
        <w:t>份，其中正本</w:t>
      </w:r>
      <w:r>
        <w:rPr>
          <w:rFonts w:ascii="宋体" w:eastAsia="宋体" w:hAnsi="宋体" w:cs="宋体" w:hint="eastAsia"/>
          <w:color w:val="auto"/>
          <w:sz w:val="21"/>
          <w:szCs w:val="21"/>
          <w:u w:val="single"/>
        </w:rPr>
        <w:t>壹</w:t>
      </w:r>
      <w:r>
        <w:rPr>
          <w:rFonts w:ascii="宋体" w:eastAsia="宋体" w:hAnsi="宋体" w:cs="宋体" w:hint="eastAsia"/>
          <w:color w:val="auto"/>
          <w:sz w:val="21"/>
          <w:szCs w:val="21"/>
        </w:rPr>
        <w:t>份、副本</w:t>
      </w:r>
      <w:r>
        <w:rPr>
          <w:rFonts w:ascii="宋体" w:eastAsia="宋体" w:hAnsi="宋体" w:cs="宋体" w:hint="eastAsia"/>
          <w:color w:val="auto"/>
          <w:sz w:val="21"/>
          <w:szCs w:val="21"/>
          <w:u w:val="single"/>
          <w:lang w:val="en-US" w:eastAsia="zh-CN"/>
        </w:rPr>
        <w:t xml:space="preserve"> 贰 </w:t>
      </w:r>
      <w:r>
        <w:rPr>
          <w:rFonts w:ascii="宋体" w:eastAsia="宋体" w:hAnsi="宋体" w:cs="宋体" w:hint="eastAsia"/>
          <w:color w:val="auto"/>
          <w:sz w:val="21"/>
          <w:szCs w:val="21"/>
        </w:rPr>
        <w:t>份和电子文件</w:t>
      </w:r>
      <w:r>
        <w:rPr>
          <w:rFonts w:ascii="宋体" w:eastAsia="宋体" w:hAnsi="宋体" w:cs="宋体" w:hint="eastAsia"/>
          <w:color w:val="auto"/>
          <w:sz w:val="21"/>
          <w:szCs w:val="21"/>
          <w:u w:val="single"/>
        </w:rPr>
        <w:t>壹</w:t>
      </w:r>
      <w:r>
        <w:rPr>
          <w:rFonts w:ascii="宋体" w:eastAsia="宋体" w:hAnsi="宋体" w:cs="宋体" w:hint="eastAsia"/>
          <w:color w:val="auto"/>
          <w:sz w:val="21"/>
          <w:szCs w:val="21"/>
        </w:rPr>
        <w:t>份；</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19.2</w:t>
      </w:r>
      <w:r>
        <w:rPr>
          <w:rFonts w:ascii="宋体" w:eastAsia="宋体" w:hAnsi="宋体" w:cs="宋体" w:hint="eastAsia"/>
          <w:bCs/>
          <w:color w:val="auto"/>
          <w:sz w:val="21"/>
          <w:szCs w:val="21"/>
        </w:rPr>
        <w:t>投标文件的</w:t>
      </w:r>
      <w:r>
        <w:rPr>
          <w:rFonts w:ascii="宋体" w:eastAsia="宋体" w:hAnsi="宋体" w:cs="宋体" w:hint="eastAsia"/>
          <w:color w:val="auto"/>
          <w:sz w:val="21"/>
          <w:szCs w:val="21"/>
        </w:rPr>
        <w:t>签署及盖章要求：</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1）投标文件</w:t>
      </w:r>
      <w:r>
        <w:rPr>
          <w:rFonts w:ascii="宋体" w:eastAsia="宋体" w:hAnsi="宋体" w:cs="宋体" w:hint="eastAsia"/>
          <w:color w:val="auto"/>
          <w:sz w:val="21"/>
          <w:szCs w:val="21"/>
          <w:lang w:eastAsia="zh-CN"/>
        </w:rPr>
        <w:t>正本</w:t>
      </w:r>
      <w:r>
        <w:rPr>
          <w:rFonts w:ascii="宋体" w:eastAsia="宋体" w:hAnsi="宋体" w:cs="宋体" w:hint="eastAsia"/>
          <w:color w:val="auto"/>
          <w:sz w:val="21"/>
          <w:szCs w:val="21"/>
        </w:rPr>
        <w:t>需打印或用不褪色墨水书写</w:t>
      </w:r>
      <w:r>
        <w:rPr>
          <w:rFonts w:ascii="宋体" w:eastAsia="宋体" w:hAnsi="宋体" w:cs="宋体" w:hint="eastAsia"/>
          <w:color w:val="auto"/>
          <w:sz w:val="21"/>
          <w:szCs w:val="21"/>
          <w:lang w:eastAsia="zh-CN"/>
        </w:rPr>
        <w:t>，</w:t>
      </w:r>
      <w:r>
        <w:rPr>
          <w:rFonts w:ascii="宋体" w:eastAsia="宋体" w:hAnsi="宋体" w:cs="宋体" w:hint="eastAsia"/>
          <w:color w:val="auto"/>
          <w:sz w:val="21"/>
          <w:szCs w:val="21"/>
        </w:rPr>
        <w:t>并由法定代表人或经其正式授权的代表签字。授权代表须出具书面授权证明，其《法定代表人授权书》应附在投标文件中。投标文件正本须逐页盖投标人的公章，副本可采用正本的复印件，与正本具有同等法律效力，投标文件须由投标人法定代表人或其委托代理人（具有法定代表人签署的授权书）在投标文件正、副本封面上和投标文件外包装签字及加盖投标人公章。</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2）每套投标文件须清楚地标明“正本”、“副本”“第一册或第二册”的字样。若副本与正本不符，以正本为准。</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投标文件须按招标文件中已明示需要由投标人法定代表人或其授权代表签名和盖章的，均必须由投标人法定代表人或其授权代表签名和盖章；投标文件中的任何重要的插字、涂改和增删，必须由法定代表人或经其正式授权的代表在旁边签字或盖章才有效。</w:t>
      </w:r>
    </w:p>
    <w:p>
      <w:pPr>
        <w:pStyle w:val="Default"/>
        <w:spacing w:line="360" w:lineRule="auto"/>
        <w:ind w:firstLine="420" w:firstLineChars="200"/>
        <w:rPr>
          <w:rFonts w:ascii="宋体" w:eastAsia="宋体" w:hAnsi="宋体" w:cs="宋体" w:hint="eastAsia"/>
          <w:bCs/>
          <w:color w:val="auto"/>
          <w:sz w:val="21"/>
          <w:szCs w:val="21"/>
        </w:rPr>
      </w:pPr>
      <w:r>
        <w:rPr>
          <w:rFonts w:ascii="宋体" w:eastAsia="宋体" w:hAnsi="宋体" w:cs="宋体" w:hint="eastAsia"/>
          <w:color w:val="auto"/>
          <w:sz w:val="21"/>
          <w:szCs w:val="21"/>
        </w:rPr>
        <w:t>19.3电子文件用WORD2003以上版本制作，内容包括：由投标人自行制作的与正本文件一致的所有文件。电子文件由U盘或CD-R光盘储存</w:t>
      </w:r>
      <w:r>
        <w:rPr>
          <w:rFonts w:ascii="宋体" w:eastAsia="宋体" w:hAnsi="宋体" w:cs="宋体" w:hint="eastAsia"/>
          <w:color w:val="auto"/>
          <w:sz w:val="21"/>
          <w:szCs w:val="21"/>
          <w:lang w:eastAsia="zh-CN"/>
        </w:rPr>
        <w:t>（</w:t>
      </w:r>
      <w:r>
        <w:rPr>
          <w:rFonts w:ascii="宋体" w:eastAsia="宋体" w:hAnsi="宋体" w:cs="宋体" w:hint="eastAsia"/>
          <w:color w:val="auto"/>
          <w:sz w:val="21"/>
          <w:szCs w:val="21"/>
        </w:rPr>
        <w:t>无病毒</w:t>
      </w:r>
      <w:r>
        <w:rPr>
          <w:rFonts w:ascii="宋体" w:eastAsia="宋体" w:hAnsi="宋体" w:cs="宋体" w:hint="eastAsia"/>
          <w:color w:val="auto"/>
          <w:sz w:val="21"/>
          <w:szCs w:val="21"/>
          <w:lang w:eastAsia="zh-CN"/>
        </w:rPr>
        <w:t>，</w:t>
      </w:r>
      <w:r>
        <w:rPr>
          <w:rFonts w:ascii="宋体" w:eastAsia="宋体" w:hAnsi="宋体" w:cs="宋体" w:hint="eastAsia"/>
          <w:color w:val="auto"/>
          <w:sz w:val="21"/>
          <w:szCs w:val="21"/>
        </w:rPr>
        <w:t>不留密码</w:t>
      </w:r>
      <w:r>
        <w:rPr>
          <w:rFonts w:ascii="宋体" w:eastAsia="宋体" w:hAnsi="宋体" w:cs="宋体" w:hint="eastAsia"/>
          <w:color w:val="auto"/>
          <w:sz w:val="21"/>
          <w:szCs w:val="21"/>
          <w:lang w:eastAsia="zh-CN"/>
        </w:rPr>
        <w:t>）</w:t>
      </w:r>
      <w:r>
        <w:rPr>
          <w:rFonts w:ascii="宋体" w:eastAsia="宋体" w:hAnsi="宋体" w:cs="宋体" w:hint="eastAsia"/>
          <w:color w:val="auto"/>
          <w:sz w:val="21"/>
          <w:szCs w:val="21"/>
        </w:rPr>
        <w:t>，电子文件必须装于独立的信封</w:t>
      </w:r>
      <w:r>
        <w:rPr>
          <w:rFonts w:ascii="宋体" w:eastAsia="宋体" w:hAnsi="宋体" w:cs="宋体" w:hint="eastAsia"/>
          <w:color w:val="auto"/>
          <w:sz w:val="21"/>
          <w:szCs w:val="21"/>
          <w:lang w:eastAsia="zh-CN"/>
        </w:rPr>
        <w:t>，</w:t>
      </w:r>
      <w:r>
        <w:rPr>
          <w:rFonts w:ascii="宋体" w:eastAsia="宋体" w:hAnsi="宋体" w:cs="宋体" w:hint="eastAsia"/>
          <w:color w:val="auto"/>
          <w:sz w:val="21"/>
          <w:szCs w:val="21"/>
        </w:rPr>
        <w:t>信封上注明“电子文件”</w:t>
      </w:r>
      <w:r>
        <w:rPr>
          <w:rFonts w:ascii="宋体" w:eastAsia="宋体" w:hAnsi="宋体" w:cs="宋体" w:hint="eastAsia"/>
          <w:color w:val="auto"/>
          <w:sz w:val="21"/>
          <w:szCs w:val="21"/>
          <w:lang w:eastAsia="zh-CN"/>
        </w:rPr>
        <w:t>，并</w:t>
      </w:r>
      <w:r>
        <w:rPr>
          <w:rFonts w:ascii="宋体" w:eastAsia="宋体" w:hAnsi="宋体" w:cs="宋体" w:hint="eastAsia"/>
          <w:color w:val="auto"/>
          <w:sz w:val="21"/>
          <w:szCs w:val="21"/>
        </w:rPr>
        <w:t>注明投标人名称及采购项目名称、采购项目编号。</w:t>
      </w:r>
    </w:p>
    <w:p>
      <w:pPr>
        <w:pStyle w:val="Default"/>
        <w:spacing w:line="360" w:lineRule="auto"/>
        <w:ind w:firstLine="420" w:firstLineChars="200"/>
        <w:rPr>
          <w:rFonts w:ascii="宋体" w:eastAsia="宋体" w:hAnsi="宋体" w:cs="宋体" w:hint="eastAsia"/>
          <w:b/>
          <w:bCs/>
          <w:color w:val="auto"/>
          <w:sz w:val="21"/>
          <w:szCs w:val="21"/>
        </w:rPr>
      </w:pPr>
      <w:r>
        <w:rPr>
          <w:rFonts w:ascii="宋体" w:eastAsia="宋体" w:hAnsi="宋体" w:cs="宋体" w:hint="eastAsia"/>
          <w:b/>
          <w:bCs/>
          <w:color w:val="auto"/>
          <w:sz w:val="21"/>
          <w:szCs w:val="21"/>
        </w:rPr>
        <w:t>四、投标文件的递交</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20.投标文件的密封和标记</w:t>
      </w:r>
    </w:p>
    <w:p>
      <w:pPr>
        <w:tabs>
          <w:tab w:val="left" w:pos="3210"/>
        </w:tabs>
        <w:spacing w:line="360" w:lineRule="auto"/>
        <w:ind w:firstLine="420" w:firstLineChars="200"/>
        <w:rPr>
          <w:rFonts w:hint="eastAsia"/>
          <w:color w:val="auto"/>
        </w:rPr>
      </w:pPr>
      <w:r>
        <w:rPr>
          <w:rFonts w:ascii="宋体" w:eastAsia="宋体" w:hAnsi="宋体" w:cs="宋体" w:hint="eastAsia"/>
          <w:color w:val="auto"/>
        </w:rPr>
        <w:t>20.1为方便开标时唱标，投标人应将《唱标信封》（具体内容详见招标文件第五部分）一份单独密封提交，并在信封上清晰标明“唱标信封”字样。投标人应将投标文件</w:t>
      </w:r>
      <w:r>
        <w:rPr>
          <w:rFonts w:ascii="宋体" w:eastAsia="宋体" w:hAnsi="宋体" w:cs="宋体" w:hint="eastAsia"/>
          <w:color w:val="auto"/>
          <w:szCs w:val="21"/>
        </w:rPr>
        <w:t>第一册</w:t>
      </w:r>
      <w:r>
        <w:rPr>
          <w:rFonts w:ascii="宋体" w:eastAsia="宋体" w:hAnsi="宋体" w:cs="宋体" w:hint="eastAsia"/>
          <w:color w:val="auto"/>
        </w:rPr>
        <w:t>的正本、所有的副本分别单独密封包装</w:t>
      </w:r>
      <w:r>
        <w:rPr>
          <w:rFonts w:ascii="宋体" w:eastAsia="宋体" w:hAnsi="宋体" w:cs="宋体" w:hint="eastAsia"/>
          <w:color w:val="auto"/>
          <w:szCs w:val="21"/>
        </w:rPr>
        <w:t>和第二册</w:t>
      </w:r>
      <w:r>
        <w:rPr>
          <w:rFonts w:ascii="宋体" w:eastAsia="宋体" w:hAnsi="宋体" w:cs="宋体" w:hint="eastAsia"/>
          <w:color w:val="auto"/>
        </w:rPr>
        <w:t>的正本、所有的副本分别单独密封包装，并在外包装上清晰标明“正本或副本”、“</w:t>
      </w:r>
      <w:r>
        <w:rPr>
          <w:rFonts w:ascii="宋体" w:eastAsia="宋体" w:hAnsi="宋体" w:cs="宋体" w:hint="eastAsia"/>
          <w:color w:val="auto"/>
          <w:szCs w:val="21"/>
        </w:rPr>
        <w:t>第一册或第二册</w:t>
      </w:r>
      <w:r>
        <w:rPr>
          <w:rFonts w:ascii="宋体" w:eastAsia="宋体" w:hAnsi="宋体" w:cs="宋体" w:hint="eastAsia"/>
          <w:color w:val="auto"/>
        </w:rPr>
        <w:t>”的字样。</w:t>
      </w:r>
    </w:p>
    <w:p>
      <w:pPr>
        <w:tabs>
          <w:tab w:val="left" w:pos="3210"/>
        </w:tabs>
        <w:spacing w:line="360" w:lineRule="auto"/>
        <w:ind w:firstLine="420" w:firstLineChars="200"/>
        <w:rPr>
          <w:rFonts w:ascii="宋体" w:hAnsi="宋体" w:cs="宋体" w:hint="eastAsia"/>
          <w:color w:val="auto"/>
        </w:rPr>
      </w:pPr>
      <w:r>
        <w:rPr>
          <w:rFonts w:ascii="宋体" w:eastAsia="宋体" w:hAnsi="宋体" w:cs="宋体" w:hint="eastAsia"/>
          <w:color w:val="auto"/>
        </w:rPr>
        <w:t>20.2投标文件外包装均应符合以下要求：</w:t>
      </w:r>
    </w:p>
    <w:p>
      <w:pPr>
        <w:tabs>
          <w:tab w:val="left" w:pos="3210"/>
        </w:tabs>
        <w:spacing w:line="360" w:lineRule="auto"/>
        <w:ind w:firstLine="420" w:firstLineChars="200"/>
        <w:rPr>
          <w:rFonts w:ascii="宋体" w:hAnsi="宋体" w:cs="宋体" w:hint="eastAsia"/>
          <w:color w:val="auto"/>
        </w:rPr>
      </w:pPr>
      <w:r>
        <w:rPr>
          <w:rFonts w:ascii="宋体" w:eastAsia="宋体" w:hAnsi="宋体" w:cs="宋体" w:hint="eastAsia"/>
          <w:color w:val="auto"/>
          <w:szCs w:val="21"/>
        </w:rPr>
        <w:t>1）</w:t>
      </w:r>
      <w:r>
        <w:rPr>
          <w:rFonts w:ascii="宋体" w:eastAsia="宋体" w:hAnsi="宋体" w:cs="宋体" w:hint="eastAsia"/>
          <w:color w:val="auto"/>
        </w:rPr>
        <w:t>清楚注明递交至投标邀请函中指明的地址。</w:t>
      </w:r>
    </w:p>
    <w:p>
      <w:pPr>
        <w:tabs>
          <w:tab w:val="left" w:pos="3210"/>
        </w:tabs>
        <w:spacing w:line="360" w:lineRule="auto"/>
        <w:ind w:firstLine="420" w:firstLineChars="200"/>
        <w:rPr>
          <w:rFonts w:ascii="宋体" w:hAnsi="宋体" w:cs="宋体" w:hint="eastAsia"/>
          <w:color w:val="auto"/>
        </w:rPr>
        <w:sectPr>
          <w:headerReference w:type="default" r:id="rId87"/>
          <w:footerReference w:type="default" r:id="rId88"/>
          <w:headerReference w:type="first" r:id="rId89"/>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20" w:chapStyle="1" w:chapSep="enDash"/>
          <w:cols w:num="1" w:space="720"/>
          <w:titlePg w:val="0"/>
          <w:rtlGutter w:val="0"/>
          <w:docGrid w:linePitch="312" w:charSpace="0"/>
        </w:sectPr>
      </w:pPr>
      <w:r>
        <w:rPr>
          <w:rFonts w:ascii="宋体" w:eastAsia="宋体" w:hAnsi="宋体" w:cs="宋体" w:hint="eastAsia"/>
          <w:color w:val="auto"/>
          <w:szCs w:val="21"/>
        </w:rPr>
        <w:t>2）</w:t>
      </w:r>
      <w:r>
        <w:rPr>
          <w:rFonts w:ascii="宋体" w:eastAsia="宋体" w:hAnsi="宋体" w:cs="宋体" w:hint="eastAsia"/>
          <w:color w:val="auto"/>
        </w:rPr>
        <w:t>注明投标邀请函中指明的采购项目名称、采购项目编号和</w:t>
      </w:r>
      <w:r>
        <w:rPr>
          <w:rFonts w:ascii="宋体" w:eastAsia="宋体" w:hAnsi="宋体" w:cs="宋体" w:hint="eastAsia"/>
          <w:color w:val="auto"/>
          <w:lang w:eastAsia="zh-CN"/>
        </w:rPr>
        <w:t>“</w:t>
      </w:r>
      <w:r>
        <w:rPr>
          <w:rFonts w:ascii="宋体" w:eastAsia="宋体" w:hAnsi="宋体" w:cs="宋体" w:hint="eastAsia"/>
          <w:color w:val="auto"/>
        </w:rPr>
        <w:t>在（开标日期和时间）之前不得启封”的字样，并填入投标邀请函中规定的开标日期和时间。</w:t>
      </w:r>
    </w:p>
    <w:p>
      <w:pPr>
        <w:tabs>
          <w:tab w:val="left" w:pos="3210"/>
        </w:tabs>
        <w:spacing w:line="360" w:lineRule="auto"/>
        <w:ind w:firstLine="420" w:firstLineChars="200"/>
        <w:rPr>
          <w:rFonts w:ascii="宋体" w:hAnsi="宋体" w:cs="宋体" w:hint="eastAsia"/>
          <w:color w:val="auto"/>
        </w:rPr>
      </w:pPr>
      <w:r>
        <w:rPr>
          <w:rFonts w:ascii="宋体" w:eastAsia="宋体" w:hAnsi="宋体" w:cs="宋体" w:hint="eastAsia"/>
          <w:color w:val="auto"/>
          <w:szCs w:val="21"/>
        </w:rPr>
        <w:t>3）</w:t>
      </w:r>
      <w:r>
        <w:rPr>
          <w:rFonts w:ascii="宋体" w:eastAsia="宋体" w:hAnsi="宋体" w:cs="宋体" w:hint="eastAsia"/>
          <w:color w:val="auto"/>
        </w:rPr>
        <w:t>应写明投标人名称和地址。</w:t>
      </w:r>
    </w:p>
    <w:p>
      <w:pPr>
        <w:tabs>
          <w:tab w:val="left" w:pos="3210"/>
        </w:tabs>
        <w:spacing w:line="360" w:lineRule="auto"/>
        <w:ind w:firstLine="420" w:firstLineChars="200"/>
        <w:rPr>
          <w:rFonts w:ascii="宋体" w:hAnsi="宋体" w:cs="宋体" w:hint="eastAsia"/>
          <w:color w:val="auto"/>
        </w:rPr>
      </w:pPr>
      <w:r>
        <w:rPr>
          <w:rFonts w:ascii="宋体" w:eastAsia="宋体" w:hAnsi="宋体" w:cs="宋体" w:hint="eastAsia"/>
          <w:color w:val="auto"/>
          <w:szCs w:val="21"/>
        </w:rPr>
        <w:t>4）</w:t>
      </w:r>
      <w:r>
        <w:rPr>
          <w:rFonts w:ascii="宋体" w:eastAsia="宋体" w:hAnsi="宋体" w:cs="宋体" w:hint="eastAsia"/>
          <w:color w:val="auto"/>
        </w:rPr>
        <w:t>符合招标文件规定的签署及盖章要求，</w:t>
      </w:r>
    </w:p>
    <w:p>
      <w:pPr>
        <w:pStyle w:val="Default"/>
        <w:spacing w:line="360" w:lineRule="auto"/>
        <w:ind w:left="434" w:hanging="14" w:leftChars="200"/>
        <w:rPr>
          <w:rFonts w:ascii="宋体" w:eastAsia="宋体" w:hAnsi="宋体" w:cs="宋体" w:hint="eastAsia"/>
          <w:color w:val="auto"/>
          <w:sz w:val="21"/>
          <w:szCs w:val="21"/>
        </w:rPr>
      </w:pPr>
      <w:r>
        <w:rPr>
          <w:rFonts w:ascii="宋体" w:eastAsia="宋体" w:hAnsi="宋体" w:cs="宋体" w:hint="eastAsia"/>
          <w:color w:val="auto"/>
          <w:sz w:val="21"/>
          <w:szCs w:val="21"/>
        </w:rPr>
        <w:t>20.3如果未按要求密封和标记，</w:t>
      </w:r>
      <w:r>
        <w:rPr>
          <w:rFonts w:ascii="宋体" w:eastAsia="宋体" w:hAnsi="宋体" w:cs="宋体" w:hint="eastAsia"/>
          <w:color w:val="auto"/>
          <w:sz w:val="21"/>
          <w:szCs w:val="21"/>
          <w:u w:val="none"/>
          <w:lang w:eastAsia="zh-CN"/>
        </w:rPr>
        <w:t>广东粤能工程管理有限公司</w:t>
      </w:r>
      <w:r>
        <w:rPr>
          <w:rFonts w:ascii="宋体" w:eastAsia="宋体" w:hAnsi="宋体" w:cs="宋体" w:hint="eastAsia"/>
          <w:color w:val="auto"/>
          <w:sz w:val="21"/>
          <w:szCs w:val="21"/>
        </w:rPr>
        <w:t>对误投或提前启封概不负责。</w:t>
      </w:r>
    </w:p>
    <w:p>
      <w:pPr>
        <w:pStyle w:val="Default"/>
        <w:spacing w:line="360" w:lineRule="auto"/>
        <w:ind w:left="434" w:hanging="14" w:leftChars="200"/>
        <w:rPr>
          <w:rFonts w:ascii="宋体" w:eastAsia="宋体" w:hAnsi="宋体" w:cs="宋体" w:hint="eastAsia"/>
          <w:color w:val="auto"/>
          <w:sz w:val="21"/>
          <w:szCs w:val="21"/>
        </w:rPr>
      </w:pPr>
      <w:r>
        <w:rPr>
          <w:rFonts w:ascii="宋体" w:eastAsia="宋体" w:hAnsi="宋体" w:cs="宋体" w:hint="eastAsia"/>
          <w:color w:val="auto"/>
          <w:sz w:val="21"/>
          <w:szCs w:val="21"/>
        </w:rPr>
        <w:t>20.4</w:t>
      </w:r>
      <w:r>
        <w:rPr>
          <w:rFonts w:ascii="宋体" w:eastAsia="宋体" w:hAnsi="宋体" w:cs="宋体" w:hint="eastAsia"/>
          <w:color w:val="auto"/>
          <w:sz w:val="21"/>
          <w:szCs w:val="21"/>
          <w:u w:val="none"/>
          <w:lang w:eastAsia="zh-CN"/>
        </w:rPr>
        <w:t>广东粤能工程管理有限公司</w:t>
      </w:r>
      <w:r>
        <w:rPr>
          <w:rFonts w:ascii="宋体" w:eastAsia="宋体" w:hAnsi="宋体" w:cs="宋体" w:hint="eastAsia"/>
          <w:color w:val="auto"/>
          <w:sz w:val="21"/>
          <w:szCs w:val="21"/>
        </w:rPr>
        <w:t>将拒绝接收以下情况的投标文件：</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1）未按要求密封和标记的；</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2）投标截止时间止后递交的；</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3）非现场方式递交的投标文件。</w:t>
      </w:r>
    </w:p>
    <w:p>
      <w:pPr>
        <w:pStyle w:val="Default"/>
        <w:spacing w:line="360" w:lineRule="auto"/>
        <w:ind w:firstLine="420" w:firstLineChars="200"/>
        <w:rPr>
          <w:rFonts w:ascii="宋体" w:eastAsia="宋体" w:hAnsi="宋体" w:cs="宋体" w:hint="eastAsia"/>
          <w:b/>
          <w:bCs/>
          <w:color w:val="auto"/>
          <w:sz w:val="21"/>
          <w:szCs w:val="21"/>
        </w:rPr>
      </w:pPr>
      <w:r>
        <w:rPr>
          <w:rFonts w:ascii="宋体" w:eastAsia="宋体" w:hAnsi="宋体" w:cs="宋体" w:hint="eastAsia"/>
          <w:b/>
          <w:bCs/>
          <w:color w:val="auto"/>
          <w:sz w:val="21"/>
          <w:szCs w:val="21"/>
        </w:rPr>
        <w:t>21.投标文件的修改、撤回及有效期</w:t>
      </w:r>
    </w:p>
    <w:p>
      <w:pPr>
        <w:pStyle w:val="Default"/>
        <w:spacing w:line="360" w:lineRule="auto"/>
        <w:ind w:firstLine="420" w:firstLineChars="200"/>
        <w:rPr>
          <w:rFonts w:ascii="宋体" w:eastAsia="宋体" w:hAnsi="宋体" w:cs="宋体" w:hint="eastAsia"/>
          <w:bCs/>
          <w:color w:val="auto"/>
          <w:sz w:val="21"/>
          <w:szCs w:val="21"/>
        </w:rPr>
      </w:pPr>
      <w:r>
        <w:rPr>
          <w:rFonts w:ascii="宋体" w:eastAsia="宋体" w:hAnsi="宋体" w:cs="宋体" w:hint="eastAsia"/>
          <w:bCs/>
          <w:color w:val="auto"/>
          <w:sz w:val="21"/>
          <w:szCs w:val="21"/>
        </w:rPr>
        <w:t>21.1投标人在投标截止时间前，可以对所递交的投标文件进行补充、修改或者撤回，并书面通知采购人或者采购代理机构。补充、修改的内容应当按照招标文件要求签署、盖章、密封后，作为投标文件的组成部分。在投标截止时点之后，投标人不得对其投标文件做任何修改和补充。</w:t>
      </w:r>
    </w:p>
    <w:p>
      <w:pPr>
        <w:pStyle w:val="Default"/>
        <w:spacing w:line="360" w:lineRule="auto"/>
        <w:ind w:firstLine="420" w:firstLineChars="200"/>
        <w:rPr>
          <w:rFonts w:ascii="宋体" w:eastAsia="宋体" w:hAnsi="宋体" w:cs="宋体" w:hint="eastAsia"/>
          <w:bCs/>
          <w:color w:val="auto"/>
          <w:sz w:val="21"/>
          <w:szCs w:val="21"/>
        </w:rPr>
      </w:pPr>
      <w:r>
        <w:rPr>
          <w:rFonts w:ascii="宋体" w:eastAsia="宋体" w:hAnsi="宋体" w:cs="宋体" w:hint="eastAsia"/>
          <w:bCs/>
          <w:color w:val="auto"/>
          <w:sz w:val="21"/>
          <w:szCs w:val="21"/>
        </w:rPr>
        <w:t>21.2投标有效期</w:t>
      </w:r>
    </w:p>
    <w:p>
      <w:pPr>
        <w:pStyle w:val="Default"/>
        <w:spacing w:line="360" w:lineRule="auto"/>
        <w:ind w:firstLine="420" w:firstLineChars="200"/>
        <w:rPr>
          <w:rFonts w:ascii="宋体" w:eastAsia="宋体" w:hAnsi="宋体" w:cs="宋体" w:hint="eastAsia"/>
          <w:bCs/>
          <w:color w:val="auto"/>
          <w:sz w:val="21"/>
          <w:szCs w:val="21"/>
        </w:rPr>
      </w:pPr>
      <w:r>
        <w:rPr>
          <w:rFonts w:ascii="宋体" w:eastAsia="宋体" w:hAnsi="宋体" w:cs="宋体" w:hint="eastAsia"/>
          <w:color w:val="auto"/>
          <w:sz w:val="21"/>
          <w:szCs w:val="21"/>
        </w:rPr>
        <w:t>1）</w:t>
      </w:r>
      <w:r>
        <w:rPr>
          <w:rFonts w:ascii="宋体" w:eastAsia="宋体" w:hAnsi="宋体" w:cs="宋体" w:hint="eastAsia"/>
          <w:b/>
          <w:bCs w:val="0"/>
          <w:color w:val="auto"/>
          <w:sz w:val="21"/>
          <w:szCs w:val="21"/>
        </w:rPr>
        <w:t>投标文件应在投标截止之日起</w:t>
      </w:r>
      <w:r>
        <w:rPr>
          <w:rFonts w:ascii="宋体" w:eastAsia="宋体" w:hAnsi="宋体" w:cs="宋体" w:hint="eastAsia"/>
          <w:b/>
          <w:bCs w:val="0"/>
          <w:color w:val="auto"/>
          <w:sz w:val="21"/>
          <w:szCs w:val="21"/>
          <w:u w:val="single"/>
        </w:rPr>
        <w:t>90</w:t>
      </w:r>
      <w:r>
        <w:rPr>
          <w:rFonts w:ascii="宋体" w:eastAsia="宋体" w:hAnsi="宋体" w:cs="宋体" w:hint="eastAsia"/>
          <w:b/>
          <w:bCs w:val="0"/>
          <w:color w:val="auto"/>
          <w:sz w:val="21"/>
          <w:szCs w:val="21"/>
        </w:rPr>
        <w:t>天内保持有效</w:t>
      </w:r>
      <w:r>
        <w:rPr>
          <w:rFonts w:ascii="宋体" w:eastAsia="宋体" w:hAnsi="宋体" w:cs="宋体" w:hint="eastAsia"/>
          <w:bCs/>
          <w:color w:val="auto"/>
          <w:sz w:val="21"/>
          <w:szCs w:val="21"/>
        </w:rPr>
        <w:t>。投标有效期比规定时间短的将作为非实质性响应招标文件而予以拒绝。</w:t>
      </w:r>
    </w:p>
    <w:p>
      <w:pPr>
        <w:pStyle w:val="Default"/>
        <w:spacing w:line="360" w:lineRule="auto"/>
        <w:ind w:firstLine="420" w:firstLineChars="200"/>
        <w:rPr>
          <w:rFonts w:ascii="宋体" w:eastAsia="宋体" w:hAnsi="宋体" w:cs="宋体" w:hint="eastAsia"/>
          <w:bCs/>
          <w:color w:val="auto"/>
          <w:sz w:val="21"/>
          <w:szCs w:val="21"/>
        </w:rPr>
      </w:pPr>
      <w:r>
        <w:rPr>
          <w:rFonts w:ascii="宋体" w:eastAsia="宋体" w:hAnsi="宋体" w:cs="宋体" w:hint="eastAsia"/>
          <w:color w:val="auto"/>
          <w:sz w:val="21"/>
          <w:szCs w:val="21"/>
        </w:rPr>
        <w:t>2）</w:t>
      </w:r>
      <w:r>
        <w:rPr>
          <w:rFonts w:ascii="宋体" w:eastAsia="宋体" w:hAnsi="宋体" w:cs="宋体" w:hint="eastAsia"/>
          <w:bCs/>
          <w:color w:val="auto"/>
          <w:sz w:val="21"/>
          <w:szCs w:val="21"/>
        </w:rPr>
        <w:t>投标有效期从提交投标文件的截止之日起算。投标文件中承诺的投标有效期应当不少于招标文件中载明的投标有效期。投标有效期内投标人撤销投标文件的，采购人或者采购代理机构可以不退还投标保证金。</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21.3</w:t>
      </w:r>
      <w:r>
        <w:rPr>
          <w:rFonts w:ascii="宋体" w:eastAsia="宋体" w:hAnsi="宋体" w:cs="宋体" w:hint="eastAsia"/>
          <w:bCs/>
          <w:color w:val="auto"/>
          <w:sz w:val="21"/>
          <w:szCs w:val="21"/>
        </w:rPr>
        <w:t>投标人所提交的投标文件在评标结束后，无论中标与否都不退还。</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五、开标、评标定标</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22.开标</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22.1采购代理机构在《投标邀请书》中规定的日期、时间和地点组织公开开标。开标由采购代理机构主持，邀请投标人参加。评标委员会成员不得参加开标活动。</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22.2开标时，采购代理机构按《开标会签到表》顺序的前三名投标人作为全体投标人推选的代表就所有投标文件的密封情况进行检查，经确认无误后由采购代理机构的工作人员当众拆封，宣读投标人名称、投标价格和招标文件规定的需要宣布的其他内容。</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22.3采购代理机构现场记录人员将做开标记录并打印给各投标人法定代表人或授权代表签名确认（各投标人法定代表人或授权代表应对唱读内容及记录结果当场进行校核，如有疑问或者质疑应当场提出，否则视为同意）。</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22.4投标人未参加开标的，视同认可开标结果。</w:t>
      </w:r>
    </w:p>
    <w:p>
      <w:pPr>
        <w:pStyle w:val="Default"/>
        <w:spacing w:line="360" w:lineRule="auto"/>
        <w:ind w:firstLine="420" w:firstLineChars="200"/>
        <w:rPr>
          <w:rFonts w:ascii="宋体" w:eastAsia="宋体" w:hAnsi="宋体" w:cs="宋体" w:hint="eastAsia"/>
          <w:color w:val="auto"/>
          <w:sz w:val="21"/>
          <w:szCs w:val="21"/>
        </w:rPr>
      </w:pP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23.评标委员会的组成</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23.1评标由依照政府采购法律、法规、规章、政策的规定组建的评标委员会负责。评标委员会将秉着公平、公正、科学、择优的原则，严格按照法律法规和招标文件的要求推荐评审结果。</w:t>
      </w:r>
    </w:p>
    <w:p>
      <w:pPr>
        <w:pStyle w:val="Default"/>
        <w:spacing w:line="360" w:lineRule="auto"/>
        <w:ind w:firstLine="420" w:firstLineChars="200"/>
        <w:rPr>
          <w:rFonts w:ascii="宋体" w:eastAsia="宋体" w:hAnsi="宋体" w:cs="宋体" w:hint="eastAsia"/>
          <w:color w:val="auto"/>
          <w:sz w:val="21"/>
          <w:szCs w:val="21"/>
        </w:rPr>
        <w:sectPr>
          <w:headerReference w:type="default" r:id="rId90"/>
          <w:footerReference w:type="default" r:id="rId91"/>
          <w:headerReference w:type="first" r:id="rId92"/>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21" w:chapStyle="1" w:chapSep="enDash"/>
          <w:cols w:num="1" w:space="720"/>
          <w:titlePg w:val="0"/>
          <w:rtlGutter w:val="0"/>
          <w:docGrid w:linePitch="312" w:charSpace="0"/>
        </w:sectPr>
      </w:pPr>
      <w:r>
        <w:rPr>
          <w:rFonts w:ascii="宋体" w:eastAsia="宋体" w:hAnsi="宋体" w:cs="宋体" w:hint="eastAsia"/>
          <w:color w:val="auto"/>
          <w:sz w:val="21"/>
          <w:szCs w:val="21"/>
        </w:rPr>
        <w:t>23.2评标委员会的组成：评标委员会由采购人代表和评审专家组成，成员人数由</w:t>
      </w:r>
      <w:r>
        <w:rPr>
          <w:rFonts w:ascii="宋体" w:eastAsia="宋体" w:hAnsi="宋体" w:cs="宋体" w:hint="eastAsia"/>
          <w:color w:val="auto"/>
          <w:sz w:val="21"/>
          <w:szCs w:val="21"/>
          <w:lang w:val="en-US" w:eastAsia="zh-CN"/>
        </w:rPr>
        <w:t>5</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人单数组成，其中评审专家不少于成员总数的三分之二。</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23.3评标委员会负责具体评标事务，并独立履行下列职责：</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1）审查、评价投标文件是否符合招标文件的商务、技术等实质性要求；</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2）要求投标人对投标文件有关事项作出澄清或者说明；</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3）对投标文件进行比较和评价；</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4）确定中标候选人名单；</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5）向采购人、采购代理机构或者有关部门报告评标中发现的违法行为。</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23.4评标委员会及其成员不得有下列行为：</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1）确定参与评标至评标结束前私自接触投标人；</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2）接受投标人提出的与投标文件不一致的澄清或者说明，《投标人须知》第29条规定的情形除外；</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3）违反评标纪律发表倾向性意见或者征询采购人的倾向性意见；</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4）对需要专业判断的主观评审因素协商评分；</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5）在评标过程中擅离职守，影响评标程序正常进行的；</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6）记录、复制或者带走任何评标资料；</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7）其他不遵守评标纪律的行为。</w:t>
      </w:r>
    </w:p>
    <w:p>
      <w:pPr>
        <w:pStyle w:val="Default"/>
        <w:spacing w:line="360" w:lineRule="auto"/>
        <w:ind w:firstLine="420" w:firstLineChars="200"/>
        <w:rPr>
          <w:rFonts w:ascii="宋体" w:eastAsia="宋体" w:hAnsi="宋体" w:cs="宋体" w:hint="eastAsia"/>
          <w:b/>
          <w:color w:val="auto"/>
          <w:sz w:val="21"/>
          <w:szCs w:val="21"/>
        </w:rPr>
      </w:pPr>
      <w:r>
        <w:rPr>
          <w:rFonts w:ascii="宋体" w:eastAsia="宋体" w:hAnsi="宋体" w:cs="宋体" w:hint="eastAsia"/>
          <w:b/>
          <w:color w:val="auto"/>
          <w:sz w:val="21"/>
          <w:szCs w:val="21"/>
        </w:rPr>
        <w:t>24.</w:t>
      </w:r>
      <w:r>
        <w:rPr>
          <w:rFonts w:ascii="宋体" w:eastAsia="宋体" w:hAnsi="宋体" w:cs="宋体" w:hint="eastAsia"/>
          <w:b/>
          <w:bCs/>
          <w:color w:val="auto"/>
          <w:sz w:val="21"/>
          <w:szCs w:val="21"/>
        </w:rPr>
        <w:t>评标方法（详见九、评标方法、步骤及标准）</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24.1最低评标价法：是指投标文件满足招标文件全部实质性要求，且投标报价最低的投标人为中标候选人的评标方法。</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24.2综合评分法，是指投标文件满足招标文件全部实质性要求，且按照评审因素的量化指标评审得分最高的投标人为中标候选人的评标方法。</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24.3本项目</w:t>
      </w:r>
      <w:r>
        <w:rPr>
          <w:rFonts w:ascii="宋体" w:eastAsia="宋体" w:hAnsi="宋体" w:cs="宋体" w:hint="eastAsia"/>
          <w:b/>
          <w:bCs/>
          <w:color w:val="auto"/>
          <w:sz w:val="21"/>
          <w:szCs w:val="21"/>
        </w:rPr>
        <w:t>采用综合评分法</w:t>
      </w:r>
      <w:r>
        <w:rPr>
          <w:rFonts w:ascii="宋体" w:eastAsia="宋体" w:hAnsi="宋体" w:cs="宋体" w:hint="eastAsia"/>
          <w:color w:val="auto"/>
          <w:sz w:val="21"/>
          <w:szCs w:val="21"/>
        </w:rPr>
        <w:t>。</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24.4评标委员会将按照招标文件确定的评标方法进行评标。资格性审查由采购人或者采购代理机构按照招标文件要求进行，评标委员会对投标文件的评审分为符合性审查、商务评议、技术评议和价格评议。</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25.投标文件的资格性审查和符合性审查</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25.1公开招标采购项目开标结束后，采购人或者采购代理机构依法对投标人的资格进行审查（只对投标文件（第一册）本身真实无误的内容进行评定，而不依据外部的证据）。通过资格审查的投标人进入评标环节（符合性审查、技术评议、商务评议和价格评议）。合格投标人不足3家的，不得评标。</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25.2评标委员会将对通过资格性审查的投标人依法审查投标文件是否完整、文件签署是否合格、投标有效期是否满足要求、有无计算上的错误等。</w:t>
      </w:r>
    </w:p>
    <w:p>
      <w:pPr>
        <w:pStyle w:val="Default"/>
        <w:spacing w:line="360" w:lineRule="auto"/>
        <w:ind w:firstLine="420" w:firstLineChars="200"/>
        <w:rPr>
          <w:rFonts w:ascii="宋体" w:eastAsia="宋体" w:hAnsi="宋体" w:cs="宋体" w:hint="eastAsia"/>
          <w:color w:val="auto"/>
          <w:sz w:val="21"/>
          <w:szCs w:val="21"/>
        </w:rPr>
        <w:sectPr>
          <w:headerReference w:type="default" r:id="rId93"/>
          <w:footerReference w:type="default" r:id="rId94"/>
          <w:headerReference w:type="first" r:id="rId95"/>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22" w:chapStyle="1" w:chapSep="enDash"/>
          <w:cols w:num="1" w:space="720"/>
          <w:titlePg w:val="0"/>
          <w:rtlGutter w:val="0"/>
          <w:docGrid w:linePitch="312" w:charSpace="0"/>
        </w:sectPr>
      </w:pP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25.3在详细评标之前，评标委员会要审查每份投标文件是否实质上响应了招标文件的要求。实质上响应的投标文件应该是与招标文件要求的关键条款、条件和规格相符没有实质偏离的投标文件。评标委员会决定投标文件的响应程度只依据投标文件（第二册）本身的真实无误的内容，而不依据外部的证据。但投标文件有不真实、不正确内容的除外。</w:t>
      </w:r>
    </w:p>
    <w:p>
      <w:pPr>
        <w:pStyle w:val="Default"/>
        <w:spacing w:line="360" w:lineRule="auto"/>
        <w:ind w:firstLine="420" w:firstLineChars="200"/>
        <w:rPr>
          <w:rFonts w:ascii="宋体" w:eastAsia="宋体" w:hAnsi="宋体" w:cs="宋体" w:hint="eastAsia"/>
          <w:b/>
          <w:bCs/>
          <w:color w:val="auto"/>
          <w:sz w:val="21"/>
          <w:szCs w:val="21"/>
        </w:rPr>
      </w:pPr>
      <w:r>
        <w:rPr>
          <w:rFonts w:ascii="宋体" w:eastAsia="宋体" w:hAnsi="宋体" w:cs="宋体" w:hint="eastAsia"/>
          <w:b/>
          <w:bCs/>
          <w:color w:val="auto"/>
          <w:sz w:val="21"/>
          <w:szCs w:val="21"/>
        </w:rPr>
        <w:t>26.投标价格的修正：</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26.1投标文件报价出现前后不一致的，按照下列规定修正：</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1）投标文件中开标一览表（报价表）内容与投标文件中相应内容不一致的，以开标一览表（报价表）为准；</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2）大写金额和小写金额不一致的，以大写金额为准；</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3）单价金额小数点或者百分比有明显错位的，以开标一览表的总价为准，并修改单价；</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4）总价金额与按单价汇总金额不一致的，以单价金额计算结果为准。</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同时出现两种以上不一致的，按照前款规定的顺序修正。修正后的报价应当采用书面形式，并加盖公章或者由法定代表人或其授权的代表签字。投标人的修正后的报价不得超出投标文件的范围或者改变投标文件的实质性内容。修正的内容经投标人确认后产生约束力，投标人不确认的，其投标无效。</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27.投标人的家数</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27.1投标家数必须达到法定家数（三家），否则本项目</w:t>
      </w:r>
      <w:r>
        <w:rPr>
          <w:rFonts w:ascii="宋体" w:eastAsia="宋体" w:hAnsi="宋体" w:cs="宋体" w:hint="eastAsia"/>
          <w:color w:val="auto"/>
          <w:sz w:val="21"/>
          <w:szCs w:val="21"/>
          <w:lang w:eastAsia="zh-CN"/>
        </w:rPr>
        <w:t>对应包号</w:t>
      </w:r>
      <w:r>
        <w:rPr>
          <w:rFonts w:ascii="宋体" w:eastAsia="宋体" w:hAnsi="宋体" w:cs="宋体" w:hint="eastAsia"/>
          <w:color w:val="auto"/>
          <w:sz w:val="21"/>
          <w:szCs w:val="21"/>
        </w:rPr>
        <w:t>作废标处理。在资格性审查或符合性审查时出现有效投标家数未达到法定家数，将视为</w:t>
      </w:r>
      <w:r>
        <w:rPr>
          <w:rFonts w:ascii="宋体" w:eastAsia="宋体" w:hAnsi="宋体" w:cs="宋体" w:hint="eastAsia"/>
          <w:color w:val="auto"/>
          <w:sz w:val="21"/>
          <w:szCs w:val="21"/>
          <w:lang w:eastAsia="zh-CN"/>
        </w:rPr>
        <w:t>对应包号</w:t>
      </w:r>
      <w:r>
        <w:rPr>
          <w:rFonts w:ascii="宋体" w:eastAsia="宋体" w:hAnsi="宋体" w:cs="宋体" w:hint="eastAsia"/>
          <w:color w:val="auto"/>
          <w:sz w:val="21"/>
          <w:szCs w:val="21"/>
        </w:rPr>
        <w:t>招标失败。</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28.无效投标认定</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28.1投标人有下列情形之一的，其投标将被视为无效投标：实质上没有响应招标文件要求的投标将被视为无效投标。投标人不得通过修正或撤销不合要求的偏离从而使其投标文件成为实质上响应的投标。</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28.2在资格性审查、符合性检查时的无效投标认定：</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1）在资格性审查时，如发现下列情形之一的，投标文件将确定为无效投标：</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a投标人的投标文件或资格证明文件未提供或提供不符合招标文件要求的；</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b不具备招标文件中规定资格要求的；</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c未按照招标文件规定要求签署、盖章的；</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d投标文件无法定代表人签字或签字人无法定代表人有效授权的；</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e参加政府采购活动前三年内，在经营活动中有重大违法记录的；</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f符合招标文件中规定的被视为无效投标的其它条款的。</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g符合法律、法规规定的其他无效情形。</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2）在符合性检查时，如发现下列情形之一的，投标文件将确定为无效投标：</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a投标人未提交投标保证金或金额不足、投标保证金提交形式不符合招标文件要求的；</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b报价超过招标文件中规定的预算金额或者最高限价的；</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c未按照招标文件规定要求签署、盖章的；</w:t>
      </w:r>
    </w:p>
    <w:p>
      <w:pPr>
        <w:pStyle w:val="Default"/>
        <w:spacing w:line="360" w:lineRule="auto"/>
        <w:ind w:firstLine="420" w:firstLineChars="200"/>
        <w:rPr>
          <w:rFonts w:ascii="宋体" w:eastAsia="宋体" w:hAnsi="宋体" w:cs="宋体" w:hint="eastAsia"/>
          <w:color w:val="auto"/>
          <w:sz w:val="21"/>
          <w:szCs w:val="21"/>
        </w:rPr>
        <w:sectPr>
          <w:headerReference w:type="default" r:id="rId96"/>
          <w:footerReference w:type="default" r:id="rId97"/>
          <w:headerReference w:type="first" r:id="rId98"/>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23" w:chapStyle="1" w:chapSep="enDash"/>
          <w:cols w:num="1" w:space="720"/>
          <w:titlePg w:val="0"/>
          <w:rtlGutter w:val="0"/>
          <w:docGrid w:linePitch="312" w:charSpace="0"/>
        </w:sectPr>
      </w:pPr>
      <w:r>
        <w:rPr>
          <w:rFonts w:ascii="宋体" w:eastAsia="宋体" w:hAnsi="宋体" w:cs="宋体" w:hint="eastAsia"/>
          <w:color w:val="auto"/>
          <w:sz w:val="21"/>
          <w:szCs w:val="21"/>
        </w:rPr>
        <w:t>d投标文件无法定代表人签字或签字人无法定代表人有效授权的；</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e投标文件对招标文件的实质性技术与商务的条款（即标注★号条款）产生负偏离或不满足的。（如有）</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f评标委员会认为投标人的报价明显低于其他通过符合性审查的投标人报价，有可能影响产品质量或者不能诚信履约且不能证明其报价合理性的；</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g符合招标文件中规定的被视为无效投标的其它条款的。</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h符合法律、法规规定的其他无效情形。</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28.3在资格性审查或者符合性检查时，投标人有下列情形之一的，将视为投标人串通投标，其投标无效：</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1）不同投标人的投标文件由同一单位或者个人编制；</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2）不同投标人委托同一单位或者个人办理投标事宜；</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3）不同投标人的投标文件载明的项目管理成员或者联系人员为同一人；</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4）不同投标人的投标文件异常一致或者投标报价呈规律性差异；</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5）不同投标人的投标文件相互混装；</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6）不同投标人的投标保证金从同一单位或者个人的账户转出。</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28.4投标人应当遵循公平竞争的原则，不得恶意串通，不得妨碍其他投标人的竞争行为，不得损害采购人或者其他投标人的合法权益。在评标过程中发现投标人有上述情形的，评标委员会应当认定其投标无效，并书面报告本级财政部门。</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28.5在资格性审查、符合性检查时，未能通过资格性、符合性审查被认定为无效投标，只有全部满足资格性和符合性审查表所列各项要求的投标文件为有效投标。在符合性审查中对投标有效性认定意见不一致的，均按少数服从多数的原则表决决定。无效投标不能进入技术、商务及价格评审。</w:t>
      </w:r>
    </w:p>
    <w:p>
      <w:pPr>
        <w:pStyle w:val="Default"/>
        <w:spacing w:line="360" w:lineRule="auto"/>
        <w:ind w:firstLine="420" w:firstLineChars="200"/>
        <w:rPr>
          <w:rFonts w:ascii="宋体" w:eastAsia="宋体" w:hAnsi="宋体" w:cs="宋体" w:hint="eastAsia"/>
          <w:b/>
          <w:bCs/>
          <w:color w:val="auto"/>
          <w:sz w:val="21"/>
          <w:szCs w:val="21"/>
        </w:rPr>
      </w:pPr>
      <w:r>
        <w:rPr>
          <w:rFonts w:ascii="宋体" w:eastAsia="宋体" w:hAnsi="宋体" w:cs="宋体" w:hint="eastAsia"/>
          <w:b/>
          <w:bCs/>
          <w:color w:val="auto"/>
          <w:sz w:val="21"/>
          <w:szCs w:val="21"/>
        </w:rPr>
        <w:t>29.投标文件的澄清</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29.1对于投标文件中含义不明确、同类问题表述不一致或者有明显文字和计算错误的内容，评标委员会应当以书面形式要求投标人作出必要的澄清、说明或者补正。</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29.2投标人的澄清、说明或者补正应当采用书面形式，并加盖公章，或者由法定代表人或其授权的代表签字。投标人的澄清、说明或者补正不得超出投标文件的范围或者改变投标文件的实质性内容。</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30.投标文件的详细评价</w:t>
      </w:r>
    </w:p>
    <w:p>
      <w:pPr>
        <w:pStyle w:val="Default"/>
        <w:spacing w:line="360" w:lineRule="auto"/>
        <w:ind w:firstLine="420" w:firstLineChars="200"/>
        <w:rPr>
          <w:rFonts w:ascii="宋体" w:eastAsia="宋体" w:hAnsi="宋体" w:cs="宋体" w:hint="eastAsia"/>
          <w:color w:val="auto"/>
          <w:sz w:val="21"/>
          <w:szCs w:val="21"/>
        </w:rPr>
        <w:sectPr>
          <w:headerReference w:type="default" r:id="rId99"/>
          <w:footerReference w:type="default" r:id="rId100"/>
          <w:headerReference w:type="first" r:id="rId101"/>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24" w:chapStyle="1" w:chapSep="enDash"/>
          <w:cols w:num="1" w:space="720"/>
          <w:titlePg w:val="0"/>
          <w:rtlGutter w:val="0"/>
          <w:docGrid w:linePitch="312" w:charSpace="0"/>
        </w:sectPr>
      </w:pPr>
      <w:r>
        <w:rPr>
          <w:rFonts w:ascii="宋体" w:eastAsia="宋体" w:hAnsi="宋体" w:cs="宋体" w:hint="eastAsia"/>
          <w:color w:val="auto"/>
          <w:sz w:val="21"/>
          <w:szCs w:val="21"/>
        </w:rPr>
        <w:t>30.1评标委员会只对确定为实质上响应招标文件要求的投标文件进行评价和比较。</w:t>
      </w:r>
    </w:p>
    <w:p>
      <w:pPr>
        <w:pStyle w:val="Default"/>
        <w:spacing w:line="360" w:lineRule="auto"/>
        <w:ind w:firstLine="420" w:firstLineChars="200"/>
        <w:rPr>
          <w:rFonts w:ascii="宋体" w:eastAsia="宋体" w:hAnsi="宋体" w:cs="宋体" w:hint="eastAsia"/>
          <w:b/>
          <w:bCs/>
          <w:color w:val="auto"/>
          <w:sz w:val="21"/>
          <w:szCs w:val="21"/>
        </w:rPr>
      </w:pPr>
      <w:r>
        <w:rPr>
          <w:rFonts w:ascii="宋体" w:eastAsia="宋体" w:hAnsi="宋体" w:cs="宋体" w:hint="eastAsia"/>
          <w:b/>
          <w:bCs/>
          <w:color w:val="auto"/>
          <w:sz w:val="21"/>
          <w:szCs w:val="21"/>
        </w:rPr>
        <w:t>31.授标</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31.1评标委员会按照招标文件确定的评标方法、步骤、标准，对投标文件进行评审，提出书面评标报告。按照综合得分由高到低的顺序推荐排名前</w:t>
      </w:r>
      <w:r>
        <w:rPr>
          <w:rFonts w:ascii="宋体" w:eastAsia="宋体" w:hAnsi="宋体" w:cs="宋体" w:hint="eastAsia"/>
          <w:color w:val="auto"/>
          <w:sz w:val="21"/>
          <w:szCs w:val="21"/>
          <w:lang w:val="en-US" w:eastAsia="zh-CN"/>
        </w:rPr>
        <w:t>3</w:t>
      </w:r>
      <w:r>
        <w:rPr>
          <w:rFonts w:ascii="宋体" w:eastAsia="宋体" w:hAnsi="宋体" w:cs="宋体" w:hint="eastAsia"/>
          <w:color w:val="auto"/>
          <w:sz w:val="21"/>
          <w:szCs w:val="21"/>
        </w:rPr>
        <w:t>名的投标人为中标候选人。</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31.2采购代理机构在评标结束后2个工作日内将评标报告送采购人。</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31.3采购人在收到评标报告后的5个工作日内，按照评标报告中推荐的中标候选人顺序确定中标人。</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31.4采购代理机构自中标人确定之日起2个工作日内在指定的媒体上公告中标结果，不在中标名单之列者即为未中标人，采购代理机构不再以其他方式另行通知。同时向中标人发出《中标通知书》，《中标通知书》对中标人和采购人具有同等法律效力。</w:t>
      </w:r>
    </w:p>
    <w:p>
      <w:pPr>
        <w:pStyle w:val="Default"/>
        <w:spacing w:line="360" w:lineRule="auto"/>
        <w:ind w:firstLine="420" w:firstLineChars="200"/>
        <w:rPr>
          <w:rFonts w:ascii="宋体" w:eastAsia="宋体" w:hAnsi="宋体" w:cs="宋体" w:hint="eastAsia"/>
          <w:b/>
          <w:bCs/>
          <w:color w:val="auto"/>
          <w:sz w:val="21"/>
          <w:szCs w:val="21"/>
        </w:rPr>
      </w:pPr>
      <w:r>
        <w:rPr>
          <w:rFonts w:ascii="宋体" w:eastAsia="宋体" w:hAnsi="宋体" w:cs="宋体" w:hint="eastAsia"/>
          <w:b/>
          <w:bCs/>
          <w:color w:val="auto"/>
          <w:sz w:val="21"/>
          <w:szCs w:val="21"/>
        </w:rPr>
        <w:t>32.替补候选人的设定与使用</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32.1依据《广东省实施〈中华人民共和国政府采购法〉办法》第四十四条“中标、成交供应商放弃中标、成交或者中标、成交资格被依法确认无效的，采购人可以按照排序从其他中标、成交候选供应商中确定中标、成交供应商，没有其他中标、成交候选供应商的，应当重新组织采购活动。”</w:t>
      </w:r>
    </w:p>
    <w:p>
      <w:pPr>
        <w:pStyle w:val="CM5"/>
        <w:spacing w:line="360" w:lineRule="auto"/>
        <w:ind w:firstLine="420" w:firstLineChars="200"/>
        <w:rPr>
          <w:rFonts w:ascii="宋体" w:eastAsia="宋体" w:hAnsi="宋体" w:cs="宋体" w:hint="eastAsia"/>
          <w:b/>
          <w:bCs/>
          <w:sz w:val="21"/>
          <w:szCs w:val="21"/>
          <w:lang w:eastAsia="zh-CN"/>
        </w:rPr>
      </w:pPr>
      <w:r>
        <w:rPr>
          <w:rFonts w:ascii="宋体" w:eastAsia="宋体" w:hAnsi="宋体" w:cs="宋体" w:hint="eastAsia"/>
          <w:b/>
          <w:bCs/>
          <w:color w:val="auto"/>
          <w:sz w:val="21"/>
          <w:szCs w:val="21"/>
        </w:rPr>
        <w:t>六、质疑及投诉</w:t>
      </w:r>
    </w:p>
    <w:p>
      <w:pPr>
        <w:pStyle w:val="CM5"/>
        <w:spacing w:line="360" w:lineRule="auto"/>
        <w:ind w:firstLine="420" w:firstLineChars="200"/>
        <w:rPr>
          <w:rFonts w:ascii="宋体" w:eastAsia="宋体" w:hAnsi="宋体" w:cs="宋体" w:hint="eastAsia"/>
          <w:sz w:val="21"/>
          <w:szCs w:val="21"/>
        </w:rPr>
      </w:pPr>
      <w:r>
        <w:rPr>
          <w:rFonts w:ascii="宋体" w:eastAsia="宋体" w:hAnsi="宋体" w:cs="宋体" w:hint="eastAsia"/>
          <w:b/>
          <w:bCs/>
          <w:color w:val="auto"/>
          <w:sz w:val="21"/>
          <w:szCs w:val="21"/>
        </w:rPr>
        <w:t>33.质疑提出和答复</w:t>
      </w:r>
    </w:p>
    <w:p>
      <w:pPr>
        <w:pStyle w:val="Default"/>
        <w:spacing w:line="360" w:lineRule="auto"/>
        <w:ind w:firstLine="420" w:firstLineChars="200"/>
        <w:rPr>
          <w:rFonts w:ascii="宋体" w:eastAsia="宋体" w:hAnsi="宋体" w:cs="宋体" w:hint="eastAsia"/>
          <w:b/>
          <w:color w:val="auto"/>
          <w:sz w:val="21"/>
          <w:szCs w:val="21"/>
        </w:rPr>
      </w:pPr>
      <w:r>
        <w:rPr>
          <w:rFonts w:ascii="宋体" w:eastAsia="宋体" w:hAnsi="宋体" w:cs="宋体" w:hint="eastAsia"/>
          <w:color w:val="auto"/>
          <w:sz w:val="21"/>
          <w:szCs w:val="21"/>
        </w:rPr>
        <w:t>33.1供应商认为采购文件、采购过程、中标或者成交结果使自己的权益受到损害的，可以在知道或者应知其权益受到损害之日起7个工作日内，以书面形式向采购人、采购代理机构提出质疑。</w:t>
      </w:r>
      <w:r>
        <w:rPr>
          <w:rFonts w:ascii="宋体" w:eastAsia="宋体" w:hAnsi="宋体" w:cs="宋体" w:hint="eastAsia"/>
          <w:b/>
          <w:color w:val="auto"/>
          <w:sz w:val="21"/>
          <w:szCs w:val="21"/>
        </w:rPr>
        <w:t>（供应商必须在法定质疑期内一次性提出针对同一采购程序环节的质疑）</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33.2提出质疑的供应商必须是参与所质疑项目采购活动的供应商。</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33.3潜在供应商已依法获取本项目采购文件的，可以对该文件提出质疑。对采购文件提出质疑的，应当在获取采购文件或者采购文件公告期限届满之日起7个工作日内提出。</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33.4供应商提出质疑时，应当以书面形式提出。供应商以电话、传真、电子邮件或电邮形式提交的质疑属于无效质疑。供应商提出质疑应当提交质疑函和必要的证明材料。质疑函应当包括下列内容（质疑内容不得含有虚假、恶意成分）：</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1）供应商的姓名或者名称、地址、邮编、联系人及联系电话；</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2）质疑项目的采购项目名称、采购项目编号；</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3）具体、明确的质疑事项和与质疑事项相关的请求；</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4）事实依据；</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5）必要的法律依据；</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6）提出质疑的日期。</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供应商可以委托代理人进行质疑。其授权委托书应当载明代理人的姓名、代理事项、具体权限、期限和相关事项。供应商为法人或者其他组织的，应当由法定代表人、主要负责人签字或者盖章，并加盖公章。代理人提出质疑，应当同时提交供应商签署的授权委托书。</w:t>
      </w:r>
    </w:p>
    <w:p>
      <w:pPr>
        <w:pStyle w:val="Default"/>
        <w:spacing w:line="360" w:lineRule="auto"/>
        <w:ind w:firstLine="420" w:firstLineChars="200"/>
        <w:rPr>
          <w:rFonts w:ascii="宋体" w:eastAsia="宋体" w:hAnsi="宋体" w:cs="宋体" w:hint="eastAsia"/>
          <w:color w:val="auto"/>
          <w:sz w:val="21"/>
          <w:szCs w:val="21"/>
        </w:rPr>
        <w:sectPr>
          <w:headerReference w:type="default" r:id="rId102"/>
          <w:footerReference w:type="default" r:id="rId103"/>
          <w:headerReference w:type="first" r:id="rId104"/>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25" w:chapStyle="1" w:chapSep="enDash"/>
          <w:cols w:num="1" w:space="720"/>
          <w:titlePg w:val="0"/>
          <w:rtlGutter w:val="0"/>
          <w:docGrid w:linePitch="312" w:charSpace="0"/>
        </w:sectPr>
      </w:pP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33.5联系方式：</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采购代理机构：</w:t>
      </w:r>
      <w:r>
        <w:rPr>
          <w:rFonts w:ascii="宋体" w:eastAsia="宋体" w:hAnsi="宋体" w:cs="宋体" w:hint="eastAsia"/>
          <w:color w:val="auto"/>
          <w:sz w:val="21"/>
          <w:szCs w:val="21"/>
          <w:u w:val="none"/>
          <w:lang w:eastAsia="zh-CN"/>
        </w:rPr>
        <w:t>广东粤能工程管理有限公司</w:t>
      </w:r>
      <w:r>
        <w:rPr>
          <w:rFonts w:ascii="宋体" w:eastAsia="宋体" w:hAnsi="宋体" w:cs="宋体" w:hint="eastAsia"/>
          <w:color w:val="auto"/>
          <w:sz w:val="21"/>
          <w:szCs w:val="21"/>
        </w:rPr>
        <w:tab/>
      </w:r>
    </w:p>
    <w:p>
      <w:pPr>
        <w:pStyle w:val="Default"/>
        <w:spacing w:line="360" w:lineRule="auto"/>
        <w:ind w:firstLine="420" w:firstLineChars="200"/>
        <w:rPr>
          <w:rFonts w:ascii="宋体" w:eastAsia="宋体" w:hAnsi="宋体" w:cs="宋体" w:hint="eastAsia"/>
          <w:color w:val="auto"/>
          <w:sz w:val="21"/>
          <w:szCs w:val="21"/>
          <w:u w:val="none"/>
        </w:rPr>
      </w:pPr>
      <w:r>
        <w:rPr>
          <w:rFonts w:ascii="宋体" w:eastAsia="宋体" w:hAnsi="宋体" w:cs="宋体" w:hint="eastAsia"/>
          <w:color w:val="auto"/>
          <w:sz w:val="21"/>
          <w:szCs w:val="21"/>
          <w:u w:val="none"/>
        </w:rPr>
        <w:t xml:space="preserve">地址:梅州市梅江区东汇城D10栋客创汇B座506 </w:t>
      </w:r>
    </w:p>
    <w:p>
      <w:pPr>
        <w:pStyle w:val="Default"/>
        <w:spacing w:line="360" w:lineRule="auto"/>
        <w:ind w:firstLine="420" w:firstLineChars="200"/>
        <w:rPr>
          <w:rFonts w:ascii="宋体" w:eastAsia="宋体" w:hAnsi="宋体" w:cs="宋体" w:hint="default"/>
          <w:color w:val="auto"/>
          <w:sz w:val="21"/>
          <w:szCs w:val="21"/>
          <w:u w:val="none"/>
        </w:rPr>
      </w:pPr>
      <w:r>
        <w:rPr>
          <w:rFonts w:ascii="宋体" w:eastAsia="宋体" w:hAnsi="宋体" w:cs="宋体" w:hint="eastAsia"/>
          <w:color w:val="auto"/>
          <w:sz w:val="21"/>
          <w:szCs w:val="21"/>
          <w:u w:val="none"/>
        </w:rPr>
        <w:t>电话：0753-</w:t>
      </w:r>
      <w:r>
        <w:rPr>
          <w:rFonts w:ascii="宋体" w:eastAsia="宋体" w:hAnsi="宋体" w:cs="宋体" w:hint="eastAsia"/>
          <w:color w:val="auto"/>
          <w:sz w:val="21"/>
          <w:szCs w:val="21"/>
          <w:u w:val="none"/>
          <w:lang w:val="en-US" w:eastAsia="zh-CN"/>
        </w:rPr>
        <w:t>3681980</w:t>
      </w:r>
    </w:p>
    <w:p>
      <w:pPr>
        <w:pStyle w:val="Default"/>
        <w:spacing w:line="360" w:lineRule="auto"/>
        <w:ind w:firstLine="420" w:firstLineChars="200"/>
        <w:rPr>
          <w:rFonts w:ascii="宋体" w:eastAsia="宋体" w:hAnsi="宋体" w:cs="宋体" w:hint="eastAsia"/>
          <w:color w:val="auto"/>
          <w:sz w:val="21"/>
          <w:szCs w:val="21"/>
          <w:u w:val="none"/>
        </w:rPr>
      </w:pPr>
      <w:r>
        <w:rPr>
          <w:rFonts w:ascii="宋体" w:eastAsia="宋体" w:hAnsi="宋体" w:cs="宋体" w:hint="eastAsia"/>
          <w:color w:val="auto"/>
          <w:sz w:val="21"/>
          <w:szCs w:val="21"/>
          <w:u w:val="none"/>
        </w:rPr>
        <w:t>传真：0753-</w:t>
      </w:r>
      <w:r>
        <w:rPr>
          <w:rFonts w:ascii="宋体" w:eastAsia="宋体" w:hAnsi="宋体" w:cs="宋体" w:hint="eastAsia"/>
          <w:color w:val="auto"/>
          <w:sz w:val="21"/>
          <w:szCs w:val="21"/>
          <w:u w:val="none"/>
          <w:lang w:val="en-US" w:eastAsia="zh-CN"/>
        </w:rPr>
        <w:t>3681980</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联系人：</w:t>
      </w:r>
      <w:r>
        <w:rPr>
          <w:rFonts w:ascii="宋体" w:eastAsia="宋体" w:hAnsi="宋体" w:cs="宋体" w:hint="eastAsia"/>
          <w:color w:val="auto"/>
          <w:sz w:val="21"/>
          <w:szCs w:val="21"/>
          <w:lang w:eastAsia="zh-CN"/>
        </w:rPr>
        <w:t>王先生</w:t>
      </w:r>
    </w:p>
    <w:p>
      <w:pPr>
        <w:pStyle w:val="Default"/>
        <w:spacing w:line="360" w:lineRule="auto"/>
        <w:ind w:firstLine="420" w:firstLineChars="200"/>
        <w:rPr>
          <w:rFonts w:ascii="宋体" w:eastAsia="宋体" w:hAnsi="宋体" w:cs="宋体" w:hint="eastAsia"/>
          <w:color w:val="auto"/>
          <w:sz w:val="21"/>
          <w:szCs w:val="21"/>
        </w:rPr>
        <w:sectPr>
          <w:headerReference w:type="default" r:id="rId105"/>
          <w:footerReference w:type="default" r:id="rId106"/>
          <w:headerReference w:type="first" r:id="rId107"/>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26" w:chapStyle="1" w:chapSep="enDash"/>
          <w:cols w:num="1" w:space="720"/>
          <w:titlePg w:val="0"/>
          <w:rtlGutter w:val="0"/>
          <w:docGrid w:linePitch="312" w:charSpace="0"/>
        </w:sectPr>
      </w:pPr>
      <w:r>
        <w:rPr>
          <w:rFonts w:ascii="宋体" w:eastAsia="宋体" w:hAnsi="宋体" w:cs="宋体" w:hint="eastAsia"/>
          <w:color w:val="auto"/>
          <w:sz w:val="21"/>
          <w:szCs w:val="21"/>
        </w:rPr>
        <w:t>33.6招标采购单位原则上在质疑受理之日起七个工作日内书面答复质疑供应商。答复函的送达可以为直接领取、传真、电子邮件或邮寄方式，以上方式均视为有效送达。</w:t>
      </w:r>
    </w:p>
    <w:p>
      <w:pPr>
        <w:jc w:val="center"/>
        <w:rPr>
          <w:rFonts w:ascii="宋体" w:hAnsi="宋体" w:cs="宋体" w:hint="eastAsia"/>
          <w:b/>
          <w:bCs/>
          <w:color w:val="auto"/>
          <w:sz w:val="36"/>
          <w:szCs w:val="36"/>
        </w:rPr>
      </w:pPr>
      <w:r>
        <w:rPr>
          <w:rFonts w:ascii="宋体" w:eastAsia="宋体" w:hAnsi="宋体" w:cs="宋体" w:hint="eastAsia"/>
          <w:b/>
          <w:bCs/>
          <w:color w:val="auto"/>
          <w:sz w:val="36"/>
          <w:szCs w:val="36"/>
        </w:rPr>
        <w:t>质疑函范本</w:t>
      </w:r>
    </w:p>
    <w:p>
      <w:pPr>
        <w:adjustRightInd w:val="0"/>
        <w:snapToGrid w:val="0"/>
        <w:spacing w:before="240" w:beforeLines="100" w:line="360" w:lineRule="auto"/>
        <w:rPr>
          <w:rFonts w:ascii="宋体" w:hAnsi="宋体" w:cs="宋体" w:hint="eastAsia"/>
          <w:bCs/>
          <w:color w:val="auto"/>
          <w:szCs w:val="21"/>
        </w:rPr>
      </w:pPr>
      <w:r>
        <w:rPr>
          <w:rFonts w:ascii="宋体" w:eastAsia="宋体" w:hAnsi="宋体" w:cs="宋体" w:hint="eastAsia"/>
          <w:bCs/>
          <w:color w:val="auto"/>
          <w:szCs w:val="21"/>
        </w:rPr>
        <w:t>一、质疑供应商基本信息</w:t>
      </w:r>
    </w:p>
    <w:p>
      <w:pPr>
        <w:adjustRightInd w:val="0"/>
        <w:snapToGrid w:val="0"/>
        <w:spacing w:line="360" w:lineRule="auto"/>
        <w:rPr>
          <w:rFonts w:ascii="宋体" w:hAnsi="宋体" w:cs="宋体" w:hint="eastAsia"/>
          <w:color w:val="auto"/>
          <w:szCs w:val="21"/>
          <w:u w:val="dotted"/>
        </w:rPr>
      </w:pPr>
      <w:r>
        <w:rPr>
          <w:rFonts w:ascii="宋体" w:eastAsia="宋体" w:hAnsi="宋体" w:cs="宋体" w:hint="eastAsia"/>
          <w:color w:val="auto"/>
          <w:szCs w:val="21"/>
        </w:rPr>
        <w:t>质疑供应商：</w:t>
      </w:r>
    </w:p>
    <w:p>
      <w:pPr>
        <w:adjustRightInd w:val="0"/>
        <w:snapToGrid w:val="0"/>
        <w:spacing w:line="360" w:lineRule="auto"/>
        <w:rPr>
          <w:rFonts w:ascii="宋体" w:hAnsi="宋体" w:cs="宋体" w:hint="eastAsia"/>
          <w:color w:val="auto"/>
          <w:szCs w:val="21"/>
        </w:rPr>
      </w:pPr>
      <w:r>
        <w:rPr>
          <w:rFonts w:ascii="宋体" w:eastAsia="宋体" w:hAnsi="宋体" w:cs="宋体" w:hint="eastAsia"/>
          <w:color w:val="auto"/>
          <w:szCs w:val="21"/>
        </w:rPr>
        <w:t>地址：邮编：电子邮件：</w:t>
      </w:r>
    </w:p>
    <w:p>
      <w:pPr>
        <w:adjustRightInd w:val="0"/>
        <w:snapToGrid w:val="0"/>
        <w:spacing w:line="360" w:lineRule="auto"/>
        <w:rPr>
          <w:rFonts w:ascii="宋体" w:hAnsi="宋体" w:cs="宋体" w:hint="eastAsia"/>
          <w:color w:val="auto"/>
          <w:szCs w:val="21"/>
        </w:rPr>
      </w:pPr>
      <w:r>
        <w:rPr>
          <w:rFonts w:ascii="宋体" w:eastAsia="宋体" w:hAnsi="宋体" w:cs="宋体" w:hint="eastAsia"/>
          <w:color w:val="auto"/>
          <w:szCs w:val="21"/>
        </w:rPr>
        <w:t>联系人：联系电话：</w:t>
      </w:r>
    </w:p>
    <w:p>
      <w:pPr>
        <w:adjustRightInd w:val="0"/>
        <w:snapToGrid w:val="0"/>
        <w:spacing w:line="360" w:lineRule="auto"/>
        <w:rPr>
          <w:rFonts w:ascii="宋体" w:hAnsi="宋体" w:cs="宋体" w:hint="eastAsia"/>
          <w:color w:val="auto"/>
          <w:szCs w:val="21"/>
          <w:u w:val="dotted"/>
        </w:rPr>
      </w:pPr>
      <w:r>
        <w:rPr>
          <w:rFonts w:ascii="宋体" w:eastAsia="宋体" w:hAnsi="宋体" w:cs="宋体" w:hint="eastAsia"/>
          <w:color w:val="auto"/>
          <w:szCs w:val="21"/>
        </w:rPr>
        <w:t>授权代表：</w:t>
      </w:r>
    </w:p>
    <w:p>
      <w:pPr>
        <w:adjustRightInd w:val="0"/>
        <w:snapToGrid w:val="0"/>
        <w:spacing w:line="360" w:lineRule="auto"/>
        <w:rPr>
          <w:rFonts w:ascii="宋体" w:hAnsi="宋体" w:cs="宋体" w:hint="eastAsia"/>
          <w:color w:val="auto"/>
          <w:szCs w:val="21"/>
        </w:rPr>
      </w:pPr>
      <w:r>
        <w:rPr>
          <w:rFonts w:ascii="宋体" w:eastAsia="宋体" w:hAnsi="宋体" w:cs="宋体" w:hint="eastAsia"/>
          <w:color w:val="auto"/>
          <w:szCs w:val="21"/>
        </w:rPr>
        <w:t>联系电话：</w:t>
      </w:r>
    </w:p>
    <w:p>
      <w:pPr>
        <w:adjustRightInd w:val="0"/>
        <w:snapToGrid w:val="0"/>
        <w:spacing w:line="360" w:lineRule="auto"/>
        <w:rPr>
          <w:rFonts w:ascii="宋体" w:hAnsi="宋体" w:cs="宋体" w:hint="eastAsia"/>
          <w:color w:val="auto"/>
          <w:szCs w:val="21"/>
        </w:rPr>
      </w:pPr>
      <w:r>
        <w:rPr>
          <w:rFonts w:ascii="宋体" w:eastAsia="宋体" w:hAnsi="宋体" w:cs="宋体" w:hint="eastAsia"/>
          <w:color w:val="auto"/>
          <w:szCs w:val="21"/>
        </w:rPr>
        <w:t>地址：邮编：</w:t>
      </w:r>
    </w:p>
    <w:p>
      <w:pPr>
        <w:adjustRightInd w:val="0"/>
        <w:snapToGrid w:val="0"/>
        <w:spacing w:line="360" w:lineRule="auto"/>
        <w:rPr>
          <w:rFonts w:ascii="宋体" w:hAnsi="宋体" w:cs="宋体" w:hint="eastAsia"/>
          <w:bCs/>
          <w:color w:val="auto"/>
          <w:szCs w:val="21"/>
        </w:rPr>
      </w:pPr>
      <w:r>
        <w:rPr>
          <w:rFonts w:ascii="宋体" w:eastAsia="宋体" w:hAnsi="宋体" w:cs="宋体" w:hint="eastAsia"/>
          <w:bCs/>
          <w:color w:val="auto"/>
          <w:szCs w:val="21"/>
        </w:rPr>
        <w:t>二、质疑项目基本情况</w:t>
      </w:r>
    </w:p>
    <w:p>
      <w:pPr>
        <w:adjustRightInd w:val="0"/>
        <w:snapToGrid w:val="0"/>
        <w:spacing w:line="360" w:lineRule="auto"/>
        <w:rPr>
          <w:rFonts w:ascii="宋体" w:hAnsi="宋体" w:cs="宋体" w:hint="eastAsia"/>
          <w:color w:val="auto"/>
          <w:szCs w:val="21"/>
        </w:rPr>
      </w:pPr>
      <w:r>
        <w:rPr>
          <w:rFonts w:ascii="宋体" w:eastAsia="宋体" w:hAnsi="宋体" w:cs="宋体" w:hint="eastAsia"/>
          <w:color w:val="auto"/>
          <w:szCs w:val="21"/>
        </w:rPr>
        <w:t>质疑项目的采购项目名称：</w:t>
      </w:r>
    </w:p>
    <w:p>
      <w:pPr>
        <w:adjustRightInd w:val="0"/>
        <w:snapToGrid w:val="0"/>
        <w:spacing w:line="360" w:lineRule="auto"/>
        <w:rPr>
          <w:rFonts w:ascii="宋体" w:hAnsi="宋体" w:cs="宋体" w:hint="eastAsia"/>
          <w:color w:val="auto"/>
          <w:szCs w:val="21"/>
        </w:rPr>
      </w:pPr>
      <w:r>
        <w:rPr>
          <w:rFonts w:ascii="宋体" w:eastAsia="宋体" w:hAnsi="宋体" w:cs="宋体" w:hint="eastAsia"/>
          <w:color w:val="auto"/>
          <w:szCs w:val="21"/>
        </w:rPr>
        <w:t>质疑项目的采购项目编号：</w:t>
      </w:r>
    </w:p>
    <w:p>
      <w:pPr>
        <w:adjustRightInd w:val="0"/>
        <w:snapToGrid w:val="0"/>
        <w:spacing w:line="360" w:lineRule="auto"/>
        <w:rPr>
          <w:rFonts w:ascii="宋体" w:hAnsi="宋体" w:cs="宋体" w:hint="eastAsia"/>
          <w:color w:val="auto"/>
          <w:szCs w:val="21"/>
          <w:u w:val="dotted"/>
        </w:rPr>
      </w:pPr>
      <w:r>
        <w:rPr>
          <w:rFonts w:ascii="宋体" w:eastAsia="宋体" w:hAnsi="宋体" w:cs="宋体" w:hint="eastAsia"/>
          <w:color w:val="auto"/>
          <w:szCs w:val="21"/>
        </w:rPr>
        <w:t>采购人名称：</w:t>
      </w:r>
    </w:p>
    <w:p>
      <w:pPr>
        <w:adjustRightInd w:val="0"/>
        <w:snapToGrid w:val="0"/>
        <w:spacing w:line="360" w:lineRule="auto"/>
        <w:rPr>
          <w:rFonts w:ascii="宋体" w:hAnsi="宋体" w:cs="宋体" w:hint="eastAsia"/>
          <w:color w:val="auto"/>
          <w:szCs w:val="21"/>
        </w:rPr>
      </w:pPr>
      <w:r>
        <w:rPr>
          <w:rFonts w:ascii="宋体" w:eastAsia="宋体" w:hAnsi="宋体" w:cs="宋体" w:hint="eastAsia"/>
          <w:color w:val="auto"/>
          <w:szCs w:val="21"/>
        </w:rPr>
        <w:t>采购文件获取日期：</w:t>
      </w:r>
    </w:p>
    <w:p>
      <w:pPr>
        <w:adjustRightInd w:val="0"/>
        <w:snapToGrid w:val="0"/>
        <w:spacing w:line="360" w:lineRule="auto"/>
        <w:rPr>
          <w:rFonts w:ascii="宋体" w:hAnsi="宋体" w:cs="宋体" w:hint="eastAsia"/>
          <w:bCs/>
          <w:color w:val="auto"/>
          <w:szCs w:val="21"/>
        </w:rPr>
      </w:pPr>
      <w:r>
        <w:rPr>
          <w:rFonts w:ascii="宋体" w:eastAsia="宋体" w:hAnsi="宋体" w:cs="宋体" w:hint="eastAsia"/>
          <w:bCs/>
          <w:color w:val="auto"/>
          <w:szCs w:val="21"/>
        </w:rPr>
        <w:t>三、质疑事项具体内容</w:t>
      </w:r>
    </w:p>
    <w:p>
      <w:pPr>
        <w:adjustRightInd w:val="0"/>
        <w:snapToGrid w:val="0"/>
        <w:spacing w:line="360" w:lineRule="auto"/>
        <w:rPr>
          <w:rFonts w:ascii="宋体" w:hAnsi="宋体" w:cs="宋体" w:hint="eastAsia"/>
          <w:color w:val="auto"/>
          <w:szCs w:val="21"/>
          <w:u w:val="dotted"/>
        </w:rPr>
      </w:pPr>
      <w:r>
        <w:rPr>
          <w:rFonts w:ascii="宋体" w:eastAsia="宋体" w:hAnsi="宋体" w:cs="宋体" w:hint="eastAsia"/>
          <w:color w:val="auto"/>
          <w:szCs w:val="21"/>
        </w:rPr>
        <w:t>质疑事项1：</w:t>
      </w:r>
    </w:p>
    <w:p>
      <w:pPr>
        <w:adjustRightInd w:val="0"/>
        <w:snapToGrid w:val="0"/>
        <w:spacing w:line="360" w:lineRule="auto"/>
        <w:rPr>
          <w:rFonts w:ascii="宋体" w:hAnsi="宋体" w:cs="宋体" w:hint="eastAsia"/>
          <w:color w:val="auto"/>
          <w:szCs w:val="21"/>
          <w:u w:val="dotted"/>
        </w:rPr>
      </w:pPr>
      <w:r>
        <w:rPr>
          <w:rFonts w:ascii="宋体" w:eastAsia="宋体" w:hAnsi="宋体" w:cs="宋体" w:hint="eastAsia"/>
          <w:color w:val="auto"/>
          <w:szCs w:val="21"/>
        </w:rPr>
        <w:t>事实依据：</w:t>
      </w:r>
    </w:p>
    <w:p>
      <w:pPr>
        <w:adjustRightInd w:val="0"/>
        <w:snapToGrid w:val="0"/>
        <w:spacing w:line="360" w:lineRule="auto"/>
        <w:rPr>
          <w:rFonts w:ascii="宋体" w:hAnsi="宋体" w:cs="宋体" w:hint="eastAsia"/>
          <w:color w:val="auto"/>
          <w:szCs w:val="21"/>
          <w:u w:val="dotted"/>
        </w:rPr>
      </w:pPr>
      <w:r>
        <w:rPr>
          <w:rFonts w:ascii="宋体" w:eastAsia="宋体" w:hAnsi="宋体" w:cs="宋体" w:hint="eastAsia"/>
          <w:color w:val="auto"/>
          <w:szCs w:val="21"/>
        </w:rPr>
        <w:t>法律依据：</w:t>
      </w:r>
    </w:p>
    <w:p>
      <w:pPr>
        <w:adjustRightInd w:val="0"/>
        <w:snapToGrid w:val="0"/>
        <w:spacing w:line="360" w:lineRule="auto"/>
        <w:rPr>
          <w:rFonts w:ascii="宋体" w:hAnsi="宋体" w:cs="宋体" w:hint="eastAsia"/>
          <w:color w:val="auto"/>
          <w:szCs w:val="21"/>
          <w:u w:val="dotted"/>
        </w:rPr>
      </w:pPr>
      <w:r>
        <w:rPr>
          <w:rFonts w:ascii="宋体" w:eastAsia="宋体" w:hAnsi="宋体" w:cs="宋体" w:hint="eastAsia"/>
          <w:color w:val="auto"/>
          <w:szCs w:val="21"/>
        </w:rPr>
        <w:t>质疑事项2……</w:t>
      </w:r>
    </w:p>
    <w:p>
      <w:pPr>
        <w:adjustRightInd w:val="0"/>
        <w:snapToGrid w:val="0"/>
        <w:spacing w:line="360" w:lineRule="auto"/>
        <w:rPr>
          <w:rFonts w:ascii="宋体" w:hAnsi="宋体" w:cs="宋体" w:hint="eastAsia"/>
          <w:bCs/>
          <w:color w:val="auto"/>
          <w:szCs w:val="21"/>
        </w:rPr>
      </w:pPr>
      <w:r>
        <w:rPr>
          <w:rFonts w:ascii="宋体" w:eastAsia="宋体" w:hAnsi="宋体" w:cs="宋体" w:hint="eastAsia"/>
          <w:bCs/>
          <w:color w:val="auto"/>
          <w:szCs w:val="21"/>
        </w:rPr>
        <w:t>四、与质疑事项相关的质疑请求</w:t>
      </w:r>
    </w:p>
    <w:p>
      <w:pPr>
        <w:adjustRightInd w:val="0"/>
        <w:snapToGrid w:val="0"/>
        <w:spacing w:line="360" w:lineRule="auto"/>
        <w:rPr>
          <w:rFonts w:ascii="宋体" w:hAnsi="宋体" w:cs="宋体" w:hint="eastAsia"/>
          <w:color w:val="auto"/>
          <w:szCs w:val="21"/>
          <w:u w:val="dotted"/>
        </w:rPr>
      </w:pPr>
      <w:r>
        <w:rPr>
          <w:rFonts w:ascii="宋体" w:eastAsia="宋体" w:hAnsi="宋体" w:cs="宋体" w:hint="eastAsia"/>
          <w:color w:val="auto"/>
          <w:szCs w:val="21"/>
        </w:rPr>
        <w:t>请求：</w:t>
      </w:r>
    </w:p>
    <w:p>
      <w:pPr>
        <w:spacing w:line="360" w:lineRule="auto"/>
        <w:rPr>
          <w:rFonts w:ascii="宋体" w:hAnsi="宋体" w:cs="宋体" w:hint="eastAsia"/>
          <w:color w:val="auto"/>
          <w:szCs w:val="21"/>
        </w:rPr>
      </w:pPr>
      <w:r>
        <w:rPr>
          <w:rFonts w:ascii="宋体" w:eastAsia="宋体" w:hAnsi="宋体" w:cs="宋体" w:hint="eastAsia"/>
          <w:color w:val="auto"/>
          <w:szCs w:val="21"/>
        </w:rPr>
        <w:t>签字(盖章)：（盖公章）：</w:t>
      </w:r>
    </w:p>
    <w:p>
      <w:pPr>
        <w:spacing w:line="360" w:lineRule="auto"/>
        <w:rPr>
          <w:rFonts w:ascii="宋体" w:hAnsi="宋体" w:cs="宋体" w:hint="eastAsia"/>
          <w:color w:val="auto"/>
          <w:szCs w:val="21"/>
        </w:rPr>
      </w:pPr>
      <w:r>
        <w:rPr>
          <w:rFonts w:ascii="宋体" w:eastAsia="宋体" w:hAnsi="宋体" w:cs="宋体" w:hint="eastAsia"/>
          <w:color w:val="auto"/>
          <w:szCs w:val="21"/>
        </w:rPr>
        <w:t>日期：</w:t>
      </w:r>
    </w:p>
    <w:p>
      <w:pPr>
        <w:spacing w:line="360" w:lineRule="auto"/>
        <w:rPr>
          <w:rFonts w:ascii="宋体" w:hAnsi="宋体" w:cs="宋体" w:hint="eastAsia"/>
          <w:b/>
          <w:color w:val="auto"/>
          <w:szCs w:val="21"/>
        </w:rPr>
      </w:pPr>
    </w:p>
    <w:p>
      <w:pPr>
        <w:spacing w:line="360" w:lineRule="auto"/>
        <w:rPr>
          <w:rFonts w:ascii="宋体" w:hAnsi="宋体" w:cs="宋体" w:hint="eastAsia"/>
          <w:b/>
          <w:color w:val="auto"/>
          <w:szCs w:val="21"/>
        </w:rPr>
      </w:pPr>
      <w:r>
        <w:rPr>
          <w:rFonts w:ascii="宋体" w:eastAsia="宋体" w:hAnsi="宋体" w:cs="宋体" w:hint="eastAsia"/>
          <w:b/>
          <w:color w:val="auto"/>
          <w:szCs w:val="21"/>
        </w:rPr>
        <w:t>质疑函制作说明：</w:t>
      </w:r>
    </w:p>
    <w:p>
      <w:pPr>
        <w:spacing w:line="360" w:lineRule="auto"/>
        <w:ind w:firstLine="420" w:firstLineChars="200"/>
        <w:rPr>
          <w:rFonts w:ascii="宋体" w:hAnsi="宋体" w:cs="宋体" w:hint="eastAsia"/>
          <w:color w:val="auto"/>
          <w:szCs w:val="21"/>
        </w:rPr>
      </w:pPr>
      <w:r>
        <w:rPr>
          <w:rFonts w:ascii="宋体" w:eastAsia="宋体" w:hAnsi="宋体" w:cs="宋体" w:hint="eastAsia"/>
          <w:color w:val="auto"/>
          <w:szCs w:val="21"/>
        </w:rPr>
        <w:t>1.供应商提出质疑时，应提交质疑函和必要的证明材料。</w:t>
      </w:r>
    </w:p>
    <w:p>
      <w:pPr>
        <w:spacing w:line="360" w:lineRule="auto"/>
        <w:ind w:firstLine="420" w:firstLineChars="200"/>
        <w:rPr>
          <w:rFonts w:ascii="宋体" w:hAnsi="宋体" w:cs="宋体" w:hint="eastAsia"/>
          <w:color w:val="auto"/>
          <w:szCs w:val="21"/>
        </w:rPr>
      </w:pPr>
      <w:r>
        <w:rPr>
          <w:rFonts w:ascii="宋体" w:eastAsia="宋体" w:hAnsi="宋体" w:cs="宋体" w:hint="eastAsia"/>
          <w:color w:val="auto"/>
          <w:szCs w:val="21"/>
        </w:rPr>
        <w:t>2.质疑供应商若委托代理人进行质疑的，质疑函应按以上要求列明“授权代表”的有关内容，并在附件中提交由质疑供应商签署的授权委托书。授权委托书应载明代理人的姓名、代理事项、具体权限、期限和相关事项。</w:t>
      </w:r>
    </w:p>
    <w:p>
      <w:pPr>
        <w:spacing w:line="360" w:lineRule="auto"/>
        <w:ind w:firstLine="420" w:firstLineChars="200"/>
        <w:rPr>
          <w:rFonts w:ascii="宋体" w:hAnsi="宋体" w:cs="宋体" w:hint="eastAsia"/>
          <w:color w:val="auto"/>
          <w:szCs w:val="21"/>
        </w:rPr>
      </w:pPr>
      <w:r>
        <w:rPr>
          <w:rFonts w:ascii="宋体" w:eastAsia="宋体" w:hAnsi="宋体" w:cs="宋体" w:hint="eastAsia"/>
          <w:color w:val="auto"/>
          <w:szCs w:val="21"/>
        </w:rPr>
        <w:t>3.质疑供应商若对项目的某一分包进行质疑，质疑函中应列明具体分包号。</w:t>
      </w:r>
    </w:p>
    <w:p>
      <w:pPr>
        <w:spacing w:line="360" w:lineRule="auto"/>
        <w:ind w:firstLine="420" w:firstLineChars="200"/>
        <w:rPr>
          <w:rFonts w:ascii="宋体" w:hAnsi="宋体" w:cs="宋体" w:hint="eastAsia"/>
          <w:color w:val="auto"/>
          <w:szCs w:val="21"/>
        </w:rPr>
      </w:pPr>
      <w:r>
        <w:rPr>
          <w:rFonts w:ascii="宋体" w:eastAsia="宋体" w:hAnsi="宋体" w:cs="宋体" w:hint="eastAsia"/>
          <w:color w:val="auto"/>
          <w:szCs w:val="21"/>
        </w:rPr>
        <w:t>4.质疑函的质疑事项应具体、明确，并有必要的事实依据和法律依据。</w:t>
      </w:r>
    </w:p>
    <w:p>
      <w:pPr>
        <w:spacing w:line="360" w:lineRule="auto"/>
        <w:ind w:firstLine="420" w:firstLineChars="200"/>
        <w:rPr>
          <w:rFonts w:ascii="宋体" w:hAnsi="宋体" w:cs="宋体" w:hint="eastAsia"/>
          <w:color w:val="auto"/>
          <w:szCs w:val="21"/>
        </w:rPr>
      </w:pPr>
      <w:r>
        <w:rPr>
          <w:rFonts w:ascii="宋体" w:eastAsia="宋体" w:hAnsi="宋体" w:cs="宋体" w:hint="eastAsia"/>
          <w:color w:val="auto"/>
          <w:szCs w:val="21"/>
        </w:rPr>
        <w:t>5.质疑函的质疑请求应与质疑事项相关。</w:t>
      </w:r>
    </w:p>
    <w:p>
      <w:pPr>
        <w:spacing w:line="360" w:lineRule="auto"/>
        <w:ind w:firstLine="420" w:firstLineChars="200"/>
        <w:rPr>
          <w:rFonts w:ascii="宋体" w:hAnsi="宋体" w:cs="宋体" w:hint="eastAsia"/>
          <w:b/>
          <w:bCs/>
          <w:color w:val="auto"/>
          <w:szCs w:val="21"/>
        </w:rPr>
        <w:sectPr>
          <w:headerReference w:type="default" r:id="rId108"/>
          <w:footerReference w:type="default" r:id="rId109"/>
          <w:headerReference w:type="first" r:id="rId110"/>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27" w:chapStyle="1" w:chapSep="enDash"/>
          <w:cols w:num="1" w:space="720"/>
          <w:titlePg w:val="0"/>
          <w:rtlGutter w:val="0"/>
          <w:docGrid w:linePitch="312" w:charSpace="0"/>
        </w:sectPr>
      </w:pPr>
      <w:r>
        <w:rPr>
          <w:rFonts w:ascii="宋体" w:eastAsia="宋体" w:hAnsi="宋体" w:cs="宋体" w:hint="eastAsia"/>
          <w:color w:val="auto"/>
          <w:szCs w:val="21"/>
        </w:rPr>
        <w:t>6.质疑供应商为法人或者其他组织的，质疑函应由法定代表人、主要负责人，或者其授权代表签字或者盖章，并加盖公章。</w:t>
      </w:r>
    </w:p>
    <w:p>
      <w:pPr>
        <w:spacing w:line="360" w:lineRule="auto"/>
        <w:ind w:firstLine="420" w:firstLineChars="200"/>
        <w:rPr>
          <w:rFonts w:ascii="宋体" w:hAnsi="宋体" w:cs="宋体" w:hint="eastAsia"/>
          <w:b/>
          <w:bCs/>
          <w:color w:val="auto"/>
          <w:szCs w:val="21"/>
        </w:rPr>
      </w:pPr>
      <w:r>
        <w:rPr>
          <w:rFonts w:ascii="宋体" w:eastAsia="宋体" w:hAnsi="宋体" w:cs="宋体" w:hint="eastAsia"/>
          <w:b/>
          <w:bCs/>
          <w:color w:val="auto"/>
          <w:szCs w:val="21"/>
        </w:rPr>
        <w:t>34.投诉</w:t>
      </w:r>
    </w:p>
    <w:p>
      <w:pPr>
        <w:tabs>
          <w:tab w:val="left" w:pos="3210"/>
        </w:tabs>
        <w:spacing w:line="360" w:lineRule="auto"/>
        <w:ind w:firstLine="420" w:firstLineChars="200"/>
        <w:rPr>
          <w:rFonts w:ascii="宋体" w:hAnsi="宋体" w:cs="宋体" w:hint="eastAsia"/>
          <w:color w:val="auto"/>
        </w:rPr>
      </w:pPr>
      <w:r>
        <w:rPr>
          <w:rFonts w:ascii="宋体" w:eastAsia="宋体" w:hAnsi="宋体" w:cs="宋体" w:hint="eastAsia"/>
          <w:color w:val="auto"/>
        </w:rPr>
        <w:t>34.1质疑供应商对招标采购单位的质疑答复不满意或者招标采购单位未在规定时间内作出答复的，可以在答复期满后15个工作日内向同级政府采购监督管理部门投诉。</w:t>
      </w:r>
    </w:p>
    <w:p>
      <w:pPr>
        <w:tabs>
          <w:tab w:val="left" w:pos="3210"/>
        </w:tabs>
        <w:spacing w:line="360" w:lineRule="auto"/>
        <w:ind w:firstLine="420" w:firstLineChars="200"/>
        <w:rPr>
          <w:rFonts w:ascii="宋体" w:hAnsi="宋体" w:cs="宋体" w:hint="eastAsia"/>
          <w:color w:val="auto"/>
        </w:rPr>
      </w:pPr>
      <w:r>
        <w:rPr>
          <w:rFonts w:ascii="宋体" w:eastAsia="宋体" w:hAnsi="宋体" w:cs="宋体" w:hint="eastAsia"/>
          <w:color w:val="auto"/>
          <w:szCs w:val="21"/>
        </w:rPr>
        <w:t>投诉联系部门：</w:t>
      </w:r>
    </w:p>
    <w:p>
      <w:pPr>
        <w:tabs>
          <w:tab w:val="left" w:pos="3210"/>
        </w:tabs>
        <w:spacing w:line="360" w:lineRule="auto"/>
        <w:ind w:firstLine="420" w:firstLineChars="200"/>
        <w:rPr>
          <w:rFonts w:ascii="宋体" w:hAnsi="宋体" w:cs="宋体" w:hint="eastAsia"/>
          <w:color w:val="auto"/>
          <w:szCs w:val="21"/>
        </w:rPr>
      </w:pPr>
      <w:r>
        <w:rPr>
          <w:rFonts w:ascii="宋体" w:eastAsia="宋体" w:hAnsi="宋体" w:cs="宋体" w:hint="eastAsia"/>
          <w:color w:val="auto"/>
          <w:szCs w:val="21"/>
        </w:rPr>
        <w:t>联系电话：</w:t>
      </w:r>
    </w:p>
    <w:p>
      <w:pPr>
        <w:tabs>
          <w:tab w:val="left" w:pos="3210"/>
        </w:tabs>
        <w:spacing w:line="360" w:lineRule="auto"/>
        <w:ind w:firstLine="420" w:firstLineChars="200"/>
        <w:rPr>
          <w:rFonts w:ascii="宋体" w:hAnsi="宋体" w:cs="宋体" w:hint="eastAsia"/>
          <w:color w:val="auto"/>
        </w:rPr>
      </w:pPr>
      <w:r>
        <w:rPr>
          <w:rFonts w:ascii="宋体" w:eastAsia="宋体" w:hAnsi="宋体" w:cs="宋体" w:hint="eastAsia"/>
          <w:color w:val="auto"/>
          <w:szCs w:val="21"/>
        </w:rPr>
        <w:t>通讯地址：</w:t>
      </w:r>
    </w:p>
    <w:p>
      <w:pPr>
        <w:tabs>
          <w:tab w:val="left" w:pos="3210"/>
        </w:tabs>
        <w:spacing w:line="360" w:lineRule="auto"/>
        <w:ind w:firstLine="420" w:firstLineChars="200"/>
        <w:rPr>
          <w:rFonts w:ascii="宋体" w:hAnsi="宋体" w:cs="宋体" w:hint="eastAsia"/>
          <w:color w:val="auto"/>
        </w:rPr>
      </w:pPr>
      <w:r>
        <w:rPr>
          <w:rFonts w:ascii="宋体" w:eastAsia="宋体" w:hAnsi="宋体" w:cs="宋体" w:hint="eastAsia"/>
          <w:color w:val="auto"/>
        </w:rPr>
        <w:t>34.2投诉人提起投诉应当符合下列条件：</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1）提起投诉前已依法进行质疑；</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2）投诉书内容符合《政府采购质疑和投诉办法》（财政部令第94号）的规定；</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3）在投诉有效期限内提起投诉；</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4）同一投诉事项未经财政部门投诉处理；</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5）财政部规定的其他条件。</w:t>
      </w:r>
    </w:p>
    <w:p>
      <w:pPr>
        <w:tabs>
          <w:tab w:val="left" w:pos="3210"/>
        </w:tabs>
        <w:spacing w:line="360" w:lineRule="auto"/>
        <w:ind w:firstLine="420" w:firstLineChars="200"/>
        <w:rPr>
          <w:rFonts w:ascii="宋体" w:hAnsi="宋体" w:cs="宋体" w:hint="eastAsia"/>
          <w:b/>
          <w:color w:val="auto"/>
        </w:rPr>
      </w:pPr>
      <w:r>
        <w:rPr>
          <w:rFonts w:ascii="宋体" w:eastAsia="宋体" w:hAnsi="宋体" w:cs="宋体" w:hint="eastAsia"/>
          <w:b/>
          <w:color w:val="auto"/>
        </w:rPr>
        <w:t>34.3投诉人有下列行为之一的，属于虚假、恶意投诉，由财政部门列入不良行为记录名单，禁止其1至3年内参加政府采购活动：</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1）捏造事实；</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2）提供虚假材料；</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3）以非法手段取得证明材料。证据来源的合法性存在明显疑问，投诉人无法证明其取得方式合法的，视为以非法手段取得证明材料。</w:t>
      </w:r>
    </w:p>
    <w:p>
      <w:pPr>
        <w:tabs>
          <w:tab w:val="left" w:pos="3210"/>
        </w:tabs>
        <w:spacing w:line="360" w:lineRule="auto"/>
        <w:ind w:firstLine="420" w:firstLineChars="200"/>
        <w:rPr>
          <w:rFonts w:ascii="宋体" w:hAnsi="宋体" w:cs="宋体" w:hint="eastAsia"/>
          <w:b/>
          <w:color w:val="auto"/>
        </w:rPr>
      </w:pPr>
      <w:r>
        <w:rPr>
          <w:rFonts w:ascii="宋体" w:eastAsia="宋体" w:hAnsi="宋体" w:cs="宋体" w:hint="eastAsia"/>
          <w:b/>
          <w:color w:val="auto"/>
        </w:rPr>
        <w:t>34.4投诉人在全国范围12个月内三次以上投诉查无实据的，由财政部门列入不良行为记录名单。</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七、合同的订立和履行</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35.合同的订立</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35.1采购人与中标供应商自中标通知书发出之日起三十日内，按招标文件要求和中标人投标文件承诺签订政府采购合同，但不得超出招标文件和中标人投标文件的范围、也不得再行订立背离合同实质性内容的其他协议。</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35.2签订政府采购合同后7个工作日内，采购人应将政府采购合同副本报同级政府采购监督管理部门备案。</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b/>
          <w:bCs/>
          <w:color w:val="auto"/>
          <w:sz w:val="21"/>
          <w:szCs w:val="21"/>
        </w:rPr>
        <w:t>36.合同的履行</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36.1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Default"/>
        <w:spacing w:line="360" w:lineRule="auto"/>
        <w:ind w:firstLine="420" w:firstLineChars="200"/>
        <w:rPr>
          <w:rFonts w:ascii="宋体" w:eastAsia="宋体" w:hAnsi="宋体" w:cs="宋体" w:hint="eastAsia"/>
          <w:color w:val="auto"/>
          <w:sz w:val="21"/>
          <w:szCs w:val="21"/>
        </w:rPr>
        <w:sectPr>
          <w:headerReference w:type="default" r:id="rId111"/>
          <w:footerReference w:type="default" r:id="rId112"/>
          <w:headerReference w:type="first" r:id="rId113"/>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28" w:chapStyle="1" w:chapSep="enDash"/>
          <w:cols w:num="1" w:space="720"/>
          <w:titlePg w:val="0"/>
          <w:rtlGutter w:val="0"/>
          <w:docGrid w:linePitch="312" w:charSpace="0"/>
        </w:sectPr>
      </w:pPr>
      <w:r>
        <w:rPr>
          <w:rFonts w:ascii="宋体" w:eastAsia="宋体" w:hAnsi="宋体" w:cs="宋体" w:hint="eastAsia"/>
          <w:color w:val="auto"/>
          <w:sz w:val="21"/>
          <w:szCs w:val="21"/>
        </w:rPr>
        <w:t>36.2政府采购合同履行中，采购人需追加与合同标的相同的货物、工程或者服务的，在不改变合同其他条款的前提下，可以与供应商签订补充合同，但所补充合同的采购金额不得超过原采购金额的百分之十。</w:t>
      </w:r>
    </w:p>
    <w:p>
      <w:pPr>
        <w:tabs>
          <w:tab w:val="left" w:pos="3210"/>
        </w:tabs>
        <w:spacing w:line="360" w:lineRule="auto"/>
        <w:ind w:firstLine="420" w:firstLineChars="200"/>
        <w:rPr>
          <w:rFonts w:ascii="宋体" w:hAnsi="宋体" w:cs="宋体" w:hint="eastAsia"/>
          <w:color w:val="auto"/>
        </w:rPr>
      </w:pPr>
      <w:r>
        <w:rPr>
          <w:rFonts w:ascii="宋体" w:eastAsia="宋体" w:hAnsi="宋体" w:cs="宋体" w:hint="eastAsia"/>
          <w:color w:val="auto"/>
        </w:rPr>
        <w:t>36.3采购人应当及时对采购项目进行验收。采购人也可以邀请参加本项目的其他投标人或者第三方机构参与验收。参与验收的投标人或者第三方机构的意见作为验收书的参考资料一并存档。大型或者复杂的政府采购项目，应当邀请国家认可的质量检测机构参加验收工作。验收方成员应当在验收书上签字，并承担相应的法律责任。</w:t>
      </w:r>
    </w:p>
    <w:p>
      <w:pPr>
        <w:pStyle w:val="CM5"/>
        <w:spacing w:line="360" w:lineRule="auto"/>
        <w:ind w:firstLine="420" w:firstLineChars="200"/>
        <w:rPr>
          <w:rFonts w:ascii="宋体" w:eastAsia="宋体" w:hAnsi="宋体" w:cs="宋体" w:hint="eastAsia"/>
          <w:sz w:val="21"/>
          <w:szCs w:val="21"/>
          <w:lang w:eastAsia="zh-CN"/>
        </w:rPr>
      </w:pPr>
      <w:r>
        <w:rPr>
          <w:rFonts w:ascii="宋体" w:eastAsia="宋体" w:hAnsi="宋体" w:cs="宋体" w:hint="eastAsia"/>
          <w:b/>
          <w:bCs/>
          <w:color w:val="auto"/>
          <w:sz w:val="21"/>
          <w:szCs w:val="21"/>
        </w:rPr>
        <w:t>八、适用法律</w:t>
      </w:r>
    </w:p>
    <w:p>
      <w:pPr>
        <w:pStyle w:val="CM50"/>
        <w:spacing w:line="360" w:lineRule="auto"/>
        <w:ind w:right="145" w:firstLine="420" w:firstLineChars="200"/>
        <w:rPr>
          <w:rFonts w:ascii="宋体" w:eastAsia="宋体" w:hAnsi="宋体" w:cs="宋体" w:hint="eastAsia"/>
          <w:sz w:val="21"/>
          <w:szCs w:val="21"/>
          <w:lang w:val="en-US" w:eastAsia="zh-CN"/>
        </w:rPr>
      </w:pPr>
      <w:r>
        <w:rPr>
          <w:rFonts w:ascii="宋体" w:eastAsia="宋体" w:hAnsi="宋体" w:cs="宋体" w:hint="eastAsia"/>
          <w:color w:val="auto"/>
          <w:sz w:val="21"/>
          <w:szCs w:val="21"/>
        </w:rPr>
        <w:t>37.采购人、</w:t>
      </w:r>
      <w:r>
        <w:rPr>
          <w:rFonts w:ascii="宋体" w:eastAsia="宋体" w:hAnsi="宋体" w:cs="宋体" w:hint="eastAsia"/>
          <w:color w:val="auto"/>
          <w:sz w:val="21"/>
          <w:szCs w:val="21"/>
          <w:lang w:val="en-US" w:eastAsia="zh-CN"/>
        </w:rPr>
        <w:t>广东粤能工程管理有限公司</w:t>
      </w:r>
      <w:r>
        <w:rPr>
          <w:rFonts w:ascii="宋体" w:eastAsia="宋体" w:hAnsi="宋体" w:cs="宋体" w:hint="eastAsia"/>
          <w:color w:val="auto"/>
          <w:sz w:val="21"/>
          <w:szCs w:val="21"/>
        </w:rPr>
        <w:t>的一切招标投标活动均适用《政府采购法》及其配套的法规、规章、政策。工程类项目适用《中华人民共和国招标投标法》及其配套的法规、规章、政策。</w:t>
      </w:r>
    </w:p>
    <w:p>
      <w:pPr>
        <w:pStyle w:val="CM50"/>
        <w:spacing w:line="360" w:lineRule="auto"/>
        <w:ind w:right="145" w:firstLine="420" w:firstLineChars="200"/>
        <w:rPr>
          <w:rFonts w:ascii="宋体" w:eastAsia="宋体" w:hAnsi="宋体" w:cs="宋体" w:hint="eastAsia"/>
          <w:sz w:val="21"/>
          <w:szCs w:val="21"/>
        </w:rPr>
      </w:pPr>
      <w:r>
        <w:rPr>
          <w:rFonts w:ascii="宋体" w:eastAsia="宋体" w:hAnsi="宋体" w:cs="宋体" w:hint="eastAsia"/>
          <w:b/>
          <w:bCs/>
          <w:color w:val="auto"/>
          <w:sz w:val="21"/>
          <w:szCs w:val="21"/>
        </w:rPr>
        <w:t>九、评标方法、步骤及标准</w:t>
      </w:r>
    </w:p>
    <w:p>
      <w:pPr>
        <w:pStyle w:val="CM60"/>
        <w:spacing w:line="360" w:lineRule="auto"/>
        <w:ind w:firstLine="420" w:firstLineChars="200"/>
        <w:rPr>
          <w:rFonts w:ascii="宋体" w:eastAsia="宋体" w:hAnsi="宋体" w:cs="宋体" w:hint="eastAsia"/>
          <w:sz w:val="21"/>
          <w:szCs w:val="21"/>
          <w:lang w:eastAsia="zh-CN"/>
        </w:rPr>
      </w:pPr>
      <w:r>
        <w:rPr>
          <w:rFonts w:ascii="宋体" w:eastAsia="宋体" w:hAnsi="宋体" w:cs="宋体" w:hint="eastAsia"/>
          <w:color w:val="auto"/>
          <w:sz w:val="21"/>
          <w:szCs w:val="21"/>
        </w:rPr>
        <w:t>根据《政府采购法》的相关规定确定以下评标方法、步骤及标准。</w:t>
      </w:r>
    </w:p>
    <w:p>
      <w:pPr>
        <w:pStyle w:val="CM16"/>
        <w:spacing w:line="360" w:lineRule="auto"/>
        <w:ind w:firstLine="420" w:firstLineChars="200"/>
        <w:rPr>
          <w:rFonts w:ascii="宋体" w:eastAsia="宋体" w:hAnsi="宋体" w:cs="宋体" w:hint="eastAsia"/>
          <w:sz w:val="21"/>
          <w:szCs w:val="21"/>
          <w:lang w:eastAsia="zh-CN"/>
        </w:rPr>
      </w:pPr>
      <w:r>
        <w:rPr>
          <w:rFonts w:ascii="宋体" w:eastAsia="宋体" w:hAnsi="宋体" w:cs="宋体" w:hint="eastAsia"/>
          <w:color w:val="auto"/>
          <w:sz w:val="21"/>
          <w:szCs w:val="21"/>
        </w:rPr>
        <w:t>38.</w:t>
      </w:r>
      <w:r>
        <w:rPr>
          <w:rFonts w:ascii="宋体" w:eastAsia="宋体" w:hAnsi="宋体" w:cs="宋体" w:hint="eastAsia"/>
          <w:b/>
          <w:bCs/>
          <w:color w:val="auto"/>
          <w:sz w:val="21"/>
          <w:szCs w:val="21"/>
        </w:rPr>
        <w:t>评标方法</w:t>
      </w:r>
    </w:p>
    <w:p>
      <w:pPr>
        <w:pStyle w:val="CM60"/>
        <w:spacing w:line="360" w:lineRule="auto"/>
        <w:ind w:firstLine="420" w:firstLineChars="200"/>
        <w:rPr>
          <w:rFonts w:ascii="宋体" w:eastAsia="宋体" w:hAnsi="宋体" w:cs="宋体" w:hint="eastAsia"/>
          <w:sz w:val="21"/>
          <w:szCs w:val="21"/>
          <w:lang w:eastAsia="zh-CN"/>
        </w:rPr>
      </w:pPr>
      <w:r>
        <w:rPr>
          <w:rFonts w:ascii="宋体" w:eastAsia="宋体" w:hAnsi="宋体" w:cs="宋体" w:hint="eastAsia"/>
          <w:color w:val="auto"/>
          <w:sz w:val="21"/>
          <w:szCs w:val="21"/>
        </w:rPr>
        <w:t>38.1本次评标采用综合评分法，即对通过资格性和符合性审查的各投标人的技术、商务、价格进行评审、比较，并量化打分，最后根据各项得分之和计算出通过资格性和符合性审查投标人的综合得分。评标委员会按综合得分由高到低的原则进行排序（综合得分相同的优先排列顺序如下：1）投标报价低者；2)技术得分高者。综合得分最高的投标人为第一中标候选供应商，综合得分次高的投标人为第二中标候选供应商</w:t>
      </w:r>
      <w:r>
        <w:rPr>
          <w:rFonts w:ascii="宋体" w:eastAsia="宋体" w:hAnsi="宋体" w:cs="宋体" w:hint="eastAsia"/>
          <w:color w:val="auto"/>
          <w:sz w:val="21"/>
          <w:szCs w:val="21"/>
          <w:lang w:eastAsia="zh-CN"/>
        </w:rPr>
        <w:t>，</w:t>
      </w:r>
      <w:r>
        <w:rPr>
          <w:rFonts w:ascii="宋体" w:eastAsia="宋体" w:hAnsi="宋体" w:cs="宋体" w:hint="eastAsia"/>
          <w:color w:val="auto"/>
          <w:sz w:val="21"/>
          <w:szCs w:val="21"/>
        </w:rPr>
        <w:t>综合得分</w:t>
      </w:r>
      <w:r>
        <w:rPr>
          <w:rFonts w:ascii="宋体" w:eastAsia="宋体" w:hAnsi="宋体" w:cs="宋体" w:hint="eastAsia"/>
          <w:color w:val="auto"/>
          <w:sz w:val="21"/>
          <w:szCs w:val="21"/>
          <w:lang w:eastAsia="zh-CN"/>
        </w:rPr>
        <w:t>第三</w:t>
      </w:r>
      <w:r>
        <w:rPr>
          <w:rFonts w:ascii="宋体" w:eastAsia="宋体" w:hAnsi="宋体" w:cs="宋体" w:hint="eastAsia"/>
          <w:color w:val="auto"/>
          <w:sz w:val="21"/>
          <w:szCs w:val="21"/>
        </w:rPr>
        <w:t>的投标人为第</w:t>
      </w:r>
      <w:r>
        <w:rPr>
          <w:rFonts w:ascii="宋体" w:eastAsia="宋体" w:hAnsi="宋体" w:cs="宋体" w:hint="eastAsia"/>
          <w:color w:val="auto"/>
          <w:sz w:val="21"/>
          <w:szCs w:val="21"/>
          <w:lang w:eastAsia="zh-CN"/>
        </w:rPr>
        <w:t>三</w:t>
      </w:r>
      <w:r>
        <w:rPr>
          <w:rFonts w:ascii="宋体" w:eastAsia="宋体" w:hAnsi="宋体" w:cs="宋体" w:hint="eastAsia"/>
          <w:color w:val="auto"/>
          <w:sz w:val="21"/>
          <w:szCs w:val="21"/>
        </w:rPr>
        <w:t>中标候选供应商）。</w:t>
      </w:r>
    </w:p>
    <w:p>
      <w:pPr>
        <w:pStyle w:val="CM60"/>
        <w:spacing w:line="360" w:lineRule="auto"/>
        <w:ind w:firstLine="420" w:firstLineChars="200"/>
        <w:rPr>
          <w:rFonts w:ascii="宋体" w:eastAsia="宋体" w:hAnsi="宋体" w:cs="宋体" w:hint="eastAsia"/>
          <w:sz w:val="21"/>
          <w:szCs w:val="21"/>
          <w:lang w:eastAsia="zh-CN"/>
        </w:rPr>
      </w:pPr>
      <w:r>
        <w:rPr>
          <w:rFonts w:ascii="宋体" w:eastAsia="宋体" w:hAnsi="宋体" w:cs="宋体" w:hint="eastAsia"/>
          <w:b/>
          <w:bCs/>
          <w:color w:val="auto"/>
          <w:sz w:val="21"/>
          <w:szCs w:val="21"/>
        </w:rPr>
        <w:t>39.评标步骤</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39.1开标后采购人或者采购代理机构依法对投标人的资格进行审查。结论为合格的投标人进入评标环节（符合性审查、技术评议、商务评议和价格评议），合格投标人不足3家的，不得评标。</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39.2评标委员会对投标文件的评审分为符合性审查、比较与评价：</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t>1）符合性审查（审查内容详见符合性审查表），评标委员会对通过资格性审查的投标人进行符合性审查。</w:t>
      </w:r>
    </w:p>
    <w:p>
      <w:pPr>
        <w:pStyle w:val="CM78"/>
        <w:spacing w:line="360" w:lineRule="auto"/>
        <w:ind w:firstLine="420" w:firstLineChars="200"/>
        <w:jc w:val="both"/>
        <w:rPr>
          <w:rFonts w:ascii="宋体" w:eastAsia="宋体" w:hAnsi="宋体" w:cs="宋体" w:hint="eastAsia"/>
          <w:sz w:val="21"/>
          <w:szCs w:val="21"/>
          <w:lang w:eastAsia="zh-CN"/>
        </w:rPr>
      </w:pPr>
      <w:r>
        <w:rPr>
          <w:rFonts w:ascii="宋体" w:eastAsia="宋体" w:hAnsi="宋体" w:cs="宋体" w:hint="eastAsia"/>
          <w:color w:val="auto"/>
          <w:sz w:val="21"/>
          <w:szCs w:val="21"/>
        </w:rPr>
        <w:t>2）比较与评价</w:t>
      </w:r>
    </w:p>
    <w:p>
      <w:pPr>
        <w:pStyle w:val="CM62"/>
        <w:spacing w:line="360" w:lineRule="auto"/>
        <w:ind w:firstLine="420" w:firstLineChars="200"/>
        <w:jc w:val="both"/>
        <w:rPr>
          <w:rFonts w:ascii="宋体" w:eastAsia="宋体" w:hAnsi="宋体" w:cs="宋体" w:hint="eastAsia"/>
          <w:sz w:val="21"/>
          <w:szCs w:val="21"/>
        </w:rPr>
      </w:pPr>
      <w:r>
        <w:rPr>
          <w:rFonts w:ascii="宋体" w:eastAsia="宋体" w:hAnsi="宋体" w:cs="宋体" w:hint="eastAsia"/>
          <w:color w:val="auto"/>
          <w:sz w:val="21"/>
          <w:szCs w:val="21"/>
        </w:rPr>
        <w:t>1.技术评价：（技术评价得分按四舍五入原则精确到小数点后两位）</w:t>
      </w:r>
    </w:p>
    <w:p>
      <w:pPr>
        <w:pStyle w:val="CM61"/>
        <w:spacing w:line="360" w:lineRule="auto"/>
        <w:ind w:firstLine="630" w:firstLineChars="300"/>
        <w:jc w:val="both"/>
        <w:rPr>
          <w:rFonts w:ascii="宋体" w:eastAsia="宋体" w:hAnsi="宋体" w:cs="宋体" w:hint="eastAsia"/>
          <w:sz w:val="21"/>
          <w:szCs w:val="21"/>
          <w:lang w:eastAsia="zh-CN"/>
        </w:rPr>
      </w:pPr>
      <w:r>
        <w:rPr>
          <w:rFonts w:ascii="宋体" w:eastAsia="宋体" w:hAnsi="宋体" w:cs="宋体" w:hint="eastAsia"/>
          <w:color w:val="auto"/>
          <w:sz w:val="21"/>
          <w:szCs w:val="21"/>
        </w:rPr>
        <w:t>各评委对通过符合性审查的投标人对照采购需求各项技术要求进行评审和比较，并量化打分（评价打分内容详见附表）；各个评委对某一投标人的算术平均值，作为该投标人的技术评价得分。</w:t>
      </w:r>
    </w:p>
    <w:p>
      <w:pPr>
        <w:pStyle w:val="Default"/>
        <w:spacing w:line="360" w:lineRule="auto"/>
        <w:ind w:firstLine="420" w:firstLineChars="200"/>
        <w:jc w:val="both"/>
        <w:rPr>
          <w:rFonts w:ascii="宋体" w:eastAsia="宋体" w:hAnsi="宋体" w:cs="宋体" w:hint="eastAsia"/>
          <w:color w:val="auto"/>
          <w:sz w:val="21"/>
          <w:szCs w:val="21"/>
        </w:rPr>
      </w:pPr>
      <w:r>
        <w:rPr>
          <w:rFonts w:ascii="宋体" w:eastAsia="宋体" w:hAnsi="宋体" w:cs="宋体" w:hint="eastAsia"/>
          <w:color w:val="auto"/>
          <w:sz w:val="21"/>
          <w:szCs w:val="21"/>
        </w:rPr>
        <w:t>2.商务评价：（商务评价得分按四舍五入原则精确到小数点后两位）</w:t>
      </w:r>
    </w:p>
    <w:p>
      <w:pPr>
        <w:pStyle w:val="CM61"/>
        <w:spacing w:line="360" w:lineRule="auto"/>
        <w:ind w:firstLine="630" w:firstLineChars="300"/>
        <w:jc w:val="both"/>
        <w:rPr>
          <w:rFonts w:ascii="宋体" w:eastAsia="宋体" w:hAnsi="宋体" w:cs="宋体" w:hint="eastAsia"/>
          <w:sz w:val="21"/>
          <w:szCs w:val="21"/>
          <w:lang w:eastAsia="zh-CN"/>
        </w:rPr>
      </w:pPr>
      <w:r>
        <w:rPr>
          <w:rFonts w:ascii="宋体" w:eastAsia="宋体" w:hAnsi="宋体" w:cs="宋体" w:hint="eastAsia"/>
          <w:color w:val="auto"/>
          <w:sz w:val="21"/>
          <w:szCs w:val="21"/>
        </w:rPr>
        <w:t>各评委对通过符合性审查的投标人对照采购需求各项商务要求进行评审和比较，并量化打分（评价打分内容详见附表）；各个评委对某一投标人的算术平均值，作为该投标人的商务评价得分。</w:t>
      </w:r>
    </w:p>
    <w:p>
      <w:pPr>
        <w:pStyle w:val="CM62"/>
        <w:spacing w:line="360" w:lineRule="auto"/>
        <w:ind w:firstLine="420" w:firstLineChars="200"/>
        <w:jc w:val="both"/>
        <w:rPr>
          <w:rFonts w:ascii="宋体" w:eastAsia="宋体" w:hAnsi="宋体" w:cs="宋体" w:hint="eastAsia"/>
          <w:sz w:val="21"/>
          <w:szCs w:val="21"/>
        </w:rPr>
      </w:pPr>
      <w:r>
        <w:rPr>
          <w:rFonts w:ascii="宋体" w:eastAsia="宋体" w:hAnsi="宋体" w:cs="宋体" w:hint="eastAsia"/>
          <w:color w:val="auto"/>
          <w:sz w:val="21"/>
          <w:szCs w:val="21"/>
        </w:rPr>
        <w:t>3.价格评价：（价格评价得分按四舍五入原则精确到小数点后两位）</w:t>
      </w:r>
    </w:p>
    <w:p>
      <w:pPr>
        <w:pStyle w:val="CM61"/>
        <w:spacing w:line="360" w:lineRule="auto"/>
        <w:ind w:firstLine="630" w:firstLineChars="300"/>
        <w:jc w:val="both"/>
        <w:rPr>
          <w:rFonts w:ascii="宋体" w:eastAsia="宋体" w:hAnsi="宋体" w:cs="宋体" w:hint="eastAsia"/>
          <w:sz w:val="21"/>
          <w:szCs w:val="21"/>
        </w:rPr>
      </w:pPr>
      <w:r>
        <w:rPr>
          <w:rFonts w:ascii="宋体" w:eastAsia="宋体" w:hAnsi="宋体" w:cs="宋体" w:hint="eastAsia"/>
          <w:color w:val="auto"/>
          <w:sz w:val="21"/>
          <w:szCs w:val="21"/>
        </w:rPr>
        <w:t>将评标委员会评审后的所有投标人的评标价格，取满足招标文件要求且投标价格最低的投标报价作为评标基准价，其价格分为满分，其他投标人的价格分统一按照下列公式计算：</w:t>
      </w:r>
    </w:p>
    <w:p>
      <w:pPr>
        <w:pStyle w:val="CM61"/>
        <w:spacing w:line="360" w:lineRule="auto"/>
        <w:ind w:firstLine="630" w:firstLineChars="300"/>
        <w:jc w:val="both"/>
        <w:rPr>
          <w:rFonts w:ascii="宋体" w:eastAsia="宋体" w:hAnsi="宋体" w:cs="宋体" w:hint="eastAsia"/>
          <w:sz w:val="21"/>
          <w:szCs w:val="21"/>
        </w:rPr>
      </w:pPr>
      <w:r>
        <w:rPr>
          <w:rFonts w:ascii="宋体" w:eastAsia="宋体" w:hAnsi="宋体" w:cs="宋体" w:hint="eastAsia"/>
          <w:color w:val="auto"/>
          <w:sz w:val="21"/>
          <w:szCs w:val="21"/>
        </w:rPr>
        <w:t>投标评估得分=（评标基准价/投标报价）×价格权值×100</w:t>
      </w:r>
    </w:p>
    <w:p>
      <w:pPr>
        <w:pStyle w:val="CM61"/>
        <w:spacing w:line="360" w:lineRule="auto"/>
        <w:ind w:firstLine="630" w:firstLineChars="300"/>
        <w:jc w:val="both"/>
        <w:rPr>
          <w:rFonts w:ascii="宋体" w:eastAsia="宋体" w:hAnsi="宋体" w:cs="宋体" w:hint="eastAsia"/>
          <w:sz w:val="21"/>
          <w:szCs w:val="21"/>
        </w:rPr>
        <w:sectPr>
          <w:headerReference w:type="default" r:id="rId114"/>
          <w:footerReference w:type="default" r:id="rId115"/>
          <w:headerReference w:type="first" r:id="rId116"/>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29" w:chapStyle="1" w:chapSep="enDash"/>
          <w:cols w:num="1" w:space="720"/>
          <w:titlePg w:val="0"/>
          <w:rtlGutter w:val="0"/>
          <w:docGrid w:linePitch="312" w:charSpace="0"/>
        </w:sectPr>
      </w:pPr>
      <w:r>
        <w:rPr>
          <w:rFonts w:ascii="宋体" w:eastAsia="宋体" w:hAnsi="宋体" w:cs="宋体" w:hint="eastAsia"/>
          <w:color w:val="auto"/>
          <w:sz w:val="21"/>
          <w:szCs w:val="21"/>
        </w:rPr>
        <w:t>评标过程中，不得去掉报价中的最高报价和最低报价。</w:t>
      </w:r>
    </w:p>
    <w:p>
      <w:pPr>
        <w:pStyle w:val="CM61"/>
        <w:spacing w:line="360" w:lineRule="auto"/>
        <w:ind w:firstLine="630" w:firstLineChars="300"/>
        <w:jc w:val="both"/>
        <w:rPr>
          <w:rFonts w:ascii="宋体" w:eastAsia="宋体" w:hAnsi="宋体" w:cs="宋体" w:hint="eastAsia"/>
          <w:sz w:val="21"/>
          <w:szCs w:val="21"/>
        </w:rPr>
      </w:pPr>
      <w:r>
        <w:rPr>
          <w:rFonts w:ascii="宋体" w:eastAsia="宋体" w:hAnsi="宋体" w:cs="宋体" w:hint="eastAsia"/>
          <w:color w:val="auto"/>
          <w:sz w:val="21"/>
          <w:szCs w:val="21"/>
        </w:rPr>
        <w:t>因落实政府采购政策进行价格调整的，以调整后的价格计算评标基准价和投标报价。</w:t>
      </w:r>
    </w:p>
    <w:p>
      <w:pPr>
        <w:pStyle w:val="CM61"/>
        <w:spacing w:line="360" w:lineRule="auto"/>
        <w:ind w:firstLine="420" w:firstLineChars="200"/>
        <w:jc w:val="both"/>
        <w:rPr>
          <w:rFonts w:ascii="宋体" w:eastAsia="宋体" w:hAnsi="宋体" w:cs="宋体" w:hint="eastAsia"/>
          <w:sz w:val="21"/>
          <w:szCs w:val="21"/>
        </w:rPr>
      </w:pPr>
      <w:r>
        <w:rPr>
          <w:rFonts w:ascii="宋体" w:eastAsia="宋体" w:hAnsi="宋体" w:cs="宋体" w:hint="eastAsia"/>
          <w:color w:val="auto"/>
          <w:sz w:val="21"/>
          <w:szCs w:val="21"/>
        </w:rPr>
        <w:t>1）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CM61"/>
        <w:spacing w:line="360" w:lineRule="auto"/>
        <w:ind w:firstLine="420" w:firstLineChars="200"/>
        <w:jc w:val="both"/>
        <w:rPr>
          <w:rFonts w:ascii="宋体" w:eastAsia="宋体" w:hAnsi="宋体" w:cs="宋体" w:hint="eastAsia"/>
          <w:sz w:val="21"/>
          <w:szCs w:val="21"/>
        </w:rPr>
      </w:pPr>
      <w:r>
        <w:rPr>
          <w:rFonts w:ascii="宋体" w:eastAsia="宋体" w:hAnsi="宋体" w:cs="宋体" w:hint="eastAsia"/>
          <w:color w:val="auto"/>
          <w:sz w:val="21"/>
          <w:szCs w:val="21"/>
        </w:rPr>
        <w:t>2）小型/微型/监狱企业/残疾人福利性单位产品价格扣除</w:t>
      </w:r>
      <w:r>
        <w:rPr>
          <w:rFonts w:ascii="宋体" w:eastAsia="宋体" w:hAnsi="宋体" w:cs="宋体" w:hint="eastAsia"/>
          <w:b/>
          <w:color w:val="auto"/>
          <w:sz w:val="21"/>
          <w:szCs w:val="21"/>
        </w:rPr>
        <w:t>（不重复扣除）</w:t>
      </w:r>
    </w:p>
    <w:p>
      <w:pPr>
        <w:pStyle w:val="CM61"/>
        <w:spacing w:line="360" w:lineRule="auto"/>
        <w:ind w:firstLine="420" w:firstLineChars="200"/>
        <w:jc w:val="both"/>
        <w:rPr>
          <w:rFonts w:ascii="宋体" w:eastAsia="宋体" w:hAnsi="宋体" w:cs="宋体" w:hint="eastAsia"/>
          <w:sz w:val="21"/>
          <w:szCs w:val="21"/>
        </w:rPr>
      </w:pPr>
      <w:r>
        <w:rPr>
          <w:rFonts w:ascii="宋体" w:eastAsia="宋体" w:hAnsi="宋体" w:cs="宋体" w:hint="eastAsia"/>
          <w:color w:val="auto"/>
          <w:sz w:val="21"/>
          <w:szCs w:val="21"/>
        </w:rPr>
        <w:t>根据财政部、工业和信息化部印发的《政府采购促进中小企业发展暂行办法》（财库[2011]181号）、《关于政府采购支持监狱企业发展有关问题的通知》（</w:t>
      </w:r>
      <w:bookmarkStart w:id="1" w:name="OLE_LINK6"/>
      <w:r>
        <w:rPr>
          <w:rFonts w:ascii="宋体" w:eastAsia="宋体" w:hAnsi="宋体" w:cs="宋体" w:hint="eastAsia"/>
          <w:color w:val="auto"/>
          <w:sz w:val="21"/>
          <w:szCs w:val="21"/>
        </w:rPr>
        <w:t>财库[2014]68号</w:t>
      </w:r>
      <w:bookmarkEnd w:id="1"/>
      <w:r>
        <w:rPr>
          <w:rFonts w:ascii="宋体" w:eastAsia="宋体" w:hAnsi="宋体" w:cs="宋体" w:hint="eastAsia"/>
          <w:color w:val="auto"/>
          <w:sz w:val="21"/>
          <w:szCs w:val="21"/>
        </w:rPr>
        <w:t>）、《财政部民政部中国残疾人联合会关于促进残疾人就业政府采购政策的通知》（财库〔2017〕141号）的规定，对小型/微型/监狱企业/残疾人福利性单位产品的价格给予6%的扣除（如投标人为联合体，联合体小型/微型/监狱企业/残疾人福利性单位的产品合同金额占到联合体协议合同总金额30%以上的，可给予联合体2%的价格扣除），用扣除后的价格参与评审；投标产品中仅有部分小型/微型/监狱企业/残疾人福利性单位产品的，则按所投小型/微型/监狱企业/残疾人福利性单位产品的价格予以扣除。</w:t>
      </w:r>
    </w:p>
    <w:p>
      <w:pPr>
        <w:pStyle w:val="CM61"/>
        <w:spacing w:line="360" w:lineRule="auto"/>
        <w:ind w:firstLine="420" w:firstLineChars="200"/>
        <w:jc w:val="both"/>
        <w:rPr>
          <w:rFonts w:ascii="宋体" w:eastAsia="宋体" w:hAnsi="宋体" w:cs="宋体" w:hint="eastAsia"/>
          <w:sz w:val="21"/>
          <w:szCs w:val="21"/>
        </w:rPr>
      </w:pPr>
      <w:r>
        <w:rPr>
          <w:rFonts w:ascii="宋体" w:eastAsia="宋体" w:hAnsi="宋体" w:cs="宋体" w:hint="eastAsia"/>
          <w:color w:val="auto"/>
          <w:sz w:val="21"/>
          <w:szCs w:val="21"/>
        </w:rPr>
        <w:t>3）提供小型/微型产品须符合以下条件的方可给予价格扣除：</w:t>
      </w:r>
    </w:p>
    <w:p>
      <w:pPr>
        <w:pStyle w:val="CM61"/>
        <w:spacing w:line="360" w:lineRule="auto"/>
        <w:ind w:firstLine="420" w:firstLineChars="200"/>
        <w:jc w:val="both"/>
        <w:rPr>
          <w:rFonts w:ascii="宋体" w:eastAsia="宋体" w:hAnsi="宋体" w:cs="宋体" w:hint="eastAsia"/>
          <w:sz w:val="21"/>
          <w:szCs w:val="21"/>
          <w:lang w:eastAsia="zh-CN"/>
        </w:rPr>
      </w:pPr>
      <w:r>
        <w:rPr>
          <w:rFonts w:ascii="宋体" w:eastAsia="宋体" w:hAnsi="宋体" w:cs="宋体" w:hint="eastAsia"/>
          <w:color w:val="auto"/>
          <w:sz w:val="21"/>
          <w:szCs w:val="21"/>
        </w:rPr>
        <w:t>a、符合中小企业划分标准；</w:t>
      </w:r>
    </w:p>
    <w:p>
      <w:pPr>
        <w:pStyle w:val="CM61"/>
        <w:spacing w:line="360" w:lineRule="auto"/>
        <w:ind w:firstLine="420" w:firstLineChars="200"/>
        <w:jc w:val="both"/>
        <w:rPr>
          <w:rFonts w:ascii="宋体" w:eastAsia="宋体" w:hAnsi="宋体" w:cs="宋体" w:hint="eastAsia"/>
          <w:sz w:val="21"/>
          <w:szCs w:val="21"/>
        </w:rPr>
      </w:pPr>
      <w:r>
        <w:rPr>
          <w:rFonts w:ascii="宋体" w:eastAsia="宋体" w:hAnsi="宋体" w:cs="宋体" w:hint="eastAsia"/>
          <w:color w:val="auto"/>
          <w:sz w:val="21"/>
          <w:szCs w:val="21"/>
        </w:rPr>
        <w:t>b、提供本企业制造的货物、承担的工程或者服务，或者提供其他中小企业制造的货物。本项所称货物不包括使用大型企业注册商标的货物。</w:t>
      </w:r>
    </w:p>
    <w:p>
      <w:pPr>
        <w:pStyle w:val="CM61"/>
        <w:spacing w:line="360" w:lineRule="auto"/>
        <w:ind w:firstLine="420" w:firstLineChars="200"/>
        <w:jc w:val="both"/>
        <w:rPr>
          <w:rFonts w:ascii="宋体" w:eastAsia="宋体" w:hAnsi="宋体" w:cs="宋体" w:hint="eastAsia"/>
          <w:sz w:val="21"/>
          <w:szCs w:val="21"/>
        </w:rPr>
      </w:pPr>
      <w:r>
        <w:rPr>
          <w:rFonts w:ascii="宋体" w:eastAsia="宋体" w:hAnsi="宋体" w:cs="宋体" w:hint="eastAsia"/>
          <w:color w:val="auto"/>
          <w:sz w:val="21"/>
          <w:szCs w:val="21"/>
        </w:rPr>
        <w:t>c、中小企业划分标准以《工业和信息化部、国家统计局、国家发展和改革委员会、财政部关于印发中小企业划型标准规定的通知》（工信部联企业[2011]300号）规定的划分标准为准。</w:t>
      </w:r>
    </w:p>
    <w:p>
      <w:pPr>
        <w:pStyle w:val="CM61"/>
        <w:spacing w:line="360" w:lineRule="auto"/>
        <w:ind w:firstLine="420" w:firstLineChars="200"/>
        <w:jc w:val="both"/>
        <w:rPr>
          <w:rFonts w:ascii="宋体" w:eastAsia="宋体" w:hAnsi="宋体" w:cs="宋体" w:hint="eastAsia"/>
          <w:sz w:val="21"/>
          <w:szCs w:val="21"/>
        </w:rPr>
      </w:pPr>
      <w:r>
        <w:rPr>
          <w:rFonts w:ascii="宋体" w:eastAsia="宋体" w:hAnsi="宋体" w:cs="宋体" w:hint="eastAsia"/>
          <w:color w:val="auto"/>
          <w:sz w:val="21"/>
          <w:szCs w:val="21"/>
        </w:rPr>
        <w:t>d、小型/微型提供中型企业制造的货物的，视同为中型企业。</w:t>
      </w:r>
    </w:p>
    <w:p>
      <w:pPr>
        <w:pStyle w:val="CM61"/>
        <w:spacing w:line="360" w:lineRule="auto"/>
        <w:ind w:firstLine="420" w:firstLineChars="200"/>
        <w:jc w:val="both"/>
        <w:rPr>
          <w:rFonts w:ascii="宋体" w:eastAsia="宋体" w:hAnsi="宋体" w:cs="宋体" w:hint="eastAsia"/>
          <w:sz w:val="21"/>
          <w:szCs w:val="21"/>
        </w:rPr>
      </w:pPr>
      <w:r>
        <w:rPr>
          <w:rFonts w:ascii="宋体" w:eastAsia="宋体" w:hAnsi="宋体" w:cs="宋体" w:hint="eastAsia"/>
          <w:color w:val="auto"/>
          <w:sz w:val="21"/>
          <w:szCs w:val="21"/>
        </w:rPr>
        <w:t>e、提供《中小企业声明函》；</w:t>
      </w:r>
    </w:p>
    <w:p>
      <w:pPr>
        <w:pStyle w:val="CM61"/>
        <w:spacing w:line="360" w:lineRule="auto"/>
        <w:ind w:firstLine="420" w:firstLineChars="200"/>
        <w:jc w:val="both"/>
        <w:rPr>
          <w:rFonts w:ascii="宋体" w:eastAsia="宋体" w:hAnsi="宋体" w:cs="宋体" w:hint="eastAsia"/>
          <w:sz w:val="21"/>
          <w:szCs w:val="21"/>
        </w:rPr>
      </w:pPr>
      <w:r>
        <w:rPr>
          <w:rFonts w:ascii="宋体" w:eastAsia="宋体" w:hAnsi="宋体" w:cs="宋体" w:hint="eastAsia"/>
          <w:color w:val="auto"/>
          <w:sz w:val="21"/>
          <w:szCs w:val="21"/>
        </w:rPr>
        <w:t>f、提供投标人及小型或微型企业产品制造商由企业所在地的县级或以上中小企业主管部门出具的中小企业认定证明，如联合体投标须另按以上要求提供联合体协议。</w:t>
      </w:r>
    </w:p>
    <w:p>
      <w:pPr>
        <w:pStyle w:val="CM61"/>
        <w:spacing w:line="360" w:lineRule="auto"/>
        <w:ind w:firstLine="420" w:firstLineChars="200"/>
        <w:jc w:val="both"/>
        <w:rPr>
          <w:rFonts w:ascii="宋体" w:eastAsia="宋体" w:hAnsi="宋体" w:cs="宋体" w:hint="eastAsia"/>
          <w:sz w:val="21"/>
          <w:szCs w:val="21"/>
        </w:rPr>
      </w:pPr>
      <w:r>
        <w:rPr>
          <w:rFonts w:ascii="宋体" w:eastAsia="宋体" w:hAnsi="宋体" w:cs="宋体" w:hint="eastAsia"/>
          <w:color w:val="auto"/>
          <w:sz w:val="21"/>
          <w:szCs w:val="21"/>
        </w:rPr>
        <w:t>4）如提供监狱企业产品则需提供由省级以上监狱管理局、戒毒管理局(含新疆生产建设兵团)出具的属于监狱企业的证明文件后可给予相应的价格扣除。</w:t>
      </w:r>
    </w:p>
    <w:p>
      <w:pPr>
        <w:pStyle w:val="CM61"/>
        <w:spacing w:line="360" w:lineRule="auto"/>
        <w:ind w:firstLine="420" w:firstLineChars="200"/>
        <w:jc w:val="both"/>
        <w:rPr>
          <w:rFonts w:ascii="宋体" w:eastAsia="宋体" w:hAnsi="宋体" w:cs="宋体" w:hint="eastAsia"/>
          <w:sz w:val="21"/>
          <w:szCs w:val="21"/>
        </w:rPr>
      </w:pPr>
      <w:r>
        <w:rPr>
          <w:rFonts w:ascii="宋体" w:eastAsia="宋体" w:hAnsi="宋体" w:cs="宋体" w:hint="eastAsia"/>
          <w:color w:val="auto"/>
          <w:sz w:val="21"/>
          <w:szCs w:val="21"/>
        </w:rPr>
        <w:t>5）如提供残疾人福利性单位产品则需提供《残疾人福利性单位声明函》，并对声明的真实性负责。（如投标人为残疾人福利性单位的或提供残疾人福利性单位的货物而中标的，采购人或者其委托的采购代理机构应当随中标结果同时公告其《残疾人福利性单位声明函》，接受社会监督。如投标人提供的《残疾人福利性单位声明函》与事实不符的，依照《政府采购法》第七十七条第一款的规定追究法律责任。</w:t>
      </w:r>
    </w:p>
    <w:p>
      <w:pPr>
        <w:pStyle w:val="CM61"/>
        <w:spacing w:line="360" w:lineRule="auto"/>
        <w:ind w:firstLine="420" w:firstLineChars="200"/>
        <w:jc w:val="both"/>
        <w:rPr>
          <w:rFonts w:ascii="宋体" w:eastAsia="宋体" w:hAnsi="宋体" w:cs="宋体" w:hint="eastAsia"/>
          <w:sz w:val="21"/>
          <w:szCs w:val="21"/>
        </w:rPr>
      </w:pPr>
      <w:r>
        <w:rPr>
          <w:rFonts w:ascii="宋体" w:eastAsia="宋体" w:hAnsi="宋体" w:cs="宋体" w:hint="eastAsia"/>
          <w:color w:val="auto"/>
          <w:sz w:val="21"/>
          <w:szCs w:val="21"/>
        </w:rPr>
        <w:t>4.综合比较与评价：将投标人的技术评价得分、商务评价得分和价格评价得分相加，计算得出该投标人的综合评价得分。（综合评价得分按四舍五入原则精确到小数点后两位）</w:t>
      </w:r>
    </w:p>
    <w:p>
      <w:pPr>
        <w:tabs>
          <w:tab w:val="left" w:pos="3210"/>
        </w:tabs>
        <w:spacing w:line="360" w:lineRule="auto"/>
        <w:ind w:firstLine="420" w:firstLineChars="200"/>
        <w:rPr>
          <w:rFonts w:ascii="宋体" w:hAnsi="宋体" w:cs="宋体" w:hint="eastAsia"/>
          <w:color w:val="auto"/>
          <w:szCs w:val="21"/>
        </w:rPr>
        <w:sectPr>
          <w:headerReference w:type="default" r:id="rId117"/>
          <w:footerReference w:type="default" r:id="rId118"/>
          <w:headerReference w:type="first" r:id="rId119"/>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30" w:chapStyle="1" w:chapSep="enDash"/>
          <w:cols w:num="1" w:space="720"/>
          <w:titlePg w:val="0"/>
          <w:rtlGutter w:val="0"/>
          <w:docGrid w:linePitch="312" w:charSpace="0"/>
        </w:sectPr>
      </w:pPr>
    </w:p>
    <w:p>
      <w:pPr>
        <w:tabs>
          <w:tab w:val="left" w:pos="3210"/>
        </w:tabs>
        <w:spacing w:line="360" w:lineRule="auto"/>
        <w:ind w:firstLine="420" w:firstLineChars="200"/>
        <w:rPr>
          <w:rFonts w:ascii="宋体" w:hAnsi="宋体" w:cs="宋体" w:hint="eastAsia"/>
          <w:color w:val="auto"/>
          <w:szCs w:val="21"/>
        </w:rPr>
      </w:pPr>
      <w:r>
        <w:rPr>
          <w:rFonts w:ascii="宋体" w:eastAsia="宋体" w:hAnsi="宋体" w:cs="宋体" w:hint="eastAsia"/>
          <w:color w:val="auto"/>
          <w:szCs w:val="21"/>
        </w:rPr>
        <w:t>根据上述技术、商务及价格综合评价的分值分配计算进入详细评审的各投标人的综合得分，并按得分从高到低排名。综合得分最高的投标人为第一中标候选供应商，综合得分次高的投标人为第二中标候选供应商</w:t>
      </w:r>
      <w:r>
        <w:rPr>
          <w:rFonts w:ascii="宋体" w:hAnsi="宋体" w:cs="宋体" w:hint="eastAsia"/>
          <w:color w:val="auto"/>
          <w:szCs w:val="21"/>
          <w:lang w:eastAsia="zh-CN"/>
        </w:rPr>
        <w:t>，</w:t>
      </w:r>
      <w:r>
        <w:rPr>
          <w:rFonts w:ascii="宋体" w:eastAsia="宋体" w:hAnsi="宋体" w:cs="宋体" w:hint="eastAsia"/>
          <w:color w:val="auto"/>
          <w:sz w:val="21"/>
          <w:szCs w:val="21"/>
        </w:rPr>
        <w:t>综合得分</w:t>
      </w:r>
      <w:r>
        <w:rPr>
          <w:rFonts w:ascii="宋体" w:eastAsia="宋体" w:hAnsi="宋体" w:cs="宋体" w:hint="eastAsia"/>
          <w:color w:val="auto"/>
          <w:sz w:val="21"/>
          <w:szCs w:val="21"/>
          <w:lang w:eastAsia="zh-CN"/>
        </w:rPr>
        <w:t>第三</w:t>
      </w:r>
      <w:r>
        <w:rPr>
          <w:rFonts w:ascii="宋体" w:eastAsia="宋体" w:hAnsi="宋体" w:cs="宋体" w:hint="eastAsia"/>
          <w:color w:val="auto"/>
          <w:sz w:val="21"/>
          <w:szCs w:val="21"/>
        </w:rPr>
        <w:t>的投标人为第</w:t>
      </w:r>
      <w:r>
        <w:rPr>
          <w:rFonts w:ascii="宋体" w:eastAsia="宋体" w:hAnsi="宋体" w:cs="宋体" w:hint="eastAsia"/>
          <w:color w:val="auto"/>
          <w:sz w:val="21"/>
          <w:szCs w:val="21"/>
          <w:lang w:eastAsia="zh-CN"/>
        </w:rPr>
        <w:t>三</w:t>
      </w:r>
      <w:r>
        <w:rPr>
          <w:rFonts w:ascii="宋体" w:eastAsia="宋体" w:hAnsi="宋体" w:cs="宋体" w:hint="eastAsia"/>
          <w:color w:val="auto"/>
          <w:sz w:val="21"/>
          <w:szCs w:val="21"/>
        </w:rPr>
        <w:t>中标候选供应商</w:t>
      </w:r>
      <w:r>
        <w:rPr>
          <w:rFonts w:ascii="宋体" w:eastAsia="宋体" w:hAnsi="宋体" w:cs="宋体" w:hint="eastAsia"/>
          <w:color w:val="auto"/>
          <w:szCs w:val="21"/>
        </w:rPr>
        <w:t>。综合得分相同按《投标人须知》第38.1款的规定确定。</w:t>
      </w:r>
    </w:p>
    <w:p>
      <w:pPr>
        <w:tabs>
          <w:tab w:val="left" w:pos="3210"/>
        </w:tabs>
        <w:spacing w:line="360" w:lineRule="auto"/>
        <w:ind w:firstLine="420" w:firstLineChars="200"/>
        <w:rPr>
          <w:rFonts w:ascii="宋体" w:hAnsi="宋体" w:cs="宋体" w:hint="eastAsia"/>
          <w:b/>
          <w:bCs/>
          <w:color w:val="auto"/>
          <w:szCs w:val="21"/>
        </w:rPr>
      </w:pPr>
      <w:r>
        <w:rPr>
          <w:rFonts w:ascii="宋体" w:eastAsia="宋体" w:hAnsi="宋体" w:cs="宋体" w:hint="eastAsia"/>
          <w:b/>
          <w:bCs/>
          <w:color w:val="auto"/>
          <w:sz w:val="21"/>
          <w:szCs w:val="21"/>
        </w:rPr>
        <w:t>40.评标标准（见附表）</w:t>
      </w:r>
    </w:p>
    <w:p>
      <w:pPr>
        <w:tabs>
          <w:tab w:val="left" w:pos="3210"/>
        </w:tabs>
        <w:spacing w:line="360" w:lineRule="auto"/>
        <w:ind w:firstLine="420" w:firstLineChars="200"/>
        <w:rPr>
          <w:rFonts w:ascii="宋体" w:hAnsi="宋体" w:cs="宋体" w:hint="eastAsia"/>
          <w:b/>
          <w:bCs/>
          <w:color w:val="auto"/>
          <w:szCs w:val="21"/>
        </w:rPr>
      </w:pPr>
      <w:r>
        <w:rPr>
          <w:rFonts w:ascii="宋体" w:eastAsia="宋体" w:hAnsi="宋体" w:cs="宋体" w:hint="eastAsia"/>
          <w:b/>
          <w:bCs/>
          <w:color w:val="auto"/>
          <w:sz w:val="21"/>
          <w:szCs w:val="21"/>
        </w:rPr>
        <w:t>十、招标文件的解释权</w:t>
      </w:r>
    </w:p>
    <w:p>
      <w:pPr>
        <w:pStyle w:val="CM60"/>
        <w:spacing w:line="360" w:lineRule="auto"/>
        <w:ind w:left="420" w:leftChars="200"/>
        <w:rPr>
          <w:rFonts w:ascii="宋体" w:eastAsia="宋体" w:hAnsi="宋体" w:cs="宋体" w:hint="eastAsia"/>
          <w:sz w:val="21"/>
          <w:szCs w:val="21"/>
        </w:rPr>
        <w:sectPr>
          <w:headerReference w:type="default" r:id="rId120"/>
          <w:footerReference w:type="default" r:id="rId121"/>
          <w:headerReference w:type="first" r:id="rId122"/>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31" w:chapStyle="1" w:chapSep="enDash"/>
          <w:cols w:num="1" w:space="720"/>
          <w:titlePg w:val="0"/>
          <w:rtlGutter w:val="0"/>
          <w:docGrid w:linePitch="312" w:charSpace="0"/>
        </w:sectPr>
      </w:pPr>
      <w:r>
        <w:rPr>
          <w:rFonts w:ascii="宋体" w:eastAsia="宋体" w:hAnsi="宋体" w:cs="宋体" w:hint="eastAsia"/>
          <w:color w:val="auto"/>
          <w:sz w:val="21"/>
          <w:szCs w:val="21"/>
        </w:rPr>
        <w:t>本招标文件的解释权归“</w:t>
      </w:r>
      <w:r>
        <w:rPr>
          <w:rFonts w:ascii="宋体" w:eastAsia="宋体" w:hAnsi="宋体" w:cs="宋体" w:hint="eastAsia"/>
          <w:color w:val="auto"/>
          <w:sz w:val="21"/>
          <w:szCs w:val="21"/>
          <w:lang w:val="en-US" w:eastAsia="zh-CN"/>
        </w:rPr>
        <w:t>广东粤能工程管理有限公司</w:t>
      </w:r>
      <w:r>
        <w:rPr>
          <w:rFonts w:ascii="宋体" w:eastAsia="宋体" w:hAnsi="宋体" w:cs="宋体" w:hint="eastAsia"/>
          <w:color w:val="auto"/>
          <w:sz w:val="21"/>
          <w:szCs w:val="21"/>
        </w:rPr>
        <w:t>”所有。</w:t>
      </w:r>
    </w:p>
    <w:p>
      <w:pPr>
        <w:rPr>
          <w:rFonts w:ascii="宋体" w:hAnsi="宋体" w:cs="宋体" w:hint="eastAsia"/>
          <w:b/>
          <w:color w:val="auto"/>
          <w:sz w:val="28"/>
          <w:szCs w:val="28"/>
        </w:rPr>
      </w:pPr>
      <w:r>
        <w:rPr>
          <w:rFonts w:ascii="宋体" w:eastAsia="宋体" w:hAnsi="宋体" w:cs="宋体" w:hint="eastAsia"/>
          <w:b/>
          <w:color w:val="auto"/>
          <w:sz w:val="28"/>
          <w:szCs w:val="28"/>
        </w:rPr>
        <w:t>附表1：资格性审查表</w:t>
      </w:r>
    </w:p>
    <w:p>
      <w:pPr>
        <w:jc w:val="center"/>
        <w:rPr>
          <w:rFonts w:ascii="宋体" w:hAnsi="宋体" w:cs="宋体" w:hint="eastAsia"/>
          <w:b/>
          <w:color w:val="auto"/>
          <w:sz w:val="10"/>
          <w:szCs w:val="10"/>
        </w:rPr>
      </w:pPr>
    </w:p>
    <w:p>
      <w:pPr>
        <w:spacing w:line="360" w:lineRule="auto"/>
        <w:jc w:val="center"/>
        <w:rPr>
          <w:rFonts w:ascii="宋体" w:hAnsi="宋体" w:cs="宋体" w:hint="eastAsia"/>
          <w:b/>
          <w:color w:val="auto"/>
          <w:sz w:val="32"/>
          <w:szCs w:val="32"/>
        </w:rPr>
      </w:pPr>
      <w:r>
        <w:rPr>
          <w:rFonts w:ascii="宋体" w:hAnsi="宋体" w:cs="宋体" w:hint="eastAsia"/>
          <w:b/>
          <w:color w:val="auto"/>
          <w:sz w:val="32"/>
          <w:szCs w:val="32"/>
          <w:lang w:eastAsia="zh-CN"/>
        </w:rPr>
        <w:t>兴宁市残疾人康复中心设备器材采购项目</w:t>
      </w:r>
    </w:p>
    <w:p>
      <w:pPr>
        <w:spacing w:line="360" w:lineRule="auto"/>
        <w:jc w:val="center"/>
        <w:rPr>
          <w:rFonts w:ascii="宋体" w:hAnsi="宋体" w:cs="宋体" w:hint="eastAsia"/>
          <w:b/>
          <w:color w:val="auto"/>
          <w:sz w:val="28"/>
          <w:szCs w:val="28"/>
        </w:rPr>
      </w:pPr>
      <w:r>
        <w:rPr>
          <w:rFonts w:ascii="宋体" w:eastAsia="宋体" w:hAnsi="宋体" w:cs="宋体" w:hint="eastAsia"/>
          <w:b/>
          <w:color w:val="auto"/>
          <w:sz w:val="28"/>
          <w:szCs w:val="28"/>
        </w:rPr>
        <w:t>资格性审查表</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11"/>
        <w:gridCol w:w="5241"/>
        <w:gridCol w:w="1097"/>
        <w:gridCol w:w="1097"/>
        <w:gridCol w:w="1097"/>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80"/>
          <w:jc w:val="center"/>
        </w:trPr>
        <w:tc>
          <w:tcPr>
            <w:tcW w:w="3239" w:type="pct"/>
            <w:gridSpan w:val="2"/>
            <w:noWrap w:val="0"/>
            <w:vAlign w:val="center"/>
          </w:tcPr>
          <w:p>
            <w:pPr>
              <w:jc w:val="center"/>
              <w:rPr>
                <w:rFonts w:ascii="宋体" w:hAnsi="宋体" w:cs="宋体" w:hint="eastAsia"/>
                <w:color w:val="auto"/>
                <w:szCs w:val="21"/>
              </w:rPr>
            </w:pPr>
            <w:r>
              <w:rPr>
                <w:rFonts w:ascii="宋体" w:eastAsia="宋体" w:hAnsi="宋体" w:cs="宋体" w:hint="eastAsia"/>
                <w:color w:val="auto"/>
                <w:szCs w:val="21"/>
              </w:rPr>
              <w:t>审查内容</w:t>
            </w:r>
          </w:p>
        </w:tc>
        <w:tc>
          <w:tcPr>
            <w:tcW w:w="587" w:type="pct"/>
            <w:noWrap w:val="0"/>
            <w:vAlign w:val="center"/>
          </w:tcPr>
          <w:p>
            <w:pPr>
              <w:jc w:val="center"/>
              <w:rPr>
                <w:rFonts w:ascii="宋体" w:hAnsi="宋体" w:cs="宋体" w:hint="eastAsia"/>
                <w:color w:val="auto"/>
                <w:szCs w:val="21"/>
              </w:rPr>
            </w:pPr>
          </w:p>
        </w:tc>
        <w:tc>
          <w:tcPr>
            <w:tcW w:w="587" w:type="pct"/>
            <w:noWrap w:val="0"/>
            <w:vAlign w:val="center"/>
          </w:tcPr>
          <w:p>
            <w:pPr>
              <w:jc w:val="center"/>
              <w:rPr>
                <w:rFonts w:ascii="宋体" w:hAnsi="宋体" w:cs="宋体" w:hint="eastAsia"/>
                <w:color w:val="auto"/>
                <w:szCs w:val="21"/>
              </w:rPr>
            </w:pPr>
          </w:p>
        </w:tc>
        <w:tc>
          <w:tcPr>
            <w:tcW w:w="587" w:type="pct"/>
            <w:noWrap w:val="0"/>
            <w:vAlign w:val="center"/>
          </w:tcPr>
          <w:p>
            <w:pPr>
              <w:jc w:val="center"/>
              <w:rPr>
                <w:rFonts w:ascii="宋体" w:hAnsi="宋体" w:cs="宋体" w:hint="eastAsia"/>
                <w:color w:val="auto"/>
                <w:szCs w:val="21"/>
              </w:rPr>
            </w:pPr>
          </w:p>
        </w:tc>
      </w:tr>
      <w:tr>
        <w:tblPrEx>
          <w:tblW w:w="5000" w:type="pct"/>
          <w:jc w:val="center"/>
          <w:tblCellMar>
            <w:top w:w="0" w:type="dxa"/>
            <w:left w:w="108" w:type="dxa"/>
            <w:bottom w:w="0" w:type="dxa"/>
            <w:right w:w="108" w:type="dxa"/>
          </w:tblCellMar>
        </w:tblPrEx>
        <w:trPr>
          <w:cantSplit/>
          <w:trHeight w:val="680"/>
          <w:jc w:val="center"/>
        </w:trPr>
        <w:tc>
          <w:tcPr>
            <w:tcW w:w="434" w:type="pct"/>
            <w:vMerge w:val="restart"/>
            <w:noWrap w:val="0"/>
            <w:textDirection w:val="tbRlV"/>
            <w:vAlign w:val="center"/>
          </w:tcPr>
          <w:p>
            <w:pPr>
              <w:ind w:left="113" w:right="113"/>
              <w:jc w:val="center"/>
              <w:rPr>
                <w:rFonts w:ascii="宋体" w:hAnsi="宋体" w:cs="宋体" w:hint="eastAsia"/>
                <w:color w:val="auto"/>
                <w:szCs w:val="21"/>
              </w:rPr>
            </w:pPr>
            <w:r>
              <w:rPr>
                <w:rFonts w:ascii="宋体" w:eastAsia="宋体" w:hAnsi="宋体" w:cs="宋体" w:hint="eastAsia"/>
                <w:color w:val="auto"/>
                <w:szCs w:val="21"/>
              </w:rPr>
              <w:t>资格性审查</w:t>
            </w:r>
          </w:p>
        </w:tc>
        <w:tc>
          <w:tcPr>
            <w:tcW w:w="2805" w:type="pct"/>
            <w:noWrap w:val="0"/>
            <w:vAlign w:val="center"/>
          </w:tcPr>
          <w:p>
            <w:pPr>
              <w:rPr>
                <w:rFonts w:ascii="宋体" w:hAnsi="宋体" w:cs="宋体" w:hint="eastAsia"/>
                <w:color w:val="auto"/>
                <w:szCs w:val="21"/>
              </w:rPr>
            </w:pPr>
            <w:r>
              <w:rPr>
                <w:rFonts w:ascii="宋体" w:eastAsia="宋体" w:hAnsi="宋体" w:cs="宋体" w:hint="eastAsia"/>
                <w:color w:val="auto"/>
                <w:szCs w:val="21"/>
              </w:rPr>
              <w:t>是否按对应格式的要求提供《资格性自查表》</w:t>
            </w:r>
          </w:p>
        </w:tc>
        <w:tc>
          <w:tcPr>
            <w:tcW w:w="587" w:type="pct"/>
            <w:noWrap w:val="0"/>
            <w:vAlign w:val="center"/>
          </w:tcPr>
          <w:p>
            <w:pPr>
              <w:jc w:val="center"/>
              <w:rPr>
                <w:rFonts w:ascii="宋体" w:hAnsi="宋体" w:cs="宋体" w:hint="eastAsia"/>
                <w:color w:val="auto"/>
                <w:szCs w:val="21"/>
              </w:rPr>
            </w:pPr>
          </w:p>
        </w:tc>
        <w:tc>
          <w:tcPr>
            <w:tcW w:w="587" w:type="pct"/>
            <w:noWrap w:val="0"/>
            <w:vAlign w:val="center"/>
          </w:tcPr>
          <w:p>
            <w:pPr>
              <w:jc w:val="center"/>
              <w:rPr>
                <w:rFonts w:ascii="宋体" w:hAnsi="宋体" w:cs="宋体" w:hint="eastAsia"/>
                <w:color w:val="auto"/>
                <w:szCs w:val="21"/>
              </w:rPr>
            </w:pPr>
          </w:p>
        </w:tc>
        <w:tc>
          <w:tcPr>
            <w:tcW w:w="587" w:type="pct"/>
            <w:noWrap w:val="0"/>
            <w:vAlign w:val="center"/>
          </w:tcPr>
          <w:p>
            <w:pPr>
              <w:jc w:val="center"/>
              <w:rPr>
                <w:rFonts w:ascii="宋体" w:hAnsi="宋体" w:cs="宋体" w:hint="eastAsia"/>
                <w:color w:val="auto"/>
                <w:szCs w:val="21"/>
              </w:rPr>
            </w:pPr>
          </w:p>
        </w:tc>
      </w:tr>
      <w:tr>
        <w:tblPrEx>
          <w:tblW w:w="5000" w:type="pct"/>
          <w:jc w:val="center"/>
          <w:tblCellMar>
            <w:top w:w="0" w:type="dxa"/>
            <w:left w:w="108" w:type="dxa"/>
            <w:bottom w:w="0" w:type="dxa"/>
            <w:right w:w="108" w:type="dxa"/>
          </w:tblCellMar>
        </w:tblPrEx>
        <w:trPr>
          <w:cantSplit/>
          <w:trHeight w:val="680"/>
          <w:jc w:val="center"/>
        </w:trPr>
        <w:tc>
          <w:tcPr>
            <w:tcW w:w="434" w:type="pct"/>
            <w:vMerge/>
            <w:noWrap w:val="0"/>
            <w:textDirection w:val="tbRlV"/>
            <w:vAlign w:val="center"/>
          </w:tcPr>
          <w:p>
            <w:pPr>
              <w:ind w:left="113" w:right="113"/>
              <w:jc w:val="center"/>
              <w:rPr>
                <w:rFonts w:ascii="宋体" w:hAnsi="宋体" w:cs="宋体" w:hint="eastAsia"/>
                <w:color w:val="auto"/>
                <w:szCs w:val="21"/>
              </w:rPr>
            </w:pPr>
          </w:p>
        </w:tc>
        <w:tc>
          <w:tcPr>
            <w:tcW w:w="2805" w:type="pct"/>
            <w:noWrap w:val="0"/>
            <w:vAlign w:val="center"/>
          </w:tcPr>
          <w:p>
            <w:pPr>
              <w:rPr>
                <w:rFonts w:ascii="宋体" w:hAnsi="宋体" w:cs="宋体" w:hint="eastAsia"/>
                <w:color w:val="auto"/>
                <w:szCs w:val="21"/>
              </w:rPr>
            </w:pPr>
            <w:r>
              <w:rPr>
                <w:rFonts w:ascii="宋体" w:eastAsia="宋体" w:hAnsi="宋体" w:cs="宋体" w:hint="eastAsia"/>
                <w:color w:val="auto"/>
                <w:szCs w:val="21"/>
              </w:rPr>
              <w:t>是否按对应格式的要求提供《关于资格的声明函》</w:t>
            </w:r>
          </w:p>
        </w:tc>
        <w:tc>
          <w:tcPr>
            <w:tcW w:w="587" w:type="pct"/>
            <w:noWrap w:val="0"/>
            <w:vAlign w:val="center"/>
          </w:tcPr>
          <w:p>
            <w:pPr>
              <w:jc w:val="center"/>
              <w:rPr>
                <w:rFonts w:ascii="宋体" w:hAnsi="宋体" w:cs="宋体" w:hint="eastAsia"/>
                <w:color w:val="auto"/>
                <w:szCs w:val="21"/>
              </w:rPr>
            </w:pPr>
          </w:p>
        </w:tc>
        <w:tc>
          <w:tcPr>
            <w:tcW w:w="587" w:type="pct"/>
            <w:noWrap w:val="0"/>
            <w:vAlign w:val="center"/>
          </w:tcPr>
          <w:p>
            <w:pPr>
              <w:jc w:val="center"/>
              <w:rPr>
                <w:rFonts w:ascii="宋体" w:hAnsi="宋体" w:cs="宋体" w:hint="eastAsia"/>
                <w:color w:val="auto"/>
                <w:szCs w:val="21"/>
              </w:rPr>
            </w:pPr>
          </w:p>
        </w:tc>
        <w:tc>
          <w:tcPr>
            <w:tcW w:w="587" w:type="pct"/>
            <w:noWrap w:val="0"/>
            <w:vAlign w:val="center"/>
          </w:tcPr>
          <w:p>
            <w:pPr>
              <w:jc w:val="center"/>
              <w:rPr>
                <w:rFonts w:ascii="宋体" w:hAnsi="宋体" w:cs="宋体" w:hint="eastAsia"/>
                <w:color w:val="auto"/>
                <w:szCs w:val="21"/>
              </w:rPr>
            </w:pPr>
          </w:p>
        </w:tc>
      </w:tr>
      <w:tr>
        <w:tblPrEx>
          <w:tblW w:w="5000" w:type="pct"/>
          <w:jc w:val="center"/>
          <w:tblCellMar>
            <w:top w:w="0" w:type="dxa"/>
            <w:left w:w="108" w:type="dxa"/>
            <w:bottom w:w="0" w:type="dxa"/>
            <w:right w:w="108" w:type="dxa"/>
          </w:tblCellMar>
        </w:tblPrEx>
        <w:trPr>
          <w:cantSplit/>
          <w:trHeight w:val="680"/>
          <w:jc w:val="center"/>
        </w:trPr>
        <w:tc>
          <w:tcPr>
            <w:tcW w:w="434" w:type="pct"/>
            <w:vMerge/>
            <w:noWrap w:val="0"/>
            <w:textDirection w:val="tbRlV"/>
            <w:vAlign w:val="center"/>
          </w:tcPr>
          <w:p>
            <w:pPr>
              <w:ind w:left="113" w:right="113"/>
              <w:jc w:val="center"/>
              <w:rPr>
                <w:rFonts w:ascii="宋体" w:hAnsi="宋体" w:cs="宋体" w:hint="eastAsia"/>
                <w:color w:val="auto"/>
                <w:szCs w:val="21"/>
              </w:rPr>
            </w:pPr>
          </w:p>
        </w:tc>
        <w:tc>
          <w:tcPr>
            <w:tcW w:w="2805" w:type="pct"/>
            <w:noWrap w:val="0"/>
            <w:vAlign w:val="center"/>
          </w:tcPr>
          <w:p>
            <w:pPr>
              <w:rPr>
                <w:rFonts w:ascii="宋体" w:hAnsi="宋体" w:cs="宋体" w:hint="eastAsia"/>
                <w:color w:val="auto"/>
                <w:szCs w:val="21"/>
              </w:rPr>
            </w:pPr>
            <w:r>
              <w:rPr>
                <w:rFonts w:ascii="宋体" w:eastAsia="宋体" w:hAnsi="宋体" w:cs="宋体" w:hint="eastAsia"/>
                <w:color w:val="auto"/>
                <w:szCs w:val="21"/>
              </w:rPr>
              <w:t>是否按对应格式的要求提供《法定代表人/负责人资格证明书》和《法定代表人/负责人授权委托书》</w:t>
            </w:r>
          </w:p>
        </w:tc>
        <w:tc>
          <w:tcPr>
            <w:tcW w:w="587" w:type="pct"/>
            <w:noWrap w:val="0"/>
            <w:vAlign w:val="center"/>
          </w:tcPr>
          <w:p>
            <w:pPr>
              <w:jc w:val="center"/>
              <w:rPr>
                <w:rFonts w:ascii="宋体" w:hAnsi="宋体" w:cs="宋体" w:hint="eastAsia"/>
                <w:color w:val="auto"/>
                <w:szCs w:val="21"/>
              </w:rPr>
            </w:pPr>
          </w:p>
        </w:tc>
        <w:tc>
          <w:tcPr>
            <w:tcW w:w="587" w:type="pct"/>
            <w:noWrap w:val="0"/>
            <w:vAlign w:val="center"/>
          </w:tcPr>
          <w:p>
            <w:pPr>
              <w:jc w:val="center"/>
              <w:rPr>
                <w:rFonts w:ascii="宋体" w:hAnsi="宋体" w:cs="宋体" w:hint="eastAsia"/>
                <w:color w:val="auto"/>
                <w:szCs w:val="21"/>
              </w:rPr>
            </w:pPr>
          </w:p>
        </w:tc>
        <w:tc>
          <w:tcPr>
            <w:tcW w:w="587" w:type="pct"/>
            <w:noWrap w:val="0"/>
            <w:vAlign w:val="center"/>
          </w:tcPr>
          <w:p>
            <w:pPr>
              <w:jc w:val="center"/>
              <w:rPr>
                <w:rFonts w:ascii="宋体" w:hAnsi="宋体" w:cs="宋体" w:hint="eastAsia"/>
                <w:color w:val="auto"/>
                <w:szCs w:val="21"/>
              </w:rPr>
            </w:pPr>
          </w:p>
        </w:tc>
      </w:tr>
      <w:tr>
        <w:tblPrEx>
          <w:tblW w:w="5000" w:type="pct"/>
          <w:jc w:val="center"/>
          <w:tblCellMar>
            <w:top w:w="0" w:type="dxa"/>
            <w:left w:w="108" w:type="dxa"/>
            <w:bottom w:w="0" w:type="dxa"/>
            <w:right w:w="108" w:type="dxa"/>
          </w:tblCellMar>
        </w:tblPrEx>
        <w:trPr>
          <w:cantSplit/>
          <w:trHeight w:val="680"/>
          <w:jc w:val="center"/>
        </w:trPr>
        <w:tc>
          <w:tcPr>
            <w:tcW w:w="434" w:type="pct"/>
            <w:vMerge/>
            <w:noWrap w:val="0"/>
            <w:textDirection w:val="tbRlV"/>
            <w:vAlign w:val="center"/>
          </w:tcPr>
          <w:p>
            <w:pPr>
              <w:ind w:left="113" w:right="113"/>
              <w:jc w:val="center"/>
              <w:rPr>
                <w:rFonts w:ascii="宋体" w:hAnsi="宋体" w:cs="宋体" w:hint="eastAsia"/>
                <w:color w:val="auto"/>
                <w:szCs w:val="21"/>
              </w:rPr>
            </w:pPr>
          </w:p>
        </w:tc>
        <w:tc>
          <w:tcPr>
            <w:tcW w:w="2805" w:type="pct"/>
            <w:noWrap w:val="0"/>
            <w:vAlign w:val="center"/>
          </w:tcPr>
          <w:p>
            <w:pPr>
              <w:rPr>
                <w:rFonts w:ascii="宋体" w:hAnsi="宋体" w:cs="宋体" w:hint="eastAsia"/>
                <w:color w:val="auto"/>
                <w:szCs w:val="21"/>
              </w:rPr>
            </w:pPr>
            <w:r>
              <w:rPr>
                <w:rFonts w:ascii="宋体" w:eastAsia="宋体" w:hAnsi="宋体" w:cs="宋体" w:hint="eastAsia"/>
                <w:color w:val="auto"/>
              </w:rPr>
              <w:t>是否符合招标文件第一部分</w:t>
            </w:r>
            <w:r>
              <w:rPr>
                <w:rFonts w:ascii="宋体" w:eastAsia="宋体" w:hAnsi="宋体" w:cs="宋体" w:hint="eastAsia"/>
                <w:color w:val="auto"/>
                <w:lang w:eastAsia="zh-CN"/>
              </w:rPr>
              <w:t>招标公告二</w:t>
            </w:r>
            <w:r>
              <w:rPr>
                <w:rFonts w:ascii="宋体" w:eastAsia="宋体" w:hAnsi="宋体" w:cs="宋体" w:hint="eastAsia"/>
                <w:color w:val="auto"/>
              </w:rPr>
              <w:t>、合格投标人资格，且按要求提供相关证明文件</w:t>
            </w:r>
          </w:p>
        </w:tc>
        <w:tc>
          <w:tcPr>
            <w:tcW w:w="587" w:type="pct"/>
            <w:noWrap w:val="0"/>
            <w:vAlign w:val="center"/>
          </w:tcPr>
          <w:p>
            <w:pPr>
              <w:jc w:val="center"/>
              <w:rPr>
                <w:rFonts w:ascii="宋体" w:hAnsi="宋体" w:cs="宋体" w:hint="eastAsia"/>
                <w:color w:val="auto"/>
                <w:szCs w:val="21"/>
              </w:rPr>
            </w:pPr>
          </w:p>
        </w:tc>
        <w:tc>
          <w:tcPr>
            <w:tcW w:w="587" w:type="pct"/>
            <w:noWrap w:val="0"/>
            <w:vAlign w:val="center"/>
          </w:tcPr>
          <w:p>
            <w:pPr>
              <w:jc w:val="center"/>
              <w:rPr>
                <w:rFonts w:ascii="宋体" w:hAnsi="宋体" w:cs="宋体" w:hint="eastAsia"/>
                <w:color w:val="auto"/>
                <w:szCs w:val="21"/>
              </w:rPr>
            </w:pPr>
          </w:p>
        </w:tc>
        <w:tc>
          <w:tcPr>
            <w:tcW w:w="587" w:type="pct"/>
            <w:noWrap w:val="0"/>
            <w:vAlign w:val="center"/>
          </w:tcPr>
          <w:p>
            <w:pPr>
              <w:jc w:val="center"/>
              <w:rPr>
                <w:rFonts w:ascii="宋体" w:hAnsi="宋体" w:cs="宋体" w:hint="eastAsia"/>
                <w:color w:val="auto"/>
                <w:szCs w:val="21"/>
              </w:rPr>
            </w:pPr>
          </w:p>
        </w:tc>
      </w:tr>
      <w:tr>
        <w:tblPrEx>
          <w:tblW w:w="5000" w:type="pct"/>
          <w:jc w:val="center"/>
          <w:tblCellMar>
            <w:top w:w="0" w:type="dxa"/>
            <w:left w:w="108" w:type="dxa"/>
            <w:bottom w:w="0" w:type="dxa"/>
            <w:right w:w="108" w:type="dxa"/>
          </w:tblCellMar>
        </w:tblPrEx>
        <w:trPr>
          <w:cantSplit/>
          <w:trHeight w:val="680"/>
          <w:jc w:val="center"/>
        </w:trPr>
        <w:tc>
          <w:tcPr>
            <w:tcW w:w="434" w:type="pct"/>
            <w:vMerge/>
            <w:noWrap w:val="0"/>
            <w:vAlign w:val="center"/>
          </w:tcPr>
          <w:p>
            <w:pPr>
              <w:jc w:val="center"/>
              <w:rPr>
                <w:rFonts w:ascii="宋体" w:hAnsi="宋体" w:cs="宋体" w:hint="eastAsia"/>
                <w:color w:val="auto"/>
                <w:szCs w:val="21"/>
              </w:rPr>
            </w:pPr>
          </w:p>
        </w:tc>
        <w:tc>
          <w:tcPr>
            <w:tcW w:w="2805" w:type="pct"/>
            <w:noWrap w:val="0"/>
            <w:vAlign w:val="center"/>
          </w:tcPr>
          <w:p>
            <w:pPr>
              <w:rPr>
                <w:rFonts w:ascii="宋体" w:hAnsi="宋体" w:cs="宋体" w:hint="eastAsia"/>
                <w:color w:val="auto"/>
                <w:szCs w:val="21"/>
              </w:rPr>
            </w:pPr>
            <w:r>
              <w:rPr>
                <w:rFonts w:ascii="宋体" w:eastAsia="宋体" w:hAnsi="宋体" w:cs="宋体" w:hint="eastAsia"/>
                <w:color w:val="auto"/>
                <w:szCs w:val="21"/>
              </w:rPr>
              <w:t>投标文件符合招标文件的签署、盖章要求</w:t>
            </w:r>
          </w:p>
        </w:tc>
        <w:tc>
          <w:tcPr>
            <w:tcW w:w="587" w:type="pct"/>
            <w:noWrap w:val="0"/>
            <w:vAlign w:val="center"/>
          </w:tcPr>
          <w:p>
            <w:pPr>
              <w:jc w:val="center"/>
              <w:rPr>
                <w:rFonts w:ascii="宋体" w:hAnsi="宋体" w:cs="宋体" w:hint="eastAsia"/>
                <w:color w:val="auto"/>
                <w:szCs w:val="21"/>
              </w:rPr>
            </w:pPr>
          </w:p>
        </w:tc>
        <w:tc>
          <w:tcPr>
            <w:tcW w:w="587" w:type="pct"/>
            <w:noWrap w:val="0"/>
            <w:vAlign w:val="center"/>
          </w:tcPr>
          <w:p>
            <w:pPr>
              <w:jc w:val="center"/>
              <w:rPr>
                <w:rFonts w:ascii="宋体" w:hAnsi="宋体" w:cs="宋体" w:hint="eastAsia"/>
                <w:color w:val="auto"/>
                <w:szCs w:val="21"/>
              </w:rPr>
            </w:pPr>
          </w:p>
        </w:tc>
        <w:tc>
          <w:tcPr>
            <w:tcW w:w="587" w:type="pct"/>
            <w:noWrap w:val="0"/>
            <w:vAlign w:val="center"/>
          </w:tcPr>
          <w:p>
            <w:pPr>
              <w:jc w:val="center"/>
              <w:rPr>
                <w:rFonts w:ascii="宋体" w:hAnsi="宋体" w:cs="宋体" w:hint="eastAsia"/>
                <w:color w:val="auto"/>
                <w:szCs w:val="21"/>
              </w:rPr>
            </w:pPr>
          </w:p>
        </w:tc>
      </w:tr>
      <w:tr>
        <w:tblPrEx>
          <w:tblW w:w="5000" w:type="pct"/>
          <w:jc w:val="center"/>
          <w:tblCellMar>
            <w:top w:w="0" w:type="dxa"/>
            <w:left w:w="108" w:type="dxa"/>
            <w:bottom w:w="0" w:type="dxa"/>
            <w:right w:w="108" w:type="dxa"/>
          </w:tblCellMar>
        </w:tblPrEx>
        <w:trPr>
          <w:cantSplit/>
          <w:trHeight w:val="680"/>
          <w:jc w:val="center"/>
        </w:trPr>
        <w:tc>
          <w:tcPr>
            <w:tcW w:w="434" w:type="pct"/>
            <w:vMerge/>
            <w:noWrap w:val="0"/>
            <w:vAlign w:val="center"/>
          </w:tcPr>
          <w:p>
            <w:pPr>
              <w:jc w:val="center"/>
              <w:rPr>
                <w:rFonts w:ascii="宋体" w:hAnsi="宋体" w:cs="宋体" w:hint="eastAsia"/>
                <w:color w:val="auto"/>
                <w:szCs w:val="21"/>
              </w:rPr>
            </w:pPr>
          </w:p>
        </w:tc>
        <w:tc>
          <w:tcPr>
            <w:tcW w:w="2805" w:type="pct"/>
            <w:noWrap w:val="0"/>
            <w:vAlign w:val="center"/>
          </w:tcPr>
          <w:p>
            <w:pPr>
              <w:rPr>
                <w:rFonts w:ascii="宋体" w:hAnsi="宋体" w:cs="宋体" w:hint="eastAsia"/>
                <w:color w:val="auto"/>
                <w:szCs w:val="21"/>
              </w:rPr>
            </w:pPr>
            <w:r>
              <w:rPr>
                <w:rFonts w:ascii="宋体" w:eastAsia="宋体" w:hAnsi="宋体" w:cs="宋体" w:hint="eastAsia"/>
                <w:color w:val="auto"/>
                <w:szCs w:val="21"/>
              </w:rPr>
              <w:t>不符合招标文件中规定的被视为无效投标的其它条款的</w:t>
            </w:r>
          </w:p>
        </w:tc>
        <w:tc>
          <w:tcPr>
            <w:tcW w:w="587" w:type="pct"/>
            <w:noWrap w:val="0"/>
            <w:vAlign w:val="center"/>
          </w:tcPr>
          <w:p>
            <w:pPr>
              <w:jc w:val="center"/>
              <w:rPr>
                <w:rFonts w:ascii="宋体" w:hAnsi="宋体" w:cs="宋体" w:hint="eastAsia"/>
                <w:color w:val="auto"/>
                <w:szCs w:val="21"/>
              </w:rPr>
            </w:pPr>
          </w:p>
        </w:tc>
        <w:tc>
          <w:tcPr>
            <w:tcW w:w="587" w:type="pct"/>
            <w:noWrap w:val="0"/>
            <w:vAlign w:val="center"/>
          </w:tcPr>
          <w:p>
            <w:pPr>
              <w:jc w:val="center"/>
              <w:rPr>
                <w:rFonts w:ascii="宋体" w:hAnsi="宋体" w:cs="宋体" w:hint="eastAsia"/>
                <w:color w:val="auto"/>
                <w:szCs w:val="21"/>
              </w:rPr>
            </w:pPr>
          </w:p>
        </w:tc>
        <w:tc>
          <w:tcPr>
            <w:tcW w:w="587" w:type="pct"/>
            <w:noWrap w:val="0"/>
            <w:vAlign w:val="center"/>
          </w:tcPr>
          <w:p>
            <w:pPr>
              <w:jc w:val="center"/>
              <w:rPr>
                <w:rFonts w:ascii="宋体" w:hAnsi="宋体" w:cs="宋体" w:hint="eastAsia"/>
                <w:color w:val="auto"/>
                <w:szCs w:val="21"/>
              </w:rPr>
            </w:pPr>
          </w:p>
        </w:tc>
      </w:tr>
      <w:tr>
        <w:tblPrEx>
          <w:tblW w:w="5000" w:type="pct"/>
          <w:jc w:val="center"/>
          <w:tblCellMar>
            <w:top w:w="0" w:type="dxa"/>
            <w:left w:w="108" w:type="dxa"/>
            <w:bottom w:w="0" w:type="dxa"/>
            <w:right w:w="108" w:type="dxa"/>
          </w:tblCellMar>
        </w:tblPrEx>
        <w:trPr>
          <w:cantSplit/>
          <w:trHeight w:val="680"/>
          <w:jc w:val="center"/>
        </w:trPr>
        <w:tc>
          <w:tcPr>
            <w:tcW w:w="3239" w:type="pct"/>
            <w:gridSpan w:val="2"/>
            <w:noWrap w:val="0"/>
            <w:vAlign w:val="center"/>
          </w:tcPr>
          <w:p>
            <w:pPr>
              <w:jc w:val="center"/>
              <w:rPr>
                <w:rFonts w:ascii="宋体" w:hAnsi="宋体" w:cs="宋体" w:hint="eastAsia"/>
                <w:color w:val="auto"/>
                <w:szCs w:val="21"/>
              </w:rPr>
            </w:pPr>
            <w:r>
              <w:rPr>
                <w:rFonts w:ascii="宋体" w:eastAsia="宋体" w:hAnsi="宋体" w:cs="宋体" w:hint="eastAsia"/>
                <w:color w:val="auto"/>
                <w:szCs w:val="21"/>
              </w:rPr>
              <w:t>结论</w:t>
            </w:r>
          </w:p>
        </w:tc>
        <w:tc>
          <w:tcPr>
            <w:tcW w:w="587" w:type="pct"/>
            <w:noWrap w:val="0"/>
            <w:vAlign w:val="center"/>
          </w:tcPr>
          <w:p>
            <w:pPr>
              <w:jc w:val="center"/>
              <w:rPr>
                <w:rFonts w:ascii="宋体" w:hAnsi="宋体" w:cs="宋体" w:hint="eastAsia"/>
                <w:color w:val="auto"/>
                <w:szCs w:val="21"/>
              </w:rPr>
            </w:pPr>
          </w:p>
        </w:tc>
        <w:tc>
          <w:tcPr>
            <w:tcW w:w="587" w:type="pct"/>
            <w:noWrap w:val="0"/>
            <w:vAlign w:val="center"/>
          </w:tcPr>
          <w:p>
            <w:pPr>
              <w:jc w:val="center"/>
              <w:rPr>
                <w:rFonts w:ascii="宋体" w:hAnsi="宋体" w:cs="宋体" w:hint="eastAsia"/>
                <w:color w:val="auto"/>
                <w:szCs w:val="21"/>
              </w:rPr>
            </w:pPr>
          </w:p>
        </w:tc>
        <w:tc>
          <w:tcPr>
            <w:tcW w:w="587" w:type="pct"/>
            <w:noWrap w:val="0"/>
            <w:vAlign w:val="center"/>
          </w:tcPr>
          <w:p>
            <w:pPr>
              <w:jc w:val="center"/>
              <w:rPr>
                <w:rFonts w:ascii="宋体" w:hAnsi="宋体" w:cs="宋体" w:hint="eastAsia"/>
                <w:color w:val="auto"/>
                <w:szCs w:val="21"/>
              </w:rPr>
            </w:pPr>
          </w:p>
        </w:tc>
      </w:tr>
    </w:tbl>
    <w:p>
      <w:pPr>
        <w:spacing w:line="360" w:lineRule="auto"/>
        <w:jc w:val="both"/>
        <w:rPr>
          <w:rFonts w:ascii="宋体" w:hAnsi="宋体" w:cs="宋体" w:hint="eastAsia"/>
          <w:b/>
          <w:color w:val="auto"/>
        </w:rPr>
      </w:pPr>
    </w:p>
    <w:p>
      <w:pPr>
        <w:spacing w:line="360" w:lineRule="auto"/>
        <w:ind w:firstLine="420" w:firstLineChars="200"/>
        <w:jc w:val="both"/>
        <w:rPr>
          <w:rFonts w:ascii="宋体" w:hAnsi="宋体" w:cs="宋体" w:hint="eastAsia"/>
          <w:b/>
          <w:color w:val="auto"/>
        </w:rPr>
      </w:pPr>
      <w:r>
        <w:rPr>
          <w:rFonts w:ascii="宋体" w:eastAsia="宋体" w:hAnsi="宋体" w:cs="宋体" w:hint="eastAsia"/>
          <w:b/>
          <w:color w:val="auto"/>
        </w:rPr>
        <w:t>注：1．投标人须将证明资格性审查的各类有效资料附入投标文件（第一册）内，如未按要求提交的，则按无效投标文件处理。</w:t>
      </w:r>
    </w:p>
    <w:p>
      <w:pPr>
        <w:spacing w:line="360" w:lineRule="auto"/>
        <w:ind w:firstLine="420" w:firstLineChars="200"/>
        <w:jc w:val="both"/>
        <w:rPr>
          <w:rFonts w:ascii="宋体" w:hAnsi="宋体" w:cs="宋体" w:hint="eastAsia"/>
          <w:color w:val="auto"/>
        </w:rPr>
      </w:pPr>
      <w:r>
        <w:rPr>
          <w:rFonts w:ascii="宋体" w:eastAsia="宋体" w:hAnsi="宋体" w:cs="宋体" w:hint="eastAsia"/>
          <w:color w:val="auto"/>
        </w:rPr>
        <w:t>2．在表中填写“√（通过）”或“X（不通过）”，在结论栏中按“一票否决”填写“合格”或“不合格”。</w:t>
      </w:r>
    </w:p>
    <w:p>
      <w:pPr>
        <w:spacing w:line="360" w:lineRule="auto"/>
        <w:ind w:firstLine="420" w:firstLineChars="200"/>
        <w:jc w:val="both"/>
        <w:rPr>
          <w:rFonts w:ascii="宋体" w:hAnsi="宋体" w:cs="宋体" w:hint="eastAsia"/>
          <w:color w:val="auto"/>
        </w:rPr>
      </w:pPr>
      <w:r>
        <w:rPr>
          <w:rFonts w:ascii="宋体" w:eastAsia="宋体" w:hAnsi="宋体" w:cs="宋体" w:hint="eastAsia"/>
          <w:color w:val="auto"/>
        </w:rPr>
        <w:t>3.</w:t>
      </w:r>
      <w:r>
        <w:rPr>
          <w:rFonts w:ascii="宋体" w:eastAsia="宋体" w:hAnsi="宋体" w:cs="宋体" w:hint="eastAsia"/>
          <w:color w:val="auto"/>
          <w:szCs w:val="21"/>
        </w:rPr>
        <w:t>未通过资格性审查的投标供应商，</w:t>
      </w:r>
      <w:r>
        <w:rPr>
          <w:rFonts w:ascii="宋体" w:eastAsia="宋体" w:hAnsi="宋体" w:cs="宋体" w:hint="eastAsia"/>
          <w:color w:val="auto"/>
        </w:rPr>
        <w:t>不得进入下一步符合性审查及技术、商务、价格评审。</w:t>
      </w:r>
    </w:p>
    <w:p>
      <w:pPr>
        <w:pStyle w:val="Default"/>
        <w:spacing w:line="360" w:lineRule="auto"/>
        <w:ind w:firstLine="420" w:firstLineChars="200"/>
        <w:rPr>
          <w:rFonts w:ascii="宋体" w:eastAsia="宋体" w:hAnsi="宋体" w:cs="宋体" w:hint="eastAsia"/>
          <w:color w:val="auto"/>
          <w:sz w:val="21"/>
          <w:szCs w:val="21"/>
        </w:rPr>
      </w:pPr>
      <w:r>
        <w:rPr>
          <w:rFonts w:ascii="宋体" w:eastAsia="宋体" w:hAnsi="宋体" w:cs="宋体" w:hint="eastAsia"/>
          <w:color w:val="auto"/>
          <w:sz w:val="21"/>
          <w:szCs w:val="21"/>
        </w:rPr>
        <w:br/>
      </w:r>
      <w:r>
        <w:rPr>
          <w:rFonts w:ascii="宋体" w:eastAsia="宋体" w:hAnsi="宋体" w:cs="宋体" w:hint="eastAsia"/>
          <w:color w:val="auto"/>
          <w:sz w:val="21"/>
          <w:szCs w:val="21"/>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3" w:history="1">
        <w:r>
          <w:rPr>
            <w:rFonts w:ascii="SimSun" w:eastAsia="SimSun" w:hAnsi="SimSun" w:cs="SimSun"/>
            <w:b/>
            <w:bCs/>
            <w:color w:val="0000EE"/>
            <w:sz w:val="30"/>
            <w:szCs w:val="30"/>
            <w:u w:val="single" w:color="0000EE"/>
          </w:rPr>
          <w:t>https://d.book118.com/516130211113010053</w:t>
        </w:r>
      </w:hyperlink>
    </w:p>
    <w:p>
      <w:pPr>
        <w:pStyle w:val="Default"/>
        <w:spacing w:line="360" w:lineRule="auto"/>
        <w:ind w:firstLine="420" w:firstLineChars="200"/>
        <w:rPr>
          <w:rFonts w:ascii="宋体" w:eastAsia="宋体" w:hAnsi="宋体" w:cs="宋体" w:hint="eastAsia"/>
          <w:color w:val="auto"/>
          <w:sz w:val="21"/>
          <w:szCs w:val="21"/>
        </w:rPr>
      </w:pPr>
    </w:p>
    <w:sectPr>
      <w:headerReference w:type="default" r:id="rId124"/>
      <w:footerReference w:type="default" r:id="rId125"/>
      <w:headerReference w:type="first" r:id="rId126"/>
      <w:type w:val="nextPage"/>
      <w:pgSz w:w="11905" w:h="16838"/>
      <w:pgMar w:top="1304" w:right="1304" w:bottom="1304" w:left="1474" w:header="851" w:footer="567" w:gutter="0"/>
      <w:pgBorders>
        <w:top w:val="none" w:sz="0" w:space="0" w:color="auto"/>
        <w:left w:val="none" w:sz="0" w:space="0" w:color="auto"/>
        <w:bottom w:val="none" w:sz="0" w:space="0" w:color="auto"/>
        <w:right w:val="none" w:sz="0" w:space="0" w:color="auto"/>
      </w:pgBorders>
      <w:pgNumType w:fmt="numberInDash" w:start="32" w:chapStyle="1" w:chapSep="enDash"/>
      <w:cols w:num="1" w:space="720"/>
      <w:titlePg w:val="0"/>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PMingLiU">
    <w:panose1 w:val="02020500000000000000"/>
    <w:charset w:val="88"/>
    <w:family w:val="roman"/>
    <w:pitch w:val="default"/>
    <w:sig w:usb0="A00002FF" w:usb1="28CFFCFA" w:usb2="00000016" w:usb3="00000000" w:csb0="0010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0" type="#_x0000_t202" style="width:2in;height:2in;margin-top:0;margin-left:0;mso-position-horizontal:right;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200816118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2" type="#_x0000_t202" style="width:2in;height:2in;margin-top:0;margin-left:0;mso-position-horizontal:right;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74757536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4" type="#_x0000_t202" style="width:2in;height:2in;margin-top:0;margin-left:0;mso-position-horizontal:right;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1443216834"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- 4 -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6" type="#_x0000_t202" style="width:2in;height:2in;margin-top:0;margin-left:0;mso-position-horizontal:right;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- 4 -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213780743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- 5 -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8" type="#_x0000_t202" style="width:2in;height:2in;margin-top:0;margin-left:0;mso-position-horizontal:right;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- 5 -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612607194"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- 6 -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0" type="#_x0000_t202" style="width:2in;height:2in;margin-top:0;margin-left:0;mso-position-horizontal:right;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- 6 -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71552" behindDoc="0" locked="0" layoutInCell="1" allowOverlap="1">
              <wp:simplePos x="0" y="0"/>
              <wp:positionH relativeFrom="margin">
                <wp:align>right</wp:align>
              </wp:positionH>
              <wp:positionV relativeFrom="paragraph">
                <wp:posOffset>0</wp:posOffset>
              </wp:positionV>
              <wp:extent cx="1828800" cy="1828800"/>
              <wp:effectExtent l="0" t="0" r="0" b="0"/>
              <wp:wrapNone/>
              <wp:docPr id="120796614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- 7 -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2" type="#_x0000_t202" style="width:2in;height:2in;margin-top:0;margin-left:0;mso-position-horizontal:right;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- 7 -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73600" behindDoc="0" locked="0" layoutInCell="1" allowOverlap="1">
              <wp:simplePos x="0" y="0"/>
              <wp:positionH relativeFrom="margin">
                <wp:align>right</wp:align>
              </wp:positionH>
              <wp:positionV relativeFrom="paragraph">
                <wp:posOffset>0</wp:posOffset>
              </wp:positionV>
              <wp:extent cx="1828800" cy="1828800"/>
              <wp:effectExtent l="0" t="0" r="0" b="0"/>
              <wp:wrapNone/>
              <wp:docPr id="481154490"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- 8 -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4" type="#_x0000_t202" style="width:2in;height:2in;margin-top:0;margin-left:0;mso-position-horizontal:right;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- 8 -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1828800" cy="1828800"/>
              <wp:effectExtent l="0" t="0" r="0" b="0"/>
              <wp:wrapNone/>
              <wp:docPr id="99613737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- 9 -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6" type="#_x0000_t202" style="width:2in;height:2in;margin-top:0;margin-left:0;mso-position-horizontal:right;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- 9 -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77696" behindDoc="0" locked="0" layoutInCell="1" allowOverlap="1">
              <wp:simplePos x="0" y="0"/>
              <wp:positionH relativeFrom="margin">
                <wp:align>right</wp:align>
              </wp:positionH>
              <wp:positionV relativeFrom="paragraph">
                <wp:posOffset>0</wp:posOffset>
              </wp:positionV>
              <wp:extent cx="1828800" cy="1828800"/>
              <wp:effectExtent l="0" t="0" r="0" b="0"/>
              <wp:wrapNone/>
              <wp:docPr id="18845197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- 10 -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8" type="#_x0000_t202" style="width:2in;height:2in;margin-top:0;margin-left:0;mso-position-horizontal:right;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- 10 -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79744" behindDoc="0" locked="0" layoutInCell="1" allowOverlap="1">
              <wp:simplePos x="0" y="0"/>
              <wp:positionH relativeFrom="margin">
                <wp:align>right</wp:align>
              </wp:positionH>
              <wp:positionV relativeFrom="paragraph">
                <wp:posOffset>0</wp:posOffset>
              </wp:positionV>
              <wp:extent cx="1828800" cy="1828800"/>
              <wp:effectExtent l="0" t="0" r="0" b="0"/>
              <wp:wrapNone/>
              <wp:docPr id="1129129968"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- 12 -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0" type="#_x0000_t202" style="width:2in;height:2in;margin-top:0;margin-left:0;mso-position-horizontal:right;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- 12 -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81792" behindDoc="0" locked="0" layoutInCell="1" allowOverlap="1">
              <wp:simplePos x="0" y="0"/>
              <wp:positionH relativeFrom="margin">
                <wp:align>right</wp:align>
              </wp:positionH>
              <wp:positionV relativeFrom="paragraph">
                <wp:posOffset>0</wp:posOffset>
              </wp:positionV>
              <wp:extent cx="1828800" cy="1828800"/>
              <wp:effectExtent l="0" t="0" r="0" b="0"/>
              <wp:wrapNone/>
              <wp:docPr id="181262808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- 12 -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2" type="#_x0000_t202" style="width:2in;height:2in;margin-top:0;margin-left:0;mso-position-horizontal:right;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- 12 -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83840" behindDoc="0" locked="0" layoutInCell="1" allowOverlap="1">
              <wp:simplePos x="0" y="0"/>
              <wp:positionH relativeFrom="margin">
                <wp:align>right</wp:align>
              </wp:positionH>
              <wp:positionV relativeFrom="paragraph">
                <wp:posOffset>0</wp:posOffset>
              </wp:positionV>
              <wp:extent cx="1828800" cy="1828800"/>
              <wp:effectExtent l="0" t="0" r="0" b="0"/>
              <wp:wrapNone/>
              <wp:docPr id="116966937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- 13 -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4" type="#_x0000_t202" style="width:2in;height:2in;margin-top:0;margin-left:0;mso-position-horizontal:right;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- 13 -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85888" behindDoc="0" locked="0" layoutInCell="1" allowOverlap="1">
              <wp:simplePos x="0" y="0"/>
              <wp:positionH relativeFrom="margin">
                <wp:align>right</wp:align>
              </wp:positionH>
              <wp:positionV relativeFrom="paragraph">
                <wp:posOffset>0</wp:posOffset>
              </wp:positionV>
              <wp:extent cx="1828800" cy="1828800"/>
              <wp:effectExtent l="0" t="0" r="0" b="0"/>
              <wp:wrapNone/>
              <wp:docPr id="37609688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- 14 -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6" type="#_x0000_t202" style="width:2in;height:2in;margin-top:0;margin-left:0;mso-position-horizontal:right;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- 14 -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87936" behindDoc="0" locked="0" layoutInCell="1" allowOverlap="1">
              <wp:simplePos x="0" y="0"/>
              <wp:positionH relativeFrom="margin">
                <wp:align>right</wp:align>
              </wp:positionH>
              <wp:positionV relativeFrom="paragraph">
                <wp:posOffset>0</wp:posOffset>
              </wp:positionV>
              <wp:extent cx="1828800" cy="1828800"/>
              <wp:effectExtent l="0" t="0" r="0" b="0"/>
              <wp:wrapNone/>
              <wp:docPr id="355935681"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- 15 -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8" type="#_x0000_t202" style="width:2in;height:2in;margin-top:0;margin-left:0;mso-position-horizontal:right;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- 15 -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89984" behindDoc="0" locked="0" layoutInCell="1" allowOverlap="1">
              <wp:simplePos x="0" y="0"/>
              <wp:positionH relativeFrom="margin">
                <wp:align>right</wp:align>
              </wp:positionH>
              <wp:positionV relativeFrom="paragraph">
                <wp:posOffset>0</wp:posOffset>
              </wp:positionV>
              <wp:extent cx="1828800" cy="1828800"/>
              <wp:effectExtent l="0" t="0" r="0" b="0"/>
              <wp:wrapNone/>
              <wp:docPr id="81394867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- 16 -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80" type="#_x0000_t202" style="width:2in;height:2in;margin-top:0;margin-left:0;mso-position-horizontal:right;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- 16 -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92032" behindDoc="0" locked="0" layoutInCell="1" allowOverlap="1">
              <wp:simplePos x="0" y="0"/>
              <wp:positionH relativeFrom="margin">
                <wp:align>right</wp:align>
              </wp:positionH>
              <wp:positionV relativeFrom="paragraph">
                <wp:posOffset>0</wp:posOffset>
              </wp:positionV>
              <wp:extent cx="1828800" cy="1828800"/>
              <wp:effectExtent l="0" t="0" r="0" b="0"/>
              <wp:wrapNone/>
              <wp:docPr id="210217104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- 17 -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82" type="#_x0000_t202" style="width:2in;height:2in;margin-top:0;margin-left:0;mso-position-horizontal:right;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- 17 -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94080" behindDoc="0" locked="0" layoutInCell="1" allowOverlap="1">
              <wp:simplePos x="0" y="0"/>
              <wp:positionH relativeFrom="margin">
                <wp:align>right</wp:align>
              </wp:positionH>
              <wp:positionV relativeFrom="paragraph">
                <wp:posOffset>0</wp:posOffset>
              </wp:positionV>
              <wp:extent cx="1828800" cy="1828800"/>
              <wp:effectExtent l="0" t="0" r="0" b="0"/>
              <wp:wrapNone/>
              <wp:docPr id="980914812"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- 18 -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84" type="#_x0000_t202" style="width:2in;height:2in;margin-top:0;margin-left:0;mso-position-horizontal:right;mso-position-horizontal-relative:margin;mso-wrap-distance-bottom:0;mso-wrap-distance-left:9pt;mso-wrap-distance-right:9pt;mso-wrap-distance-top:0;mso-wrap-style:none;position:absolute;v-text-anchor:top;z-index:251693056"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- 18 -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96128" behindDoc="0" locked="0" layoutInCell="1" allowOverlap="1">
              <wp:simplePos x="0" y="0"/>
              <wp:positionH relativeFrom="margin">
                <wp:align>right</wp:align>
              </wp:positionH>
              <wp:positionV relativeFrom="paragraph">
                <wp:posOffset>0</wp:posOffset>
              </wp:positionV>
              <wp:extent cx="1828800" cy="1828800"/>
              <wp:effectExtent l="0" t="0" r="0" b="0"/>
              <wp:wrapNone/>
              <wp:docPr id="35120580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- 19 -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86" type="#_x0000_t202" style="width:2in;height:2in;margin-top:0;margin-left:0;mso-position-horizontal:right;mso-position-horizontal-relative:margin;mso-wrap-distance-bottom:0;mso-wrap-distance-left:9pt;mso-wrap-distance-right:9pt;mso-wrap-distance-top:0;mso-wrap-style:none;position:absolute;v-text-anchor:top;z-index:251695104"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- 19 -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698176" behindDoc="0" locked="0" layoutInCell="1" allowOverlap="1">
              <wp:simplePos x="0" y="0"/>
              <wp:positionH relativeFrom="margin">
                <wp:align>right</wp:align>
              </wp:positionH>
              <wp:positionV relativeFrom="paragraph">
                <wp:posOffset>0</wp:posOffset>
              </wp:positionV>
              <wp:extent cx="1828800" cy="1828800"/>
              <wp:effectExtent l="0" t="0" r="0" b="0"/>
              <wp:wrapNone/>
              <wp:docPr id="86842271"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- 20 -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88" type="#_x0000_t202" style="width:2in;height:2in;margin-top:0;margin-left:0;mso-position-horizontal:right;mso-position-horizontal-relative:margin;mso-wrap-distance-bottom:0;mso-wrap-distance-left:9pt;mso-wrap-distance-right:9pt;mso-wrap-distance-top:0;mso-wrap-style:none;position:absolute;v-text-anchor:top;z-index:251697152"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- 20 -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700224" behindDoc="0" locked="0" layoutInCell="1" allowOverlap="1">
              <wp:simplePos x="0" y="0"/>
              <wp:positionH relativeFrom="margin">
                <wp:align>right</wp:align>
              </wp:positionH>
              <wp:positionV relativeFrom="paragraph">
                <wp:posOffset>0</wp:posOffset>
              </wp:positionV>
              <wp:extent cx="1828800" cy="1828800"/>
              <wp:effectExtent l="0" t="0" r="0" b="0"/>
              <wp:wrapNone/>
              <wp:docPr id="166049094"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- 21 -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90" type="#_x0000_t202" style="width:2in;height:2in;margin-top:0;margin-left:0;mso-position-horizontal:right;mso-position-horizontal-relative:margin;mso-wrap-distance-bottom:0;mso-wrap-distance-left:9pt;mso-wrap-distance-right:9pt;mso-wrap-distance-top:0;mso-wrap-style:none;position:absolute;v-text-anchor:top;z-index:251699200"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- 21 -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702272" behindDoc="0" locked="0" layoutInCell="1" allowOverlap="1">
              <wp:simplePos x="0" y="0"/>
              <wp:positionH relativeFrom="margin">
                <wp:align>right</wp:align>
              </wp:positionH>
              <wp:positionV relativeFrom="paragraph">
                <wp:posOffset>0</wp:posOffset>
              </wp:positionV>
              <wp:extent cx="1828800" cy="1828800"/>
              <wp:effectExtent l="0" t="0" r="0" b="0"/>
              <wp:wrapNone/>
              <wp:docPr id="10175916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- 22 -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92" type="#_x0000_t202" style="width:2in;height:2in;margin-top:0;margin-left:0;mso-position-horizontal:right;mso-position-horizontal-relative:margin;mso-wrap-distance-bottom:0;mso-wrap-distance-left:9pt;mso-wrap-distance-right:9pt;mso-wrap-distance-top:0;mso-wrap-style:none;position:absolute;v-text-anchor:top;z-index:251701248"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- 22 -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704320" behindDoc="0" locked="0" layoutInCell="1" allowOverlap="1">
              <wp:simplePos x="0" y="0"/>
              <wp:positionH relativeFrom="margin">
                <wp:align>right</wp:align>
              </wp:positionH>
              <wp:positionV relativeFrom="paragraph">
                <wp:posOffset>0</wp:posOffset>
              </wp:positionV>
              <wp:extent cx="1828800" cy="1828800"/>
              <wp:effectExtent l="0" t="0" r="0" b="0"/>
              <wp:wrapNone/>
              <wp:docPr id="29560317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- 24 -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94" type="#_x0000_t202" style="width:2in;height:2in;margin-top:0;margin-left:0;mso-position-horizontal:right;mso-position-horizontal-relative:margin;mso-wrap-distance-bottom:0;mso-wrap-distance-left:9pt;mso-wrap-distance-right:9pt;mso-wrap-distance-top:0;mso-wrap-style:none;position:absolute;v-text-anchor:top;z-index:251703296"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- 24 -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706368" behindDoc="0" locked="0" layoutInCell="1" allowOverlap="1">
              <wp:simplePos x="0" y="0"/>
              <wp:positionH relativeFrom="margin">
                <wp:align>right</wp:align>
              </wp:positionH>
              <wp:positionV relativeFrom="paragraph">
                <wp:posOffset>0</wp:posOffset>
              </wp:positionV>
              <wp:extent cx="1828800" cy="1828800"/>
              <wp:effectExtent l="0" t="0" r="0" b="0"/>
              <wp:wrapNone/>
              <wp:docPr id="464046168"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- 24 -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96" type="#_x0000_t202" style="width:2in;height:2in;margin-top:0;margin-left:0;mso-position-horizontal:right;mso-position-horizontal-relative:margin;mso-wrap-distance-bottom:0;mso-wrap-distance-left:9pt;mso-wrap-distance-right:9pt;mso-wrap-distance-top:0;mso-wrap-style:none;position:absolute;v-text-anchor:top;z-index:251705344"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- 24 -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708416" behindDoc="0" locked="0" layoutInCell="1" allowOverlap="1">
              <wp:simplePos x="0" y="0"/>
              <wp:positionH relativeFrom="margin">
                <wp:align>right</wp:align>
              </wp:positionH>
              <wp:positionV relativeFrom="paragraph">
                <wp:posOffset>0</wp:posOffset>
              </wp:positionV>
              <wp:extent cx="1828800" cy="1828800"/>
              <wp:effectExtent l="0" t="0" r="0" b="0"/>
              <wp:wrapNone/>
              <wp:docPr id="2045830462"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- 25 -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98" type="#_x0000_t202" style="width:2in;height:2in;margin-top:0;margin-left:0;mso-position-horizontal:right;mso-position-horizontal-relative:margin;mso-wrap-distance-bottom:0;mso-wrap-distance-left:9pt;mso-wrap-distance-right:9pt;mso-wrap-distance-top:0;mso-wrap-style:none;position:absolute;v-text-anchor:top;z-index:251707392"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- 25 -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710464" behindDoc="0" locked="0" layoutInCell="1" allowOverlap="1">
              <wp:simplePos x="0" y="0"/>
              <wp:positionH relativeFrom="margin">
                <wp:align>right</wp:align>
              </wp:positionH>
              <wp:positionV relativeFrom="paragraph">
                <wp:posOffset>0</wp:posOffset>
              </wp:positionV>
              <wp:extent cx="1828800" cy="1828800"/>
              <wp:effectExtent l="0" t="0" r="0" b="0"/>
              <wp:wrapNone/>
              <wp:docPr id="763006542"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- 26 -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100" type="#_x0000_t202" style="width:2in;height:2in;margin-top:0;margin-left:0;mso-position-horizontal:right;mso-position-horizontal-relative:margin;mso-wrap-distance-bottom:0;mso-wrap-distance-left:9pt;mso-wrap-distance-right:9pt;mso-wrap-distance-top:0;mso-wrap-style:none;position:absolute;v-text-anchor:top;z-index:251709440"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- 26 -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712512" behindDoc="0" locked="0" layoutInCell="1" allowOverlap="1">
              <wp:simplePos x="0" y="0"/>
              <wp:positionH relativeFrom="margin">
                <wp:align>right</wp:align>
              </wp:positionH>
              <wp:positionV relativeFrom="paragraph">
                <wp:posOffset>0</wp:posOffset>
              </wp:positionV>
              <wp:extent cx="1828800" cy="1828800"/>
              <wp:effectExtent l="0" t="0" r="0" b="0"/>
              <wp:wrapNone/>
              <wp:docPr id="342139442"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- 27 -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102" type="#_x0000_t202" style="width:2in;height:2in;margin-top:0;margin-left:0;mso-position-horizontal:right;mso-position-horizontal-relative:margin;mso-wrap-distance-bottom:0;mso-wrap-distance-left:9pt;mso-wrap-distance-right:9pt;mso-wrap-distance-top:0;mso-wrap-style:none;position:absolute;v-text-anchor:top;z-index:251711488"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- 27 -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714560" behindDoc="0" locked="0" layoutInCell="1" allowOverlap="1">
              <wp:simplePos x="0" y="0"/>
              <wp:positionH relativeFrom="margin">
                <wp:align>right</wp:align>
              </wp:positionH>
              <wp:positionV relativeFrom="paragraph">
                <wp:posOffset>0</wp:posOffset>
              </wp:positionV>
              <wp:extent cx="1828800" cy="1828800"/>
              <wp:effectExtent l="0" t="0" r="0" b="0"/>
              <wp:wrapNone/>
              <wp:docPr id="175003322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- 28 -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104" type="#_x0000_t202" style="width:2in;height:2in;margin-top:0;margin-left:0;mso-position-horizontal:right;mso-position-horizontal-relative:margin;mso-wrap-distance-bottom:0;mso-wrap-distance-left:9pt;mso-wrap-distance-right:9pt;mso-wrap-distance-top:0;mso-wrap-style:none;position:absolute;v-text-anchor:top;z-index:251713536"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- 28 -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716608" behindDoc="0" locked="0" layoutInCell="1" allowOverlap="1">
              <wp:simplePos x="0" y="0"/>
              <wp:positionH relativeFrom="margin">
                <wp:align>right</wp:align>
              </wp:positionH>
              <wp:positionV relativeFrom="paragraph">
                <wp:posOffset>0</wp:posOffset>
              </wp:positionV>
              <wp:extent cx="1828800" cy="1828800"/>
              <wp:effectExtent l="0" t="0" r="0" b="0"/>
              <wp:wrapNone/>
              <wp:docPr id="1682493472"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- 29 -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106" type="#_x0000_t202" style="width:2in;height:2in;margin-top:0;margin-left:0;mso-position-horizontal:right;mso-position-horizontal-relative:margin;mso-wrap-distance-bottom:0;mso-wrap-distance-left:9pt;mso-wrap-distance-right:9pt;mso-wrap-distance-top:0;mso-wrap-style:none;position:absolute;v-text-anchor:top;z-index:251715584"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- 29 -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718656" behindDoc="0" locked="0" layoutInCell="1" allowOverlap="1">
              <wp:simplePos x="0" y="0"/>
              <wp:positionH relativeFrom="margin">
                <wp:align>right</wp:align>
              </wp:positionH>
              <wp:positionV relativeFrom="paragraph">
                <wp:posOffset>0</wp:posOffset>
              </wp:positionV>
              <wp:extent cx="1828800" cy="1828800"/>
              <wp:effectExtent l="0" t="0" r="0" b="0"/>
              <wp:wrapNone/>
              <wp:docPr id="204811683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- 30 -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108" type="#_x0000_t202" style="width:2in;height:2in;margin-top:0;margin-left:0;mso-position-horizontal:right;mso-position-horizontal-relative:margin;mso-wrap-distance-bottom:0;mso-wrap-distance-left:9pt;mso-wrap-distance-right:9pt;mso-wrap-distance-top:0;mso-wrap-style:none;position:absolute;v-text-anchor:top;z-index:251717632"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- 30 -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720704" behindDoc="0" locked="0" layoutInCell="1" allowOverlap="1">
              <wp:simplePos x="0" y="0"/>
              <wp:positionH relativeFrom="margin">
                <wp:align>right</wp:align>
              </wp:positionH>
              <wp:positionV relativeFrom="paragraph">
                <wp:posOffset>0</wp:posOffset>
              </wp:positionV>
              <wp:extent cx="1828800" cy="1828800"/>
              <wp:effectExtent l="0" t="0" r="0" b="0"/>
              <wp:wrapNone/>
              <wp:docPr id="173909770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- 31 -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110" type="#_x0000_t202" style="width:2in;height:2in;margin-top:0;margin-left:0;mso-position-horizontal:right;mso-position-horizontal-relative:margin;mso-wrap-distance-bottom:0;mso-wrap-distance-left:9pt;mso-wrap-distance-right:9pt;mso-wrap-distance-top:0;mso-wrap-style:none;position:absolute;v-text-anchor:top;z-index:251719680"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- 31 -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tabs>
        <w:tab w:val="clear" w:pos="8306"/>
      </w:tabs>
      <w:ind w:right="22" w:firstLine="180" w:firstLineChars="100"/>
      <w:jc w:val="center"/>
      <w:rPr>
        <w:rFonts w:hint="default"/>
        <w:lang w:val="en-US"/>
      </w:rPr>
    </w:pPr>
    <w:r>
      <w:rPr>
        <w:sz w:val="18"/>
      </w:rPr>
      <mc:AlternateContent>
        <mc:Choice Requires="wps">
          <w:drawing>
            <wp:anchor distT="0" distB="0" distL="114300" distR="114300" simplePos="0" relativeHeight="251722752" behindDoc="0" locked="0" layoutInCell="1" allowOverlap="1">
              <wp:simplePos x="0" y="0"/>
              <wp:positionH relativeFrom="margin">
                <wp:align>right</wp:align>
              </wp:positionH>
              <wp:positionV relativeFrom="paragraph">
                <wp:posOffset>0</wp:posOffset>
              </wp:positionV>
              <wp:extent cx="1828800" cy="1828800"/>
              <wp:effectExtent l="0" t="0" r="0" b="0"/>
              <wp:wrapNone/>
              <wp:docPr id="189750866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- 32 -</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112" type="#_x0000_t202" style="width:2in;height:2in;margin-top:0;margin-left:0;mso-position-horizontal:right;mso-position-horizontal-relative:margin;mso-wrap-distance-bottom:0;mso-wrap-distance-left:9pt;mso-wrap-distance-right:9pt;mso-wrap-distance-top:0;mso-wrap-style:none;position:absolute;v-text-anchor:top;z-index:251721728" filled="f"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- 32 -</w:t>
                    </w:r>
                    <w:r>
                      <w:rPr>
                        <w:rFonts w:hint="eastAsia"/>
                        <w:lang w:eastAsia="zh-CN"/>
                      </w:rPr>
                      <w:fldChar w:fldCharType="end"/>
                    </w:r>
                  </w:p>
                </w:txbxContent>
              </v:textbox>
              <w10:wrap anchorx="margin"/>
            </v:shape>
          </w:pict>
        </mc:Fallback>
      </mc:AlternateContent>
    </w:r>
    <w:r>
      <w:rPr>
        <w:rFonts w:hint="eastAsia"/>
        <w:sz w:val="18"/>
        <w:szCs w:val="18"/>
        <w:lang w:val="en-US" w:eastAsia="zh-CN"/>
      </w:rPr>
      <w:t>广东粤能工程管理有限公司</w:t>
    </w:r>
  </w:p>
  <w:p>
    <w:pPr>
      <w:pStyle w:val="Footer"/>
      <w:pBdr>
        <w:top w:val="single" w:sz="4" w:space="1" w:color="auto"/>
      </w:pBdr>
      <w:tabs>
        <w:tab w:val="clear" w:pos="8306"/>
      </w:tabs>
      <w:ind w:right="22"/>
      <w:rPr>
        <w:rFonts w:hint="eastAsia"/>
        <w:sz w:val="21"/>
        <w:szCs w:val="21"/>
      </w:rPr>
    </w:pPr>
  </w:p>
  <w:p>
    <w:pPr>
      <w:pStyle w:val="Footer"/>
      <w:rPr>
        <w:rFonts w:hint="eastAsia"/>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keepNext w:val="0"/>
      <w:keepLines w:val="0"/>
      <w:pageBreakBefore w:val="0"/>
      <w:widowControl/>
      <w:kinsoku/>
      <w:wordWrap/>
      <w:overflowPunct/>
      <w:topLinePunct w:val="0"/>
      <w:autoSpaceDE/>
      <w:autoSpaceDN/>
      <w:bidi w:val="0"/>
      <w:adjustRightInd/>
      <w:snapToGrid/>
      <w:spacing w:line="960" w:lineRule="exact"/>
      <w:jc w:val="left"/>
      <w:textAlignment w:val="auto"/>
      <w:rPr>
        <w:rFonts w:ascii="宋体" w:hAnsi="宋体" w:hint="default"/>
        <w:sz w:val="20"/>
        <w:szCs w:val="20"/>
        <w:u w:val="single"/>
      </w:rPr>
    </w:pPr>
    <w:r>
      <w:rPr>
        <w:rFonts w:ascii="宋体" w:hAnsi="宋体" w:cs="宋体" w:hint="eastAsia"/>
        <w:b w:val="0"/>
        <w:bCs w:val="0"/>
        <w:sz w:val="20"/>
        <w:szCs w:val="20"/>
        <w:u w:val="single"/>
        <w:lang w:eastAsia="zh-CN"/>
      </w:rPr>
      <w:t>兴宁市残疾人康复中心设备器材采购项目</w:t>
    </w:r>
    <w:r>
      <w:rPr>
        <w:rFonts w:ascii="宋体" w:hAnsi="宋体" w:cs="宋体" w:hint="eastAsia"/>
        <w:b w:val="0"/>
        <w:bCs w:val="0"/>
        <w:sz w:val="20"/>
        <w:szCs w:val="20"/>
        <w:u w:val="single"/>
        <w:lang w:val="en-US" w:eastAsia="zh-CN"/>
      </w:rPr>
      <w:t xml:space="preserve">                          项目编号： </w:t>
    </w:r>
    <w:r>
      <w:rPr>
        <w:rFonts w:ascii="宋体" w:hAnsi="宋体" w:cs="宋体" w:hint="eastAsia"/>
        <w:b/>
        <w:bCs/>
        <w:sz w:val="20"/>
        <w:szCs w:val="20"/>
        <w:u w:val="single"/>
        <w:lang w:val="en-US" w:eastAsia="zh-C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keepNext w:val="0"/>
      <w:keepLines w:val="0"/>
      <w:pageBreakBefore w:val="0"/>
      <w:widowControl/>
      <w:kinsoku/>
      <w:wordWrap/>
      <w:overflowPunct/>
      <w:topLinePunct w:val="0"/>
      <w:autoSpaceDE/>
      <w:autoSpaceDN/>
      <w:bidi w:val="0"/>
      <w:adjustRightInd/>
      <w:snapToGrid/>
      <w:spacing w:line="960" w:lineRule="exact"/>
      <w:jc w:val="left"/>
      <w:textAlignment w:val="auto"/>
      <w:rPr>
        <w:rFonts w:ascii="宋体" w:hAnsi="宋体" w:hint="default"/>
        <w:sz w:val="20"/>
        <w:szCs w:val="20"/>
        <w:u w:val="single"/>
      </w:rPr>
    </w:pPr>
    <w:r>
      <w:rPr>
        <w:rFonts w:ascii="宋体" w:hAnsi="宋体" w:cs="宋体" w:hint="eastAsia"/>
        <w:b w:val="0"/>
        <w:bCs w:val="0"/>
        <w:sz w:val="20"/>
        <w:szCs w:val="20"/>
        <w:u w:val="single"/>
        <w:lang w:eastAsia="zh-CN"/>
      </w:rPr>
      <w:t>兴宁市残疾人康复中心设备器材采购项目</w:t>
    </w:r>
    <w:r>
      <w:rPr>
        <w:rFonts w:ascii="宋体" w:hAnsi="宋体" w:cs="宋体" w:hint="eastAsia"/>
        <w:b w:val="0"/>
        <w:bCs w:val="0"/>
        <w:sz w:val="20"/>
        <w:szCs w:val="20"/>
        <w:u w:val="single"/>
        <w:lang w:val="en-US" w:eastAsia="zh-CN"/>
      </w:rPr>
      <w:t xml:space="preserve">                          项目编号： </w:t>
    </w:r>
    <w:r>
      <w:rPr>
        <w:rFonts w:ascii="宋体" w:hAnsi="宋体" w:cs="宋体" w:hint="eastAsia"/>
        <w:b/>
        <w:bCs/>
        <w:sz w:val="20"/>
        <w:szCs w:val="20"/>
        <w:u w:val="single"/>
        <w:lang w:val="en-US" w:eastAsia="zh-CN"/>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49" type="#_x0000_t75" style="width:453.45pt;height:503.95pt" o:ole="" coordsize="21600,21600" o:preferrelative="t" filled="f" stroked="f">
          <v:imagedata r:id="rId1" o:title=""/>
          <o:lock v:ext="edit" aspectratio="t"/>
          <w10:anchorlock/>
        </v:shape>
        <o:OLEObject Type="Embed" ProgID="Word.Document.8" ShapeID="_x0000_i2049" DrawAspect="Content" ObjectID="_1468075787" r:id="rId2"/>
      </w:obje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1" type="#_x0000_t75" style="width:453.45pt;height:503.95pt" o:ole="" coordsize="21600,21600" o:preferrelative="t" filled="f" stroked="f">
          <v:imagedata r:id="rId1" o:title=""/>
          <o:lock v:ext="edit" aspectratio="t"/>
          <w10:anchorlock/>
        </v:shape>
        <o:OLEObject Type="Embed" ProgID="Word.Document.8" ShapeID="_x0000_i2051" DrawAspect="Content" ObjectID="_1468075787" r:id="rId2"/>
      </w:obje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3" type="#_x0000_t75" style="width:453.45pt;height:503.95pt" o:ole="" coordsize="21600,21600" o:preferrelative="t" filled="f" stroked="f">
          <v:imagedata r:id="rId1" o:title=""/>
          <o:lock v:ext="edit" aspectratio="t"/>
          <w10:anchorlock/>
        </v:shape>
        <o:OLEObject Type="Embed" ProgID="Word.Document.8" ShapeID="_x0000_i2053" DrawAspect="Content" ObjectID="_1468075787" r:id="rId2"/>
      </w:obje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5" type="#_x0000_t75" style="width:453.45pt;height:503.95pt" o:ole="" coordsize="21600,21600" o:preferrelative="t" filled="f" stroked="f">
          <v:imagedata r:id="rId1" o:title=""/>
          <o:lock v:ext="edit" aspectratio="t"/>
          <w10:anchorlock/>
        </v:shape>
        <o:OLEObject Type="Embed" ProgID="Word.Document.8" ShapeID="_x0000_i2055" DrawAspect="Content" ObjectID="_1468075787" r:id="rId2"/>
      </w:obje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7" type="#_x0000_t75" style="width:453.45pt;height:503.95pt" o:ole="" coordsize="21600,21600" o:preferrelative="t" filled="f" stroked="f">
          <v:imagedata r:id="rId1" o:title=""/>
          <o:lock v:ext="edit" aspectratio="t"/>
          <w10:anchorlock/>
        </v:shape>
        <o:OLEObject Type="Embed" ProgID="Word.Document.8" ShapeID="_x0000_i2057" DrawAspect="Content" ObjectID="_1468075787" r:id="rId2"/>
      </w:obje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9" type="#_x0000_t75" style="width:453.45pt;height:503.95pt" o:ole="" coordsize="21600,21600" o:preferrelative="t" filled="f" stroked="f">
          <v:imagedata r:id="rId1" o:title=""/>
          <o:lock v:ext="edit" aspectratio="t"/>
          <w10:anchorlock/>
        </v:shape>
        <o:OLEObject Type="Embed" ProgID="Word.Document.8" ShapeID="_x0000_i2059" DrawAspect="Content" ObjectID="_1468075787" r:id="rId2"/>
      </w:obje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1" type="#_x0000_t75" style="width:453.45pt;height:503.95pt" o:ole="" coordsize="21600,21600" o:preferrelative="t" filled="f" stroked="f">
          <v:imagedata r:id="rId1" o:title=""/>
          <o:lock v:ext="edit" aspectratio="t"/>
          <w10:anchorlock/>
        </v:shape>
        <o:OLEObject Type="Embed" ProgID="Word.Document.8" ShapeID="_x0000_i2061" DrawAspect="Content" ObjectID="_1468075787" r:id="rId2"/>
      </w:obje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3" type="#_x0000_t75" style="width:453.45pt;height:503.95pt" o:ole="" coordsize="21600,21600" o:preferrelative="t" filled="f" stroked="f">
          <v:imagedata r:id="rId1" o:title=""/>
          <o:lock v:ext="edit" aspectratio="t"/>
          <w10:anchorlock/>
        </v:shape>
        <o:OLEObject Type="Embed" ProgID="Word.Document.8" ShapeID="_x0000_i2063" DrawAspect="Content" ObjectID="_1468075787" r:id="rId2"/>
      </w:obje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5" type="#_x0000_t75" style="width:453.45pt;height:503.95pt" o:ole="" coordsize="21600,21600" o:preferrelative="t" filled="f" stroked="f">
          <v:imagedata r:id="rId1" o:title=""/>
          <o:lock v:ext="edit" aspectratio="t"/>
          <w10:anchorlock/>
        </v:shape>
        <o:OLEObject Type="Embed" ProgID="Word.Document.8" ShapeID="_x0000_i2065" DrawAspect="Content" ObjectID="_1468075787" r:id="rId2"/>
      </w:obje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7" type="#_x0000_t75" style="width:453.45pt;height:503.95pt" o:ole="" coordsize="21600,21600" o:preferrelative="t" filled="f" stroked="f">
          <v:imagedata r:id="rId1" o:title=""/>
          <o:lock v:ext="edit" aspectratio="t"/>
          <w10:anchorlock/>
        </v:shape>
        <o:OLEObject Type="Embed" ProgID="Word.Document.8" ShapeID="_x0000_i2067" DrawAspect="Content" ObjectID="_1468075787" r:id="rId2"/>
      </w:obje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9" type="#_x0000_t75" style="width:453.45pt;height:503.95pt" o:ole="" coordsize="21600,21600" o:preferrelative="t" filled="f" stroked="f">
          <v:imagedata r:id="rId1" o:title=""/>
          <o:lock v:ext="edit" aspectratio="t"/>
          <w10:anchorlock/>
        </v:shape>
        <o:OLEObject Type="Embed" ProgID="Word.Document.8" ShapeID="_x0000_i2069" DrawAspect="Content" ObjectID="_1468075787" r:id="rId2"/>
      </w:obje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1" type="#_x0000_t75" style="width:453.45pt;height:503.95pt" o:ole="" coordsize="21600,21600" o:preferrelative="t" filled="f" stroked="f">
          <v:imagedata r:id="rId1" o:title=""/>
          <o:lock v:ext="edit" aspectratio="t"/>
          <w10:anchorlock/>
        </v:shape>
        <o:OLEObject Type="Embed" ProgID="Word.Document.8" ShapeID="_x0000_i2071" DrawAspect="Content" ObjectID="_1468075787" r:id="rId2"/>
      </w:obje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3" type="#_x0000_t75" style="width:453.45pt;height:503.95pt" o:ole="" coordsize="21600,21600" o:preferrelative="t" filled="f" stroked="f">
          <v:imagedata r:id="rId1" o:title=""/>
          <o:lock v:ext="edit" aspectratio="t"/>
          <w10:anchorlock/>
        </v:shape>
        <o:OLEObject Type="Embed" ProgID="Word.Document.8" ShapeID="_x0000_i2073" DrawAspect="Content" ObjectID="_1468075787" r:id="rId2"/>
      </w:obje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5" type="#_x0000_t75" style="width:453.45pt;height:503.95pt" o:ole="" coordsize="21600,21600" o:preferrelative="t" filled="f" stroked="f">
          <v:imagedata r:id="rId1" o:title=""/>
          <o:lock v:ext="edit" aspectratio="t"/>
          <w10:anchorlock/>
        </v:shape>
        <o:OLEObject Type="Embed" ProgID="Word.Document.8" ShapeID="_x0000_i2075" DrawAspect="Content" ObjectID="_1468075787" r:id="rId2"/>
      </w:obje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7" type="#_x0000_t75" style="width:453.45pt;height:503.95pt" o:ole="" coordsize="21600,21600" o:preferrelative="t" filled="f" stroked="f">
          <v:imagedata r:id="rId1" o:title=""/>
          <o:lock v:ext="edit" aspectratio="t"/>
          <w10:anchorlock/>
        </v:shape>
        <o:OLEObject Type="Embed" ProgID="Word.Document.8" ShapeID="_x0000_i2077" DrawAspect="Content" ObjectID="_1468075787" r:id="rId2"/>
      </w:obje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9" type="#_x0000_t75" style="width:453.45pt;height:503.95pt" o:ole="" coordsize="21600,21600" o:preferrelative="t" filled="f" stroked="f">
          <v:imagedata r:id="rId1" o:title=""/>
          <o:lock v:ext="edit" aspectratio="t"/>
          <w10:anchorlock/>
        </v:shape>
        <o:OLEObject Type="Embed" ProgID="Word.Document.8" ShapeID="_x0000_i2079" DrawAspect="Content" ObjectID="_1468075787" r:id="rId2"/>
      </w:obje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81" type="#_x0000_t75" style="width:453.45pt;height:503.95pt" o:ole="" coordsize="21600,21600" o:preferrelative="t" filled="f" stroked="f">
          <v:imagedata r:id="rId1" o:title=""/>
          <o:lock v:ext="edit" aspectratio="t"/>
          <w10:anchorlock/>
        </v:shape>
        <o:OLEObject Type="Embed" ProgID="Word.Document.8" ShapeID="_x0000_i2081" DrawAspect="Content" ObjectID="_1468075787" r:id="rId2"/>
      </w:obje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83" type="#_x0000_t75" style="width:453.45pt;height:503.95pt" o:ole="" coordsize="21600,21600" o:preferrelative="t" filled="f" stroked="f">
          <v:imagedata r:id="rId1" o:title=""/>
          <o:lock v:ext="edit" aspectratio="t"/>
          <w10:anchorlock/>
        </v:shape>
        <o:OLEObject Type="Embed" ProgID="Word.Document.8" ShapeID="_x0000_i2083" DrawAspect="Content" ObjectID="_1468075787" r:id="rId2"/>
      </w:obje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85" type="#_x0000_t75" style="width:453.45pt;height:503.95pt" o:ole="" coordsize="21600,21600" o:preferrelative="t" filled="f" stroked="f">
          <v:imagedata r:id="rId1" o:title=""/>
          <o:lock v:ext="edit" aspectratio="t"/>
          <w10:anchorlock/>
        </v:shape>
        <o:OLEObject Type="Embed" ProgID="Word.Document.8" ShapeID="_x0000_i2085" DrawAspect="Content" ObjectID="_1468075787" r:id="rId2"/>
      </w:obje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87" type="#_x0000_t75" style="width:453.45pt;height:503.95pt" o:ole="" coordsize="21600,21600" o:preferrelative="t" filled="f" stroked="f">
          <v:imagedata r:id="rId1" o:title=""/>
          <o:lock v:ext="edit" aspectratio="t"/>
          <w10:anchorlock/>
        </v:shape>
        <o:OLEObject Type="Embed" ProgID="Word.Document.8" ShapeID="_x0000_i2087" DrawAspect="Content" ObjectID="_1468075787" r:id="rId2"/>
      </w:objec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89" type="#_x0000_t75" style="width:453.45pt;height:503.95pt" o:ole="" coordsize="21600,21600" o:preferrelative="t" filled="f" stroked="f">
          <v:imagedata r:id="rId1" o:title=""/>
          <o:lock v:ext="edit" aspectratio="t"/>
          <w10:anchorlock/>
        </v:shape>
        <o:OLEObject Type="Embed" ProgID="Word.Document.8" ShapeID="_x0000_i2089" DrawAspect="Content" ObjectID="_1468075787" r:id="rId2"/>
      </w:objec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91" type="#_x0000_t75" style="width:453.45pt;height:503.95pt" o:ole="" coordsize="21600,21600" o:preferrelative="t" filled="f" stroked="f">
          <v:imagedata r:id="rId1" o:title=""/>
          <o:lock v:ext="edit" aspectratio="t"/>
          <w10:anchorlock/>
        </v:shape>
        <o:OLEObject Type="Embed" ProgID="Word.Document.8" ShapeID="_x0000_i2091" DrawAspect="Content" ObjectID="_1468075787" r:id="rId2"/>
      </w:objec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93" type="#_x0000_t75" style="width:453.45pt;height:503.95pt" o:ole="" coordsize="21600,21600" o:preferrelative="t" filled="f" stroked="f">
          <v:imagedata r:id="rId1" o:title=""/>
          <o:lock v:ext="edit" aspectratio="t"/>
          <w10:anchorlock/>
        </v:shape>
        <o:OLEObject Type="Embed" ProgID="Word.Document.8" ShapeID="_x0000_i2093" DrawAspect="Content" ObjectID="_1468075787" r:id="rId2"/>
      </w:objec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95" type="#_x0000_t75" style="width:453.45pt;height:503.95pt" o:ole="" coordsize="21600,21600" o:preferrelative="t" filled="f" stroked="f">
          <v:imagedata r:id="rId1" o:title=""/>
          <o:lock v:ext="edit" aspectratio="t"/>
          <w10:anchorlock/>
        </v:shape>
        <o:OLEObject Type="Embed" ProgID="Word.Document.8" ShapeID="_x0000_i2095" DrawAspect="Content" ObjectID="_1468075787" r:id="rId2"/>
      </w:objec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97" type="#_x0000_t75" style="width:453.45pt;height:503.95pt" o:ole="" coordsize="21600,21600" o:preferrelative="t" filled="f" stroked="f">
          <v:imagedata r:id="rId1" o:title=""/>
          <o:lock v:ext="edit" aspectratio="t"/>
          <w10:anchorlock/>
        </v:shape>
        <o:OLEObject Type="Embed" ProgID="Word.Document.8" ShapeID="_x0000_i2097" DrawAspect="Content" ObjectID="_1468075787" r:id="rId2"/>
      </w:objec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99" type="#_x0000_t75" style="width:453.45pt;height:503.95pt" o:ole="" coordsize="21600,21600" o:preferrelative="t" filled="f" stroked="f">
          <v:imagedata r:id="rId1" o:title=""/>
          <o:lock v:ext="edit" aspectratio="t"/>
          <w10:anchorlock/>
        </v:shape>
        <o:OLEObject Type="Embed" ProgID="Word.Document.8" ShapeID="_x0000_i2099" DrawAspect="Content" ObjectID="_1468075787" r:id="rId2"/>
      </w:objec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01" type="#_x0000_t75" style="width:453.45pt;height:503.95pt" o:ole="" coordsize="21600,21600" o:preferrelative="t" filled="f" stroked="f">
          <v:imagedata r:id="rId1" o:title=""/>
          <o:lock v:ext="edit" aspectratio="t"/>
          <w10:anchorlock/>
        </v:shape>
        <o:OLEObject Type="Embed" ProgID="Word.Document.8" ShapeID="_x0000_i2101" DrawAspect="Content" ObjectID="_1468075787" r:id="rId2"/>
      </w:object>
    </w: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03" type="#_x0000_t75" style="width:453.45pt;height:503.95pt" o:ole="" coordsize="21600,21600" o:preferrelative="t" filled="f" stroked="f">
          <v:imagedata r:id="rId1" o:title=""/>
          <o:lock v:ext="edit" aspectratio="t"/>
          <w10:anchorlock/>
        </v:shape>
        <o:OLEObject Type="Embed" ProgID="Word.Document.8" ShapeID="_x0000_i2103" DrawAspect="Content" ObjectID="_1468075787" r:id="rId2"/>
      </w:objec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05" type="#_x0000_t75" style="width:453.45pt;height:503.95pt" o:ole="" coordsize="21600,21600" o:preferrelative="t" filled="f" stroked="f">
          <v:imagedata r:id="rId1" o:title=""/>
          <o:lock v:ext="edit" aspectratio="t"/>
          <w10:anchorlock/>
        </v:shape>
        <o:OLEObject Type="Embed" ProgID="Word.Document.8" ShapeID="_x0000_i2105" DrawAspect="Content" ObjectID="_1468075787" r:id="rId2"/>
      </w:object>
    </w: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07" type="#_x0000_t75" style="width:453.45pt;height:503.95pt" o:ole="" coordsize="21600,21600" o:preferrelative="t" filled="f" stroked="f">
          <v:imagedata r:id="rId1" o:title=""/>
          <o:lock v:ext="edit" aspectratio="t"/>
          <w10:anchorlock/>
        </v:shape>
        <o:OLEObject Type="Embed" ProgID="Word.Document.8" ShapeID="_x0000_i2107" DrawAspect="Content" ObjectID="_1468075787" r:id="rId2"/>
      </w:object>
    </w: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09" type="#_x0000_t75" style="width:453.45pt;height:503.95pt" o:ole="" coordsize="21600,21600" o:preferrelative="t" filled="f" stroked="f">
          <v:imagedata r:id="rId1" o:title=""/>
          <o:lock v:ext="edit" aspectratio="t"/>
          <w10:anchorlock/>
        </v:shape>
        <o:OLEObject Type="Embed" ProgID="Word.Document.8" ShapeID="_x0000_i2109" DrawAspect="Content" ObjectID="_1468075787" r:id="rId2"/>
      </w:objec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jc w:val="both"/>
      <w:rPr>
        <w:rFonts w:ascii="宋体" w:hAnsi="宋体" w:cs="宋体" w:hint="eastAsia"/>
        <w:b/>
        <w:bCs/>
        <w:szCs w:val="21"/>
        <w:u w:val="single"/>
      </w:rPr>
    </w:pPr>
  </w:p>
  <w:p>
    <w:pPr>
      <w:spacing w:line="360" w:lineRule="auto"/>
      <w:jc w:val="left"/>
      <w:rPr>
        <w:rFonts w:ascii="宋体" w:hAnsi="宋体" w:hint="eastAsia"/>
        <w:szCs w:val="21"/>
        <w:u w:val="single"/>
      </w:rPr>
    </w:pPr>
    <w:r>
      <w:rPr>
        <w:rFonts w:ascii="宋体" w:hAnsi="宋体" w:cs="宋体" w:hint="eastAsia"/>
        <w:b/>
        <w:bCs/>
        <w:sz w:val="21"/>
        <w:szCs w:val="21"/>
        <w:u w:val="single"/>
        <w:lang w:eastAsia="zh-CN"/>
      </w:rPr>
      <w:t>兴宁市残疾人康复中心设备器材采购项目</w:t>
    </w:r>
    <w:r>
      <w:rPr>
        <w:rFonts w:ascii="宋体" w:hAnsi="宋体" w:cs="宋体" w:hint="eastAsia"/>
        <w:b/>
        <w:bCs/>
        <w:sz w:val="21"/>
        <w:szCs w:val="21"/>
        <w:u w:val="single"/>
        <w:lang w:val="en-US" w:eastAsia="zh-CN"/>
      </w:rPr>
      <w:t xml:space="preserve">                    项目编号：GDYNMZ20220801                                       </w:t>
    </w:r>
    <w:r>
      <w:rPr>
        <w:rFonts w:ascii="宋体" w:hAnsi="宋体"/>
        <w:u w:val="singl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11" type="#_x0000_t75" style="width:453.45pt;height:503.95pt" o:ole="" coordsize="21600,21600" o:preferrelative="t" filled="f" stroked="f">
          <v:imagedata r:id="rId1" o:title=""/>
          <o:lock v:ext="edit" aspectratio="t"/>
          <w10:anchorlock/>
        </v:shape>
        <o:OLEObject Type="Embed" ProgID="Word.Document.8" ShapeID="_x0000_i2111" DrawAspect="Content" ObjectID="_1468075787" r:id="rId2"/>
      </w:object>
    </w: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eastAsia="宋体" w:hint="default"/>
        <w:u w:val="none"/>
        <w:lang w:val="en-US"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2B599E8"/>
    <w:multiLevelType w:val="singleLevel"/>
    <w:tmpl w:val="82B599E8"/>
    <w:lvl w:ilvl="0">
      <w:start w:val="2"/>
      <w:numFmt w:val="decimal"/>
      <w:suff w:val="nothing"/>
      <w:lvlText w:val="（%1）"/>
      <w:lvlJc w:val="left"/>
    </w:lvl>
  </w:abstractNum>
  <w:abstractNum w:abstractNumId="1">
    <w:nsid w:val="D446D56E"/>
    <w:multiLevelType w:val="singleLevel"/>
    <w:tmpl w:val="D446D56E"/>
    <w:lvl w:ilvl="0">
      <w:start w:val="1"/>
      <w:numFmt w:val="decimal"/>
      <w:lvlText w:val="%1."/>
      <w:lvlJc w:val="left"/>
      <w:pPr>
        <w:tabs>
          <w:tab w:val="left" w:pos="312"/>
        </w:tabs>
      </w:pPr>
    </w:lvl>
  </w:abstractNum>
  <w:abstractNum w:abstractNumId="2">
    <w:nsid w:val="D6F1F1BD"/>
    <w:multiLevelType w:val="multilevel"/>
    <w:tmpl w:val="D6F1F1BD"/>
    <w:lvl w:ilvl="0">
      <w:start w:val="3"/>
      <w:numFmt w:val="decimal"/>
      <w:lvlText w:val="%1."/>
      <w:lvlJc w:val="left"/>
      <w:pPr>
        <w:tabs>
          <w:tab w:val="left" w:pos="312"/>
        </w:tabs>
      </w:pPr>
    </w:lvl>
    <w:lvl w:ilvl="1">
      <w:start w:val="1"/>
      <w:numFmt w:val="decimal"/>
      <w:lvlText w:val="%1.%2."/>
      <w:lvlJc w:val="left"/>
      <w:pPr>
        <w:tabs>
          <w:tab w:val="left" w:pos="312"/>
        </w:tabs>
        <w:ind w:left="0" w:firstLine="0"/>
      </w:pPr>
      <w:rPr>
        <w:rFonts w:hint="default"/>
      </w:rPr>
    </w:lvl>
    <w:lvl w:ilvl="2">
      <w:start w:val="1"/>
      <w:numFmt w:val="decimal"/>
      <w:lvlText w:val="%1.%2.%3."/>
      <w:lvlJc w:val="left"/>
      <w:pPr>
        <w:tabs>
          <w:tab w:val="left" w:pos="312"/>
        </w:tabs>
        <w:ind w:left="0" w:firstLine="0"/>
      </w:pPr>
      <w:rPr>
        <w:rFonts w:hint="default"/>
      </w:rPr>
    </w:lvl>
    <w:lvl w:ilvl="3">
      <w:start w:val="1"/>
      <w:numFmt w:val="decimal"/>
      <w:lvlText w:val="%1.%2.%3.%4."/>
      <w:lvlJc w:val="left"/>
      <w:pPr>
        <w:tabs>
          <w:tab w:val="left" w:pos="312"/>
        </w:tabs>
        <w:ind w:left="0" w:firstLine="0"/>
      </w:pPr>
      <w:rPr>
        <w:rFonts w:hint="default"/>
      </w:rPr>
    </w:lvl>
    <w:lvl w:ilvl="4">
      <w:start w:val="1"/>
      <w:numFmt w:val="decimal"/>
      <w:lvlText w:val="%1.%2.%3.%4.%5."/>
      <w:lvlJc w:val="left"/>
      <w:pPr>
        <w:tabs>
          <w:tab w:val="left" w:pos="312"/>
        </w:tabs>
        <w:ind w:left="0" w:firstLine="0"/>
      </w:pPr>
      <w:rPr>
        <w:rFonts w:hint="default"/>
      </w:rPr>
    </w:lvl>
    <w:lvl w:ilvl="5">
      <w:start w:val="1"/>
      <w:numFmt w:val="decimal"/>
      <w:lvlText w:val="%1.%2.%3.%4.%5.%6."/>
      <w:lvlJc w:val="left"/>
      <w:pPr>
        <w:tabs>
          <w:tab w:val="left" w:pos="312"/>
        </w:tabs>
        <w:ind w:left="0" w:firstLine="0"/>
      </w:pPr>
      <w:rPr>
        <w:rFonts w:hint="default"/>
      </w:rPr>
    </w:lvl>
    <w:lvl w:ilvl="6">
      <w:start w:val="1"/>
      <w:numFmt w:val="decimal"/>
      <w:lvlText w:val="%1.%2.%3.%4.%5.%6.%7."/>
      <w:lvlJc w:val="left"/>
      <w:pPr>
        <w:tabs>
          <w:tab w:val="left" w:pos="312"/>
        </w:tabs>
        <w:ind w:left="0" w:firstLine="0"/>
      </w:pPr>
      <w:rPr>
        <w:rFonts w:hint="default"/>
      </w:rPr>
    </w:lvl>
    <w:lvl w:ilvl="7">
      <w:start w:val="1"/>
      <w:numFmt w:val="decimal"/>
      <w:lvlText w:val="%1.%2.%3.%4.%5.%6.%7.%8."/>
      <w:lvlJc w:val="left"/>
      <w:pPr>
        <w:tabs>
          <w:tab w:val="left" w:pos="312"/>
        </w:tabs>
        <w:ind w:left="0" w:firstLine="0"/>
      </w:pPr>
      <w:rPr>
        <w:rFonts w:hint="default"/>
      </w:rPr>
    </w:lvl>
    <w:lvl w:ilvl="8">
      <w:start w:val="1"/>
      <w:numFmt w:val="decimal"/>
      <w:lvlText w:val="%1.%2.%3.%4.%5.%6.%7.%8.%9."/>
      <w:lvlJc w:val="left"/>
      <w:pPr>
        <w:tabs>
          <w:tab w:val="left" w:pos="312"/>
        </w:tabs>
        <w:ind w:left="0" w:firstLine="0"/>
      </w:pPr>
      <w:rPr>
        <w:rFonts w:hint="default"/>
      </w:rPr>
    </w:lvl>
  </w:abstractNum>
  <w:abstractNum w:abstractNumId="3">
    <w:nsid w:val="D739F0B3"/>
    <w:multiLevelType w:val="singleLevel"/>
    <w:tmpl w:val="D739F0B3"/>
    <w:lvl w:ilvl="0">
      <w:start w:val="6"/>
      <w:numFmt w:val="chineseCounting"/>
      <w:suff w:val="nothing"/>
      <w:lvlText w:val="%1、"/>
      <w:lvlJc w:val="left"/>
      <w:pPr>
        <w:ind w:left="278" w:firstLine="0"/>
      </w:pPr>
      <w:rPr>
        <w:rFonts w:hint="eastAsia"/>
      </w:rPr>
    </w:lvl>
  </w:abstractNum>
  <w:abstractNum w:abstractNumId="4">
    <w:nsid w:val="0FBC8AFB"/>
    <w:multiLevelType w:val="singleLevel"/>
    <w:tmpl w:val="0FBC8AFB"/>
    <w:lvl w:ilvl="0">
      <w:start w:val="1"/>
      <w:numFmt w:val="decimal"/>
      <w:suff w:val="nothing"/>
      <w:lvlText w:val="%1、"/>
      <w:lvlJc w:val="left"/>
    </w:lvl>
  </w:abstractNum>
  <w:abstractNum w:abstractNumId="5">
    <w:nsid w:val="22984B97"/>
    <w:multiLevelType w:val="multilevel"/>
    <w:tmpl w:val="22984B9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3BA621AB"/>
    <w:multiLevelType w:val="multilevel"/>
    <w:tmpl w:val="3BA621AB"/>
    <w:lvl w:ilvl="0">
      <w:start w:val="2"/>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41B4A060"/>
    <w:multiLevelType w:val="singleLevel"/>
    <w:tmpl w:val="41B4A060"/>
    <w:lvl w:ilvl="0">
      <w:start w:val="2"/>
      <w:numFmt w:val="chineseCounting"/>
      <w:suff w:val="nothing"/>
      <w:lvlText w:val="%1、"/>
      <w:lvlJc w:val="left"/>
      <w:rPr>
        <w:rFonts w:hint="eastAsia"/>
      </w:rPr>
    </w:lvl>
  </w:abstractNum>
  <w:abstractNum w:abstractNumId="8">
    <w:nsid w:val="5F905E59"/>
    <w:multiLevelType w:val="multilevel"/>
    <w:tmpl w:val="5F905E59"/>
    <w:lvl w:ilvl="0">
      <w:start w:val="1"/>
      <w:numFmt w:val="decimal"/>
      <w:lvlText w:val="%1."/>
      <w:lvlJc w:val="left"/>
      <w:pPr>
        <w:tabs>
          <w:tab w:val="left" w:pos="1571"/>
        </w:tabs>
        <w:ind w:left="1571" w:hanging="851"/>
      </w:pPr>
      <w:rPr>
        <w:rFonts w:eastAsia="宋体" w:hint="eastAsia"/>
        <w:b/>
        <w:i w:val="0"/>
        <w:sz w:val="24"/>
      </w:rPr>
    </w:lvl>
    <w:lvl w:ilvl="1">
      <w:start w:val="1"/>
      <w:numFmt w:val="decimal"/>
      <w:lvlText w:val="（%2）"/>
      <w:lvlJc w:val="left"/>
      <w:pPr>
        <w:tabs>
          <w:tab w:val="left" w:pos="720"/>
        </w:tabs>
        <w:ind w:left="720" w:hanging="720"/>
      </w:pPr>
      <w:rPr>
        <w:rFonts w:hint="default"/>
        <w:b/>
        <w:i w:val="0"/>
        <w:sz w:val="24"/>
      </w:rPr>
    </w:lvl>
    <w:lvl w:ilvl="2">
      <w:start w:val="1"/>
      <w:numFmt w:val="decimal"/>
      <w:lvlText w:val="%1.%2.%3"/>
      <w:lvlJc w:val="left"/>
      <w:pPr>
        <w:tabs>
          <w:tab w:val="left" w:pos="720"/>
        </w:tabs>
        <w:ind w:left="720" w:hanging="720"/>
      </w:pPr>
      <w:rPr>
        <w:rFonts w:hint="eastAsia"/>
      </w:rPr>
    </w:lvl>
    <w:lvl w:ilvl="3">
      <w:start w:val="1"/>
      <w:numFmt w:val="decimal"/>
      <w:pStyle w:val="Heading4"/>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9">
    <w:nsid w:val="60200460"/>
    <w:multiLevelType w:val="multilevel"/>
    <w:tmpl w:val="60200460"/>
    <w:lvl w:ilvl="0">
      <w:start w:val="1"/>
      <w:numFmt w:val="decimal"/>
      <w:lvlText w:val="%1"/>
      <w:lvlJc w:val="left"/>
      <w:pPr>
        <w:tabs>
          <w:tab w:val="left" w:pos="360"/>
        </w:tabs>
        <w:ind w:left="0" w:firstLine="0"/>
      </w:pPr>
      <w:rPr>
        <w:rFonts w:ascii="Times New Roman" w:hAnsi="Times New Roman" w:cs="Times New Roman" w:hint="default"/>
        <w:spacing w:val="-20"/>
        <w:kern w:val="2"/>
        <w:position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nsid w:val="6AF32A2A"/>
    <w:multiLevelType w:val="multilevel"/>
    <w:tmpl w:val="6AF32A2A"/>
    <w:lvl w:ilvl="0">
      <w:start w:val="1"/>
      <w:numFmt w:val="decimal"/>
      <w:lvlText w:val="2.%1"/>
      <w:lvlJc w:val="left"/>
      <w:pPr>
        <w:tabs>
          <w:tab w:val="left" w:pos="567"/>
        </w:tabs>
        <w:ind w:left="567" w:hanging="567"/>
      </w:pPr>
      <w:rPr>
        <w:rFonts w:eastAsia="宋体" w:hint="eastAsia"/>
      </w:rPr>
    </w:lvl>
    <w:lvl w:ilvl="1">
      <w:start w:val="1"/>
      <w:numFmt w:val="decimal"/>
      <w:lvlText w:val="%2"/>
      <w:lvlJc w:val="left"/>
      <w:pPr>
        <w:tabs>
          <w:tab w:val="left" w:pos="170"/>
        </w:tabs>
        <w:ind w:left="170" w:hanging="170"/>
      </w:pPr>
      <w:rPr>
        <w:rFonts w:ascii="Times New Roman" w:eastAsia="宋体" w:hAnsi="Times New Roman" w:cs="Times New Roman" w:hint="default"/>
        <w:spacing w:val="-20"/>
        <w:kern w:val="2"/>
        <w:position w:val="0"/>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nsid w:val="6BF14F17"/>
    <w:multiLevelType w:val="multilevel"/>
    <w:tmpl w:val="6BF14F17"/>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8"/>
  </w:num>
  <w:num w:numId="2">
    <w:abstractNumId w:val="2"/>
  </w:num>
  <w:num w:numId="3">
    <w:abstractNumId w:val="5"/>
  </w:num>
  <w:num w:numId="4">
    <w:abstractNumId w:val="0"/>
  </w:num>
  <w:num w:numId="5">
    <w:abstractNumId w:val="4"/>
  </w:num>
  <w:num w:numId="6">
    <w:abstractNumId w:val="11"/>
  </w:num>
  <w:num w:numId="7">
    <w:abstractNumId w:val="7"/>
  </w:num>
  <w:num w:numId="8">
    <w:abstractNumId w:val="3"/>
  </w:num>
  <w:num w:numId="9">
    <w:abstractNumId w:val="9"/>
  </w:num>
  <w:num w:numId="10">
    <w:abstractNumId w:val="10"/>
  </w:num>
  <w:num w:numId="11">
    <w:abstractNumId w:val="1"/>
  </w:num>
  <w:num w:numId="12">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7A3277"/>
    <w:rsid w:val="002C3E8D"/>
    <w:rsid w:val="01000C4A"/>
    <w:rsid w:val="01204CAF"/>
    <w:rsid w:val="01370BA0"/>
    <w:rsid w:val="016F021A"/>
    <w:rsid w:val="01836467"/>
    <w:rsid w:val="01940094"/>
    <w:rsid w:val="01CF3B2E"/>
    <w:rsid w:val="024A6D3D"/>
    <w:rsid w:val="02AE5398"/>
    <w:rsid w:val="031B60F3"/>
    <w:rsid w:val="0367499B"/>
    <w:rsid w:val="04506958"/>
    <w:rsid w:val="045446D0"/>
    <w:rsid w:val="04592C1A"/>
    <w:rsid w:val="0461207A"/>
    <w:rsid w:val="0518520C"/>
    <w:rsid w:val="05532D58"/>
    <w:rsid w:val="05697868"/>
    <w:rsid w:val="05912ADB"/>
    <w:rsid w:val="05AB2D92"/>
    <w:rsid w:val="05F03E07"/>
    <w:rsid w:val="06AB256C"/>
    <w:rsid w:val="06C61621"/>
    <w:rsid w:val="06C71E01"/>
    <w:rsid w:val="072E5B13"/>
    <w:rsid w:val="07DC01F4"/>
    <w:rsid w:val="08163D83"/>
    <w:rsid w:val="081A0ECA"/>
    <w:rsid w:val="08CC2067"/>
    <w:rsid w:val="09511BF6"/>
    <w:rsid w:val="09A602C4"/>
    <w:rsid w:val="0A433171"/>
    <w:rsid w:val="0ADA7A08"/>
    <w:rsid w:val="0B4A6BD8"/>
    <w:rsid w:val="0BD769D5"/>
    <w:rsid w:val="0BEF7C27"/>
    <w:rsid w:val="0BF62C86"/>
    <w:rsid w:val="0C270C6F"/>
    <w:rsid w:val="0C412F8C"/>
    <w:rsid w:val="0C4336EC"/>
    <w:rsid w:val="0CA070A7"/>
    <w:rsid w:val="0CDF6632"/>
    <w:rsid w:val="0D2D174A"/>
    <w:rsid w:val="0D552077"/>
    <w:rsid w:val="0D61175B"/>
    <w:rsid w:val="0DAE2F9F"/>
    <w:rsid w:val="0E0F011B"/>
    <w:rsid w:val="0E3E7B9F"/>
    <w:rsid w:val="0E9A4785"/>
    <w:rsid w:val="0F4810F4"/>
    <w:rsid w:val="0FA35888"/>
    <w:rsid w:val="0FDF0F1F"/>
    <w:rsid w:val="0FE15884"/>
    <w:rsid w:val="0FE80671"/>
    <w:rsid w:val="0FE9673C"/>
    <w:rsid w:val="0FF239F3"/>
    <w:rsid w:val="10AB3168"/>
    <w:rsid w:val="10B72858"/>
    <w:rsid w:val="10C81F6C"/>
    <w:rsid w:val="10D44554"/>
    <w:rsid w:val="10F16DCD"/>
    <w:rsid w:val="11B30EBE"/>
    <w:rsid w:val="11C53E66"/>
    <w:rsid w:val="11DD37F5"/>
    <w:rsid w:val="12122765"/>
    <w:rsid w:val="12677142"/>
    <w:rsid w:val="127C4DBC"/>
    <w:rsid w:val="12C0114D"/>
    <w:rsid w:val="136441CE"/>
    <w:rsid w:val="13C22CA3"/>
    <w:rsid w:val="147847DB"/>
    <w:rsid w:val="15226E2D"/>
    <w:rsid w:val="15710CEB"/>
    <w:rsid w:val="15853C83"/>
    <w:rsid w:val="15AB1146"/>
    <w:rsid w:val="15BE1559"/>
    <w:rsid w:val="15EC5FA2"/>
    <w:rsid w:val="16393655"/>
    <w:rsid w:val="16E259D1"/>
    <w:rsid w:val="16EE67DD"/>
    <w:rsid w:val="16FF203C"/>
    <w:rsid w:val="17253C74"/>
    <w:rsid w:val="17321EED"/>
    <w:rsid w:val="17454D35"/>
    <w:rsid w:val="17EF673D"/>
    <w:rsid w:val="190005FE"/>
    <w:rsid w:val="191D4262"/>
    <w:rsid w:val="192A3422"/>
    <w:rsid w:val="19392845"/>
    <w:rsid w:val="19861EDA"/>
    <w:rsid w:val="19B37D62"/>
    <w:rsid w:val="19BB4B61"/>
    <w:rsid w:val="1A78018D"/>
    <w:rsid w:val="1A8D5661"/>
    <w:rsid w:val="1AB44836"/>
    <w:rsid w:val="1AC42F5D"/>
    <w:rsid w:val="1AE05CBC"/>
    <w:rsid w:val="1AE259D8"/>
    <w:rsid w:val="1AE855D0"/>
    <w:rsid w:val="1B170F0F"/>
    <w:rsid w:val="1B4D5FFA"/>
    <w:rsid w:val="1B926781"/>
    <w:rsid w:val="1B9E5B74"/>
    <w:rsid w:val="1BA04EFC"/>
    <w:rsid w:val="1BBC52C0"/>
    <w:rsid w:val="1BD03584"/>
    <w:rsid w:val="1C053123"/>
    <w:rsid w:val="1C2564C4"/>
    <w:rsid w:val="1CB30911"/>
    <w:rsid w:val="1CC309C7"/>
    <w:rsid w:val="1CD53A47"/>
    <w:rsid w:val="1D652941"/>
    <w:rsid w:val="1D85546D"/>
    <w:rsid w:val="1D932FCD"/>
    <w:rsid w:val="1DF44B8F"/>
    <w:rsid w:val="1E4B7669"/>
    <w:rsid w:val="1E604889"/>
    <w:rsid w:val="1EEB6A69"/>
    <w:rsid w:val="1EFF341A"/>
    <w:rsid w:val="1F8B4890"/>
    <w:rsid w:val="20092076"/>
    <w:rsid w:val="208D54D0"/>
    <w:rsid w:val="20B816B5"/>
    <w:rsid w:val="20B8228C"/>
    <w:rsid w:val="20F3093F"/>
    <w:rsid w:val="21882590"/>
    <w:rsid w:val="21CC77A3"/>
    <w:rsid w:val="21E5472C"/>
    <w:rsid w:val="22466CD2"/>
    <w:rsid w:val="22587BD5"/>
    <w:rsid w:val="225D171F"/>
    <w:rsid w:val="22635E59"/>
    <w:rsid w:val="226904A8"/>
    <w:rsid w:val="22A31FDF"/>
    <w:rsid w:val="22B61C24"/>
    <w:rsid w:val="232C638A"/>
    <w:rsid w:val="238575A0"/>
    <w:rsid w:val="23EA3491"/>
    <w:rsid w:val="240C1E1E"/>
    <w:rsid w:val="241400FA"/>
    <w:rsid w:val="243840DE"/>
    <w:rsid w:val="244C6135"/>
    <w:rsid w:val="245C67FB"/>
    <w:rsid w:val="245D0C12"/>
    <w:rsid w:val="257C28E9"/>
    <w:rsid w:val="25B238C4"/>
    <w:rsid w:val="25E35426"/>
    <w:rsid w:val="25EE7927"/>
    <w:rsid w:val="25F941B3"/>
    <w:rsid w:val="260A39B5"/>
    <w:rsid w:val="26946721"/>
    <w:rsid w:val="2698534D"/>
    <w:rsid w:val="26AB224D"/>
    <w:rsid w:val="26BA4352"/>
    <w:rsid w:val="27FC7294"/>
    <w:rsid w:val="284205F9"/>
    <w:rsid w:val="284A31B1"/>
    <w:rsid w:val="28575942"/>
    <w:rsid w:val="287D54C0"/>
    <w:rsid w:val="28C02900"/>
    <w:rsid w:val="29274B33"/>
    <w:rsid w:val="295273BE"/>
    <w:rsid w:val="29587E00"/>
    <w:rsid w:val="2B794137"/>
    <w:rsid w:val="2BC912F4"/>
    <w:rsid w:val="2C4A7095"/>
    <w:rsid w:val="2D7B022F"/>
    <w:rsid w:val="2DAB525C"/>
    <w:rsid w:val="2DAC3772"/>
    <w:rsid w:val="2DBF7586"/>
    <w:rsid w:val="2DC62250"/>
    <w:rsid w:val="2DE200F6"/>
    <w:rsid w:val="2EE25AFC"/>
    <w:rsid w:val="2F2A0981"/>
    <w:rsid w:val="2F4E7340"/>
    <w:rsid w:val="30467F61"/>
    <w:rsid w:val="30A27B53"/>
    <w:rsid w:val="31147FF9"/>
    <w:rsid w:val="315835DC"/>
    <w:rsid w:val="31A41E31"/>
    <w:rsid w:val="31DC1568"/>
    <w:rsid w:val="324E00CB"/>
    <w:rsid w:val="331A03AD"/>
    <w:rsid w:val="33C037C6"/>
    <w:rsid w:val="33F168EF"/>
    <w:rsid w:val="34022E3F"/>
    <w:rsid w:val="34134FB8"/>
    <w:rsid w:val="34842668"/>
    <w:rsid w:val="34B903DF"/>
    <w:rsid w:val="34E25875"/>
    <w:rsid w:val="34E301C5"/>
    <w:rsid w:val="350F7820"/>
    <w:rsid w:val="357A3277"/>
    <w:rsid w:val="357B17C5"/>
    <w:rsid w:val="35896F15"/>
    <w:rsid w:val="364C65E1"/>
    <w:rsid w:val="368B2F62"/>
    <w:rsid w:val="36BD3735"/>
    <w:rsid w:val="36FC3A2A"/>
    <w:rsid w:val="37060F75"/>
    <w:rsid w:val="374D7436"/>
    <w:rsid w:val="375430B8"/>
    <w:rsid w:val="379139B8"/>
    <w:rsid w:val="37FC4E17"/>
    <w:rsid w:val="38487848"/>
    <w:rsid w:val="393671C3"/>
    <w:rsid w:val="39572032"/>
    <w:rsid w:val="3A0B38AA"/>
    <w:rsid w:val="3A141DDF"/>
    <w:rsid w:val="3A296230"/>
    <w:rsid w:val="3A3A31B1"/>
    <w:rsid w:val="3A916DA7"/>
    <w:rsid w:val="3AA70155"/>
    <w:rsid w:val="3AF8182E"/>
    <w:rsid w:val="3B1276D1"/>
    <w:rsid w:val="3B8465F8"/>
    <w:rsid w:val="3B9B5089"/>
    <w:rsid w:val="3BAB4D14"/>
    <w:rsid w:val="3C1A6F40"/>
    <w:rsid w:val="3E560D78"/>
    <w:rsid w:val="3E7D1571"/>
    <w:rsid w:val="3EA475D3"/>
    <w:rsid w:val="3EA62BA7"/>
    <w:rsid w:val="3EAA6F57"/>
    <w:rsid w:val="3F483B2A"/>
    <w:rsid w:val="400907F7"/>
    <w:rsid w:val="400E2C48"/>
    <w:rsid w:val="407D3647"/>
    <w:rsid w:val="409E06B6"/>
    <w:rsid w:val="40AA64C8"/>
    <w:rsid w:val="40F55644"/>
    <w:rsid w:val="40F86750"/>
    <w:rsid w:val="42184663"/>
    <w:rsid w:val="423573FC"/>
    <w:rsid w:val="428E52AC"/>
    <w:rsid w:val="434B3F4C"/>
    <w:rsid w:val="43FA3B38"/>
    <w:rsid w:val="443D139E"/>
    <w:rsid w:val="44691BA4"/>
    <w:rsid w:val="44C87EBB"/>
    <w:rsid w:val="453D10B4"/>
    <w:rsid w:val="454E4C66"/>
    <w:rsid w:val="456D0316"/>
    <w:rsid w:val="456F1FFA"/>
    <w:rsid w:val="457D0D3F"/>
    <w:rsid w:val="45C461A3"/>
    <w:rsid w:val="45E17FBE"/>
    <w:rsid w:val="47026333"/>
    <w:rsid w:val="471B6D39"/>
    <w:rsid w:val="481B23A6"/>
    <w:rsid w:val="4865385A"/>
    <w:rsid w:val="48952158"/>
    <w:rsid w:val="49275B61"/>
    <w:rsid w:val="49B80F8C"/>
    <w:rsid w:val="4A2A5AEF"/>
    <w:rsid w:val="4A3C11DF"/>
    <w:rsid w:val="4A8E0FA9"/>
    <w:rsid w:val="4B412150"/>
    <w:rsid w:val="4B4475D2"/>
    <w:rsid w:val="4B863FDA"/>
    <w:rsid w:val="4BB538B0"/>
    <w:rsid w:val="4C725D54"/>
    <w:rsid w:val="4CA01CE9"/>
    <w:rsid w:val="4CB4226D"/>
    <w:rsid w:val="4CEC31C3"/>
    <w:rsid w:val="4D1A7D3F"/>
    <w:rsid w:val="4D2A1E90"/>
    <w:rsid w:val="4D4C41BD"/>
    <w:rsid w:val="4DC70962"/>
    <w:rsid w:val="4DF74F55"/>
    <w:rsid w:val="4E113B74"/>
    <w:rsid w:val="4E971861"/>
    <w:rsid w:val="4EB4057D"/>
    <w:rsid w:val="4EBF674E"/>
    <w:rsid w:val="4EEC649F"/>
    <w:rsid w:val="4FBF5689"/>
    <w:rsid w:val="4FCC3F86"/>
    <w:rsid w:val="500478F6"/>
    <w:rsid w:val="50222B16"/>
    <w:rsid w:val="507765E7"/>
    <w:rsid w:val="508B5BEF"/>
    <w:rsid w:val="51932FAD"/>
    <w:rsid w:val="51BA2C30"/>
    <w:rsid w:val="5203731B"/>
    <w:rsid w:val="52532B6F"/>
    <w:rsid w:val="526130AB"/>
    <w:rsid w:val="52A03D6E"/>
    <w:rsid w:val="533E362E"/>
    <w:rsid w:val="535D4774"/>
    <w:rsid w:val="53793E2D"/>
    <w:rsid w:val="53BD316C"/>
    <w:rsid w:val="53C31A07"/>
    <w:rsid w:val="540939FA"/>
    <w:rsid w:val="54387CDA"/>
    <w:rsid w:val="54CD67DF"/>
    <w:rsid w:val="551560C9"/>
    <w:rsid w:val="551D6620"/>
    <w:rsid w:val="55561B67"/>
    <w:rsid w:val="5591471D"/>
    <w:rsid w:val="55A60F1A"/>
    <w:rsid w:val="55E55EBD"/>
    <w:rsid w:val="55FC59E8"/>
    <w:rsid w:val="56293C1C"/>
    <w:rsid w:val="562B62A8"/>
    <w:rsid w:val="56814CAC"/>
    <w:rsid w:val="56BA0FDC"/>
    <w:rsid w:val="56D75C0D"/>
    <w:rsid w:val="56E23464"/>
    <w:rsid w:val="56F919CE"/>
    <w:rsid w:val="56FC2A2B"/>
    <w:rsid w:val="57002D81"/>
    <w:rsid w:val="574D42D8"/>
    <w:rsid w:val="575A032F"/>
    <w:rsid w:val="575B5AF9"/>
    <w:rsid w:val="57765DA1"/>
    <w:rsid w:val="57CF7C99"/>
    <w:rsid w:val="58743269"/>
    <w:rsid w:val="58CF1A0E"/>
    <w:rsid w:val="58D94A37"/>
    <w:rsid w:val="59233F27"/>
    <w:rsid w:val="594A2AEB"/>
    <w:rsid w:val="59505B2C"/>
    <w:rsid w:val="5971378C"/>
    <w:rsid w:val="59873916"/>
    <w:rsid w:val="59CD1026"/>
    <w:rsid w:val="59EC0167"/>
    <w:rsid w:val="59F24C67"/>
    <w:rsid w:val="5A355549"/>
    <w:rsid w:val="5A631490"/>
    <w:rsid w:val="5A7151E1"/>
    <w:rsid w:val="5A936268"/>
    <w:rsid w:val="5A956172"/>
    <w:rsid w:val="5AB0697E"/>
    <w:rsid w:val="5AB07484"/>
    <w:rsid w:val="5AC91004"/>
    <w:rsid w:val="5AE96017"/>
    <w:rsid w:val="5AEA1B87"/>
    <w:rsid w:val="5B220B07"/>
    <w:rsid w:val="5B604ECA"/>
    <w:rsid w:val="5BF9025A"/>
    <w:rsid w:val="5C09667F"/>
    <w:rsid w:val="5C641904"/>
    <w:rsid w:val="5C6C79F2"/>
    <w:rsid w:val="5C8E1728"/>
    <w:rsid w:val="5CE727F2"/>
    <w:rsid w:val="5D161D17"/>
    <w:rsid w:val="5DA34889"/>
    <w:rsid w:val="5E2002BE"/>
    <w:rsid w:val="5E5D0BCB"/>
    <w:rsid w:val="5E9A1E1F"/>
    <w:rsid w:val="5EBB1543"/>
    <w:rsid w:val="5ECB2B63"/>
    <w:rsid w:val="5F047298"/>
    <w:rsid w:val="5F43739F"/>
    <w:rsid w:val="5F5E19C2"/>
    <w:rsid w:val="5F8829B2"/>
    <w:rsid w:val="604D3D30"/>
    <w:rsid w:val="60594A34"/>
    <w:rsid w:val="60A17B22"/>
    <w:rsid w:val="60BD382F"/>
    <w:rsid w:val="60EE534C"/>
    <w:rsid w:val="616E610C"/>
    <w:rsid w:val="61785B38"/>
    <w:rsid w:val="617A6CA6"/>
    <w:rsid w:val="61CC7D0C"/>
    <w:rsid w:val="62664512"/>
    <w:rsid w:val="627102B3"/>
    <w:rsid w:val="62815D5C"/>
    <w:rsid w:val="62DA43AA"/>
    <w:rsid w:val="62E76EEC"/>
    <w:rsid w:val="63275522"/>
    <w:rsid w:val="632B6C01"/>
    <w:rsid w:val="636D0BBA"/>
    <w:rsid w:val="63775FD4"/>
    <w:rsid w:val="63B93411"/>
    <w:rsid w:val="642E7DA8"/>
    <w:rsid w:val="6560588A"/>
    <w:rsid w:val="65990D3F"/>
    <w:rsid w:val="65B159D9"/>
    <w:rsid w:val="65C04B6C"/>
    <w:rsid w:val="65E638B9"/>
    <w:rsid w:val="65EE1C40"/>
    <w:rsid w:val="668A2779"/>
    <w:rsid w:val="66A53F63"/>
    <w:rsid w:val="66AE3090"/>
    <w:rsid w:val="66B83DA3"/>
    <w:rsid w:val="66B87A68"/>
    <w:rsid w:val="66B97BFC"/>
    <w:rsid w:val="66D50D28"/>
    <w:rsid w:val="66E4436D"/>
    <w:rsid w:val="672C2379"/>
    <w:rsid w:val="674C0AD9"/>
    <w:rsid w:val="67A847F5"/>
    <w:rsid w:val="67E22141"/>
    <w:rsid w:val="683D13F8"/>
    <w:rsid w:val="685E0399"/>
    <w:rsid w:val="68760B83"/>
    <w:rsid w:val="69815CA8"/>
    <w:rsid w:val="69E37C3F"/>
    <w:rsid w:val="69F45F2A"/>
    <w:rsid w:val="6A114F5F"/>
    <w:rsid w:val="6A1F2950"/>
    <w:rsid w:val="6A262FDC"/>
    <w:rsid w:val="6A615EE7"/>
    <w:rsid w:val="6AE219EA"/>
    <w:rsid w:val="6B4D72A6"/>
    <w:rsid w:val="6B614621"/>
    <w:rsid w:val="6B83418B"/>
    <w:rsid w:val="6BD65B22"/>
    <w:rsid w:val="6C084DC9"/>
    <w:rsid w:val="6C8D2FC3"/>
    <w:rsid w:val="6CD627DE"/>
    <w:rsid w:val="6D4905F5"/>
    <w:rsid w:val="6D7A5D0F"/>
    <w:rsid w:val="6DBD155E"/>
    <w:rsid w:val="6DDB6D0C"/>
    <w:rsid w:val="6E600263"/>
    <w:rsid w:val="6EED1C82"/>
    <w:rsid w:val="6F327766"/>
    <w:rsid w:val="6F455518"/>
    <w:rsid w:val="70473925"/>
    <w:rsid w:val="70A03947"/>
    <w:rsid w:val="70B60C0F"/>
    <w:rsid w:val="70F2429C"/>
    <w:rsid w:val="7100775A"/>
    <w:rsid w:val="71233EF6"/>
    <w:rsid w:val="714F620C"/>
    <w:rsid w:val="71875F86"/>
    <w:rsid w:val="72016415"/>
    <w:rsid w:val="725208C4"/>
    <w:rsid w:val="72977BEA"/>
    <w:rsid w:val="72CA497D"/>
    <w:rsid w:val="731B6F28"/>
    <w:rsid w:val="73583422"/>
    <w:rsid w:val="73CE5A22"/>
    <w:rsid w:val="743711A9"/>
    <w:rsid w:val="743770A5"/>
    <w:rsid w:val="74472745"/>
    <w:rsid w:val="74496B8E"/>
    <w:rsid w:val="74BF27B2"/>
    <w:rsid w:val="74CB18BE"/>
    <w:rsid w:val="74D15B58"/>
    <w:rsid w:val="74EE139A"/>
    <w:rsid w:val="74EF12B8"/>
    <w:rsid w:val="74F81FF6"/>
    <w:rsid w:val="75B60D91"/>
    <w:rsid w:val="75C249ED"/>
    <w:rsid w:val="76870FA1"/>
    <w:rsid w:val="76DD48B7"/>
    <w:rsid w:val="76F53E77"/>
    <w:rsid w:val="773A75E0"/>
    <w:rsid w:val="77B1488E"/>
    <w:rsid w:val="77B20D74"/>
    <w:rsid w:val="77C005BD"/>
    <w:rsid w:val="78254549"/>
    <w:rsid w:val="78974327"/>
    <w:rsid w:val="78B64D6D"/>
    <w:rsid w:val="78CA10FB"/>
    <w:rsid w:val="793C4D8E"/>
    <w:rsid w:val="794E47ED"/>
    <w:rsid w:val="79E97CAA"/>
    <w:rsid w:val="7ADE2C3C"/>
    <w:rsid w:val="7B5E56A8"/>
    <w:rsid w:val="7BC50DCF"/>
    <w:rsid w:val="7BEC758C"/>
    <w:rsid w:val="7BF11FBA"/>
    <w:rsid w:val="7C3F0C09"/>
    <w:rsid w:val="7C7E3607"/>
    <w:rsid w:val="7D4320EE"/>
    <w:rsid w:val="7D7C383B"/>
    <w:rsid w:val="7E481102"/>
    <w:rsid w:val="7E7C03C7"/>
    <w:rsid w:val="7E9519CE"/>
    <w:rsid w:val="7EBC27DF"/>
  </w:rsids>
  <w:docVars>
    <w:docVar w:name="commondata" w:val="eyJoZGlkIjoiNTQ2MWE0MDE2OGE3ZWQ0M2I5NDcyOGY2NzBkODQ1Nz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0" w:qFormat="1"/>
    <w:lsdException w:name="heading 6" w:uiPriority="9"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lsdException w:name="header" w:semiHidden="0" w:uiPriority="0" w:unhideWhenUsed="0" w:qFormat="1"/>
    <w:lsdException w:name="footer" w:semiHidden="0" w:unhideWhenUsed="0" w:qFormat="1"/>
    <w:lsdException w:name="index heading" w:semiHidden="0" w:uiPriority="0" w:unhideWhenUsed="0"/>
    <w:lsdException w:name="caption" w:semiHidden="0" w:uiPriority="35"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qFormat="1"/>
    <w:lsdException w:name="Body Text Indent 2" w:semiHidden="0" w:uiPriority="0" w:unhideWhenUsed="0"/>
    <w:lsdException w:name="Body Text Indent 3" w:semiHidden="0" w:uiPriority="0" w:unhideWhenUsed="0"/>
    <w:lsdException w:name="Block Text" w:semiHidden="0" w:unhideWhenUsed="0" w:qFormat="1"/>
    <w:lsdException w:name="Hyperlink" w:semiHidden="0" w:uiPriority="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PlainText"/>
    <w:qFormat/>
    <w:rPr>
      <w:rFonts w:ascii="Times New Roman" w:eastAsia="宋体" w:hAnsi="Times New Roman" w:cs="Times New Roman"/>
      <w:sz w:val="21"/>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uiPriority w:val="9"/>
    <w:qFormat/>
    <w:pPr>
      <w:keepLines/>
      <w:widowControl w:val="0"/>
      <w:numPr>
        <w:ilvl w:val="1"/>
        <w:numId w:val="0"/>
      </w:numPr>
      <w:tabs>
        <w:tab w:val="left" w:pos="425"/>
      </w:tabs>
      <w:snapToGrid w:val="0"/>
      <w:spacing w:before="360" w:beforeLines="150" w:after="120" w:afterLines="50" w:line="416" w:lineRule="auto"/>
      <w:jc w:val="center"/>
      <w:outlineLvl w:val="1"/>
    </w:pPr>
    <w:rPr>
      <w:rFonts w:ascii="宋体" w:hAnsi="宋体"/>
      <w:b/>
      <w:bCs/>
      <w:kern w:val="28"/>
      <w:sz w:val="28"/>
      <w:szCs w:val="28"/>
    </w:rPr>
  </w:style>
  <w:style w:type="paragraph" w:styleId="Heading3">
    <w:name w:val="heading 3"/>
    <w:basedOn w:val="Normal"/>
    <w:next w:val="Normal"/>
    <w:uiPriority w:val="9"/>
    <w:qFormat/>
    <w:pPr>
      <w:widowControl w:val="0"/>
      <w:spacing w:line="360" w:lineRule="auto"/>
      <w:jc w:val="both"/>
      <w:outlineLvl w:val="2"/>
    </w:pPr>
    <w:rPr>
      <w:rFonts w:ascii="宋体"/>
    </w:rPr>
  </w:style>
  <w:style w:type="paragraph" w:styleId="Heading4">
    <w:name w:val="heading 4"/>
    <w:basedOn w:val="Normal"/>
    <w:next w:val="Normal"/>
    <w:qFormat/>
    <w:pPr>
      <w:keepNext/>
      <w:keepLines/>
      <w:numPr>
        <w:ilvl w:val="3"/>
        <w:numId w:val="1"/>
      </w:numPr>
      <w:spacing w:before="280" w:after="290" w:line="376" w:lineRule="auto"/>
      <w:outlineLvl w:val="3"/>
    </w:pPr>
    <w:rPr>
      <w:rFonts w:ascii="Arial" w:eastAsia="黑体" w:hAnsi="Arial"/>
      <w:b/>
      <w:bCs/>
      <w:sz w:val="28"/>
      <w:szCs w:val="28"/>
    </w:rPr>
  </w:style>
  <w:style w:type="paragraph" w:styleId="Heading6">
    <w:name w:val="heading 6"/>
    <w:basedOn w:val="Normal"/>
    <w:next w:val="Normal"/>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PlainText">
    <w:name w:val="Plain Text"/>
    <w:basedOn w:val="Normal"/>
    <w:next w:val="Normal"/>
    <w:qFormat/>
    <w:pPr>
      <w:widowControl w:val="0"/>
      <w:jc w:val="both"/>
    </w:pPr>
    <w:rPr>
      <w:rFonts w:ascii="宋体" w:hAnsi="Courier New"/>
      <w:kern w:val="2"/>
    </w:rPr>
  </w:style>
  <w:style w:type="paragraph" w:styleId="NormalIndent">
    <w:name w:val="Normal Indent"/>
    <w:basedOn w:val="Normal"/>
    <w:next w:val="Normal"/>
    <w:qFormat/>
    <w:pPr>
      <w:ind w:firstLine="420"/>
    </w:pPr>
    <w:rPr>
      <w:szCs w:val="20"/>
    </w:rPr>
  </w:style>
  <w:style w:type="paragraph" w:styleId="Caption">
    <w:name w:val="caption"/>
    <w:basedOn w:val="Normal"/>
    <w:next w:val="Normal"/>
    <w:uiPriority w:val="35"/>
    <w:qFormat/>
    <w:pPr>
      <w:widowControl w:val="0"/>
      <w:spacing w:before="156" w:beforeLines="50" w:after="156" w:afterLines="50"/>
      <w:ind w:left="422" w:hanging="422" w:hangingChars="200"/>
    </w:pPr>
    <w:rPr>
      <w:rFonts w:ascii="宋体" w:hAnsi="宋体"/>
      <w:b/>
      <w:bCs/>
      <w:kern w:val="2"/>
    </w:rPr>
  </w:style>
  <w:style w:type="paragraph" w:styleId="BodyText3">
    <w:name w:val="Body Text 3"/>
    <w:basedOn w:val="Normal"/>
    <w:qFormat/>
    <w:pPr>
      <w:widowControl w:val="0"/>
      <w:spacing w:after="120"/>
      <w:jc w:val="both"/>
    </w:pPr>
    <w:rPr>
      <w:rFonts w:ascii="宋体" w:hAnsi="宋体"/>
      <w:kern w:val="2"/>
      <w:sz w:val="16"/>
    </w:rPr>
  </w:style>
  <w:style w:type="paragraph" w:styleId="BodyText">
    <w:name w:val="Body Text"/>
    <w:basedOn w:val="Normal"/>
    <w:next w:val="Normal"/>
    <w:qFormat/>
    <w:pPr>
      <w:spacing w:line="360" w:lineRule="auto"/>
    </w:pPr>
  </w:style>
  <w:style w:type="paragraph" w:styleId="BodyTextIndent">
    <w:name w:val="Body Text Indent"/>
    <w:basedOn w:val="Normal"/>
    <w:qFormat/>
    <w:pPr>
      <w:spacing w:after="120"/>
      <w:ind w:left="420" w:leftChars="200"/>
    </w:pPr>
  </w:style>
  <w:style w:type="paragraph" w:styleId="BlockText">
    <w:name w:val="Block Text"/>
    <w:basedOn w:val="Normal"/>
    <w:uiPriority w:val="99"/>
    <w:qFormat/>
    <w:pPr>
      <w:widowControl/>
      <w:autoSpaceDE w:val="0"/>
      <w:autoSpaceDN w:val="0"/>
      <w:spacing w:line="360" w:lineRule="auto"/>
      <w:ind w:left="315" w:right="-53" w:leftChars="150"/>
      <w:textAlignment w:val="bottom"/>
    </w:pPr>
    <w:rPr>
      <w:szCs w:val="20"/>
    </w:rPr>
  </w:style>
  <w:style w:type="paragraph" w:styleId="Footer">
    <w:name w:val="footer"/>
    <w:basedOn w:val="Normal"/>
    <w:uiPriority w:val="99"/>
    <w:qFormat/>
    <w:pPr>
      <w:tabs>
        <w:tab w:val="center" w:pos="4153"/>
        <w:tab w:val="right" w:pos="8306"/>
      </w:tabs>
      <w:snapToGrid w:val="0"/>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rPr>
      <w:sz w:val="24"/>
    </w:rPr>
  </w:style>
  <w:style w:type="paragraph" w:styleId="Title">
    <w:name w:val="Title"/>
    <w:basedOn w:val="Normal"/>
    <w:next w:val="Normal"/>
    <w:qFormat/>
    <w:pPr>
      <w:spacing w:before="240" w:after="60"/>
      <w:ind w:firstLine="643" w:firstLineChars="200"/>
      <w:jc w:val="center"/>
      <w:outlineLvl w:val="0"/>
    </w:pPr>
    <w:rPr>
      <w:rFonts w:eastAsia="仿宋"/>
      <w:b/>
      <w:bCs/>
      <w:szCs w:val="32"/>
    </w:rPr>
  </w:style>
  <w:style w:type="paragraph" w:styleId="BodyTextFirstIndent">
    <w:name w:val="Body Text First Indent"/>
    <w:basedOn w:val="BodyText"/>
    <w:uiPriority w:val="99"/>
    <w:qFormat/>
    <w:pPr>
      <w:ind w:firstLine="420" w:firstLineChars="100"/>
    </w:pPr>
  </w:style>
  <w:style w:type="character" w:styleId="FollowedHyperlink">
    <w:name w:val="FollowedHyperlink"/>
    <w:basedOn w:val="DefaultParagraphFont"/>
    <w:qFormat/>
    <w:rPr>
      <w:color w:val="800080"/>
      <w:u w:val="single"/>
    </w:rPr>
  </w:style>
  <w:style w:type="character" w:styleId="Hyperlink">
    <w:name w:val="Hyperlink"/>
    <w:basedOn w:val="DefaultParagraphFont"/>
    <w:qFormat/>
    <w:rPr>
      <w:color w:val="0000FF"/>
      <w:u w:val="single"/>
    </w:rPr>
  </w:style>
  <w:style w:type="paragraph" w:customStyle="1" w:styleId="Style3">
    <w:name w:val="_Style 3"/>
    <w:uiPriority w:val="1"/>
    <w:qFormat/>
    <w:pPr>
      <w:widowControl w:val="0"/>
      <w:jc w:val="both"/>
    </w:pPr>
    <w:rPr>
      <w:rFonts w:ascii="Times New Roman" w:eastAsia="宋体" w:hAnsi="Times New Roman" w:cs="Times New Roman"/>
      <w:kern w:val="2"/>
      <w:sz w:val="21"/>
      <w:szCs w:val="22"/>
      <w:lang w:val="en-US" w:eastAsia="zh-CN" w:bidi="ar-SA"/>
    </w:rPr>
  </w:style>
  <w:style w:type="paragraph" w:customStyle="1" w:styleId="TableParagraph">
    <w:name w:val="Table Paragraph"/>
    <w:basedOn w:val="Normal"/>
    <w:uiPriority w:val="1"/>
    <w:qFormat/>
    <w:pPr>
      <w:jc w:val="center"/>
    </w:pPr>
    <w:rPr>
      <w:rFonts w:ascii="宋体" w:eastAsia="宋体" w:hAnsi="宋体" w:cs="宋体"/>
      <w:lang w:val="zh-CN" w:eastAsia="zh-CN" w:bidi="zh-CN"/>
    </w:rPr>
  </w:style>
  <w:style w:type="paragraph" w:customStyle="1" w:styleId="CM78">
    <w:name w:val="CM78"/>
    <w:basedOn w:val="Default"/>
    <w:next w:val="Default"/>
    <w:uiPriority w:val="99"/>
    <w:qFormat/>
    <w:rPr>
      <w:rFonts w:ascii="仿宋_GB2312" w:eastAsia="仿宋_GB2312" w:hAnsi="Calibri" w:cs="Times New Roman"/>
      <w:color w:val="auto"/>
      <w:sz w:val="24"/>
    </w:rPr>
  </w:style>
  <w:style w:type="paragraph" w:customStyle="1" w:styleId="Default">
    <w:name w:val="Default"/>
    <w:qFormat/>
    <w:pPr>
      <w:widowControl w:val="0"/>
      <w:autoSpaceDE w:val="0"/>
      <w:autoSpaceDN w:val="0"/>
      <w:adjustRightInd w:val="0"/>
    </w:pPr>
    <w:rPr>
      <w:rFonts w:ascii="PMingLiU" w:eastAsia="PMingLiU" w:hAnsi="PMingLiU" w:cs="Times New Roman"/>
      <w:color w:val="000000"/>
      <w:sz w:val="22"/>
      <w:szCs w:val="24"/>
      <w:lang w:val="en-US" w:eastAsia="zh-CN" w:bidi="ar-SA"/>
    </w:rPr>
  </w:style>
  <w:style w:type="paragraph" w:customStyle="1" w:styleId="CM17">
    <w:name w:val="CM17"/>
    <w:basedOn w:val="Default"/>
    <w:next w:val="Default"/>
    <w:uiPriority w:val="99"/>
    <w:qFormat/>
    <w:pPr>
      <w:spacing w:line="546" w:lineRule="atLeast"/>
    </w:pPr>
    <w:rPr>
      <w:rFonts w:ascii="仿宋_GB2312" w:eastAsia="仿宋_GB2312" w:hAnsi="Calibri" w:cs="Times New Roman"/>
      <w:color w:val="auto"/>
      <w:sz w:val="24"/>
    </w:rPr>
  </w:style>
  <w:style w:type="paragraph" w:customStyle="1" w:styleId="CM5">
    <w:name w:val="CM5"/>
    <w:basedOn w:val="Default"/>
    <w:next w:val="Default"/>
    <w:uiPriority w:val="99"/>
    <w:qFormat/>
    <w:pPr>
      <w:spacing w:line="546" w:lineRule="atLeast"/>
    </w:pPr>
    <w:rPr>
      <w:rFonts w:ascii="仿宋_GB2312" w:eastAsia="仿宋_GB2312" w:hAnsi="Calibri" w:cs="Times New Roman"/>
      <w:color w:val="auto"/>
      <w:sz w:val="24"/>
    </w:rPr>
  </w:style>
  <w:style w:type="paragraph" w:customStyle="1" w:styleId="CM50">
    <w:name w:val="CM50"/>
    <w:basedOn w:val="Default"/>
    <w:next w:val="Default"/>
    <w:uiPriority w:val="99"/>
    <w:qFormat/>
    <w:pPr>
      <w:spacing w:line="546" w:lineRule="atLeast"/>
    </w:pPr>
    <w:rPr>
      <w:rFonts w:ascii="仿宋_GB2312" w:eastAsia="仿宋_GB2312" w:hAnsi="Calibri" w:cs="Times New Roman"/>
      <w:color w:val="auto"/>
      <w:sz w:val="24"/>
    </w:rPr>
  </w:style>
  <w:style w:type="paragraph" w:customStyle="1" w:styleId="CM60">
    <w:name w:val="CM60"/>
    <w:basedOn w:val="Default"/>
    <w:next w:val="Default"/>
    <w:uiPriority w:val="99"/>
    <w:qFormat/>
    <w:pPr>
      <w:spacing w:line="546" w:lineRule="atLeast"/>
    </w:pPr>
    <w:rPr>
      <w:rFonts w:ascii="仿宋_GB2312" w:eastAsia="仿宋_GB2312" w:hAnsi="Calibri" w:cs="Times New Roman"/>
      <w:color w:val="auto"/>
      <w:sz w:val="24"/>
    </w:rPr>
  </w:style>
  <w:style w:type="paragraph" w:customStyle="1" w:styleId="CM16">
    <w:name w:val="CM16"/>
    <w:basedOn w:val="Default"/>
    <w:next w:val="Default"/>
    <w:uiPriority w:val="99"/>
    <w:qFormat/>
    <w:pPr>
      <w:spacing w:line="546" w:lineRule="atLeast"/>
    </w:pPr>
    <w:rPr>
      <w:rFonts w:ascii="仿宋_GB2312" w:eastAsia="仿宋_GB2312" w:hAnsi="Calibri" w:cs="Times New Roman"/>
      <w:color w:val="auto"/>
      <w:sz w:val="24"/>
    </w:rPr>
  </w:style>
  <w:style w:type="paragraph" w:customStyle="1" w:styleId="CM62">
    <w:name w:val="CM62"/>
    <w:basedOn w:val="Default"/>
    <w:next w:val="Default"/>
    <w:uiPriority w:val="99"/>
    <w:qFormat/>
    <w:pPr>
      <w:spacing w:line="546" w:lineRule="atLeast"/>
    </w:pPr>
    <w:rPr>
      <w:rFonts w:ascii="仿宋_GB2312" w:eastAsia="仿宋_GB2312" w:hAnsi="Calibri" w:cs="Times New Roman"/>
      <w:color w:val="auto"/>
      <w:sz w:val="24"/>
    </w:rPr>
  </w:style>
  <w:style w:type="paragraph" w:customStyle="1" w:styleId="CM61">
    <w:name w:val="CM61"/>
    <w:basedOn w:val="Default"/>
    <w:next w:val="Default"/>
    <w:uiPriority w:val="99"/>
    <w:qFormat/>
    <w:pPr>
      <w:spacing w:line="546" w:lineRule="atLeast"/>
    </w:pPr>
    <w:rPr>
      <w:rFonts w:ascii="仿宋_GB2312" w:eastAsia="仿宋_GB2312" w:hAnsi="Calibri" w:cs="Times New Roman"/>
      <w:color w:val="auto"/>
      <w:sz w:val="24"/>
    </w:rPr>
  </w:style>
  <w:style w:type="paragraph" w:customStyle="1" w:styleId="a">
    <w:name w:val="表格文字"/>
    <w:basedOn w:val="Normal"/>
    <w:qFormat/>
    <w:pPr>
      <w:widowControl w:val="0"/>
      <w:spacing w:before="25" w:after="25" w:line="300" w:lineRule="auto"/>
      <w:jc w:val="both"/>
    </w:pPr>
    <w:rPr>
      <w:rFonts w:ascii="宋体" w:hAnsi="宋体"/>
      <w:spacing w:val="10"/>
      <w:sz w:val="24"/>
    </w:rPr>
  </w:style>
  <w:style w:type="paragraph" w:customStyle="1" w:styleId="4">
    <w:name w:val="题注4"/>
    <w:basedOn w:val="Normal"/>
    <w:next w:val="Caption"/>
    <w:qFormat/>
    <w:pPr>
      <w:widowControl w:val="0"/>
      <w:ind w:left="-132" w:right="-105" w:hanging="2" w:leftChars="-64" w:rightChars="-50"/>
      <w:jc w:val="center"/>
    </w:pPr>
    <w:rPr>
      <w:b/>
      <w:color w:val="FF0000"/>
      <w:kern w:val="2"/>
      <w:szCs w:val="21"/>
      <w:lang w:val="en-GB"/>
    </w:rPr>
  </w:style>
  <w:style w:type="paragraph" w:customStyle="1" w:styleId="a0">
    <w:name w:val="图"/>
    <w:basedOn w:val="Normal"/>
    <w:qFormat/>
    <w:pPr>
      <w:keepNext/>
      <w:widowControl w:val="0"/>
      <w:adjustRightInd w:val="0"/>
      <w:spacing w:before="60" w:after="60" w:line="300" w:lineRule="auto"/>
      <w:jc w:val="center"/>
      <w:textAlignment w:val="center"/>
    </w:pPr>
    <w:rPr>
      <w:snapToGrid w:val="0"/>
      <w:spacing w:val="20"/>
      <w:sz w:val="24"/>
    </w:rPr>
  </w:style>
  <w:style w:type="character" w:customStyle="1" w:styleId="pass-clearbtn-verifycode">
    <w:name w:val="pass-clearbtn-verifycode"/>
    <w:basedOn w:val="DefaultParagraphFont"/>
    <w:qFormat/>
  </w:style>
  <w:style w:type="character" w:customStyle="1" w:styleId="tang-pass-qrcode-list-bj">
    <w:name w:val="tang-pass-qrcode-list-bj"/>
    <w:basedOn w:val="DefaultParagraphFont"/>
    <w:qFormat/>
  </w:style>
  <w:style w:type="character" w:customStyle="1" w:styleId="tang-pass-qrcode-list-aq">
    <w:name w:val="tang-pass-qrcode-list-aq"/>
    <w:basedOn w:val="DefaultParagraphFont"/>
    <w:qFormat/>
  </w:style>
  <w:style w:type="character" w:customStyle="1" w:styleId="open">
    <w:name w:val="open"/>
    <w:basedOn w:val="DefaultParagraphFont"/>
    <w:qFormat/>
  </w:style>
  <w:style w:type="character" w:customStyle="1" w:styleId="pass-clearbtn-smsverifycode">
    <w:name w:val="pass-clearbtn-smsverifycode"/>
    <w:basedOn w:val="DefaultParagraphFont"/>
    <w:qFormat/>
  </w:style>
  <w:style w:type="character" w:customStyle="1" w:styleId="pass-placeholder-smsverifycode">
    <w:name w:val="pass-placeholder-smsverifycode"/>
    <w:basedOn w:val="DefaultParagraphFont"/>
    <w:qFormat/>
  </w:style>
  <w:style w:type="character" w:customStyle="1" w:styleId="pass-placeholder2">
    <w:name w:val="pass-placeholder2"/>
    <w:basedOn w:val="DefaultParagraphFont"/>
    <w:qFormat/>
  </w:style>
  <w:style w:type="character" w:customStyle="1" w:styleId="tang-pass-qrcode-list-gx">
    <w:name w:val="tang-pass-qrcode-list-gx"/>
    <w:basedOn w:val="DefaultParagraphFont"/>
    <w:qFormat/>
  </w:style>
  <w:style w:type="character" w:customStyle="1" w:styleId="pass-item-timer2">
    <w:name w:val="pass-item-timer2"/>
    <w:basedOn w:val="DefaultParagraphFont"/>
    <w:qFormat/>
  </w:style>
  <w:style w:type="character" w:customStyle="1" w:styleId="pass-placeholder-smsphone">
    <w:name w:val="pass-placeholder-smsphone"/>
    <w:basedOn w:val="DefaultParagraphFont"/>
    <w:qFormat/>
  </w:style>
  <w:style w:type="character" w:customStyle="1" w:styleId="pass-item-time-timing2">
    <w:name w:val="pass-item-time-timing2"/>
    <w:basedOn w:val="DefaultParagraphFont"/>
    <w:qFormat/>
  </w:style>
  <w:style w:type="paragraph" w:customStyle="1" w:styleId="Other1">
    <w:name w:val="Other|1"/>
    <w:basedOn w:val="Normal"/>
    <w:qFormat/>
    <w:pPr>
      <w:spacing w:line="480" w:lineRule="auto"/>
    </w:pPr>
    <w:rPr>
      <w:rFonts w:ascii="宋体" w:eastAsia="宋体" w:hAnsi="宋体" w:cs="宋体"/>
      <w:sz w:val="20"/>
      <w:szCs w:val="20"/>
      <w:lang w:val="zh-TW" w:eastAsia="zh-TW" w:bidi="zh-TW"/>
    </w:rPr>
  </w:style>
  <w:style w:type="paragraph" w:customStyle="1" w:styleId="Tablecaption1">
    <w:name w:val="Table caption|1"/>
    <w:basedOn w:val="Normal"/>
    <w:qFormat/>
    <w:rPr>
      <w:rFonts w:ascii="宋体" w:eastAsia="宋体" w:hAnsi="宋体" w:cs="宋体"/>
      <w:sz w:val="20"/>
      <w:szCs w:val="20"/>
      <w:lang w:val="zh-TW" w:eastAsia="zh-TW" w:bidi="zh-TW"/>
    </w:rPr>
  </w:style>
  <w:style w:type="paragraph" w:customStyle="1" w:styleId="Bodytext1">
    <w:name w:val="Body text|1"/>
    <w:basedOn w:val="Normal"/>
    <w:qFormat/>
    <w:pPr>
      <w:spacing w:line="480" w:lineRule="auto"/>
    </w:pPr>
    <w:rPr>
      <w:rFonts w:ascii="宋体" w:eastAsia="宋体" w:hAnsi="宋体" w:cs="宋体"/>
      <w:sz w:val="20"/>
      <w:szCs w:val="20"/>
      <w:lang w:val="zh-TW" w:eastAsia="zh-TW" w:bidi="zh-TW"/>
    </w:rPr>
  </w:style>
  <w:style w:type="character" w:customStyle="1" w:styleId="font01">
    <w:name w:val="font01"/>
    <w:basedOn w:val="DefaultParagraphFont"/>
    <w:qFormat/>
    <w:rPr>
      <w:rFonts w:ascii="宋体" w:eastAsia="宋体" w:hAnsi="宋体" w:cs="宋体" w:hint="eastAsia"/>
      <w:color w:val="000000"/>
      <w:sz w:val="24"/>
      <w:szCs w:val="24"/>
      <w:u w:val="none"/>
    </w:rPr>
  </w:style>
  <w:style w:type="paragraph" w:styleId="ListParagraph">
    <w:name w:val="List Paragraph"/>
    <w:basedOn w:val="Normal"/>
    <w:uiPriority w:val="34"/>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26.xml" /><Relationship Id="rId101" Type="http://schemas.openxmlformats.org/officeDocument/2006/relationships/header" Target="header52.xml" /><Relationship Id="rId102" Type="http://schemas.openxmlformats.org/officeDocument/2006/relationships/header" Target="header53.xml" /><Relationship Id="rId103" Type="http://schemas.openxmlformats.org/officeDocument/2006/relationships/footer" Target="footer27.xml" /><Relationship Id="rId104" Type="http://schemas.openxmlformats.org/officeDocument/2006/relationships/header" Target="header54.xml" /><Relationship Id="rId105" Type="http://schemas.openxmlformats.org/officeDocument/2006/relationships/header" Target="header55.xml" /><Relationship Id="rId106" Type="http://schemas.openxmlformats.org/officeDocument/2006/relationships/footer" Target="footer28.xml" /><Relationship Id="rId107" Type="http://schemas.openxmlformats.org/officeDocument/2006/relationships/header" Target="header56.xml" /><Relationship Id="rId108" Type="http://schemas.openxmlformats.org/officeDocument/2006/relationships/header" Target="header57.xml" /><Relationship Id="rId109" Type="http://schemas.openxmlformats.org/officeDocument/2006/relationships/footer" Target="footer29.xml" /><Relationship Id="rId11" Type="http://schemas.openxmlformats.org/officeDocument/2006/relationships/header" Target="header5.xml" /><Relationship Id="rId110" Type="http://schemas.openxmlformats.org/officeDocument/2006/relationships/header" Target="header58.xml" /><Relationship Id="rId111" Type="http://schemas.openxmlformats.org/officeDocument/2006/relationships/header" Target="header59.xml" /><Relationship Id="rId112" Type="http://schemas.openxmlformats.org/officeDocument/2006/relationships/footer" Target="footer30.xml" /><Relationship Id="rId113" Type="http://schemas.openxmlformats.org/officeDocument/2006/relationships/header" Target="header60.xml" /><Relationship Id="rId114" Type="http://schemas.openxmlformats.org/officeDocument/2006/relationships/header" Target="header61.xml" /><Relationship Id="rId115" Type="http://schemas.openxmlformats.org/officeDocument/2006/relationships/footer" Target="footer31.xml" /><Relationship Id="rId116" Type="http://schemas.openxmlformats.org/officeDocument/2006/relationships/header" Target="header62.xml" /><Relationship Id="rId117" Type="http://schemas.openxmlformats.org/officeDocument/2006/relationships/header" Target="header63.xml" /><Relationship Id="rId118" Type="http://schemas.openxmlformats.org/officeDocument/2006/relationships/footer" Target="footer32.xml" /><Relationship Id="rId119" Type="http://schemas.openxmlformats.org/officeDocument/2006/relationships/header" Target="header64.xml" /><Relationship Id="rId12" Type="http://schemas.openxmlformats.org/officeDocument/2006/relationships/footer" Target="footer3.xml" /><Relationship Id="rId120" Type="http://schemas.openxmlformats.org/officeDocument/2006/relationships/header" Target="header65.xml" /><Relationship Id="rId121" Type="http://schemas.openxmlformats.org/officeDocument/2006/relationships/footer" Target="footer33.xml" /><Relationship Id="rId122" Type="http://schemas.openxmlformats.org/officeDocument/2006/relationships/header" Target="header66.xml" /><Relationship Id="rId123" Type="http://schemas.openxmlformats.org/officeDocument/2006/relationships/hyperlink" Target="https://d.book118.com/516130211113010053" TargetMode="External" /><Relationship Id="rId124" Type="http://schemas.openxmlformats.org/officeDocument/2006/relationships/header" Target="header67.xml" /><Relationship Id="rId125" Type="http://schemas.openxmlformats.org/officeDocument/2006/relationships/footer" Target="footer34.xml" /><Relationship Id="rId126" Type="http://schemas.openxmlformats.org/officeDocument/2006/relationships/header" Target="header68.xml" /><Relationship Id="rId127" Type="http://schemas.openxmlformats.org/officeDocument/2006/relationships/theme" Target="theme/theme1.xml" /><Relationship Id="rId128" Type="http://schemas.openxmlformats.org/officeDocument/2006/relationships/numbering" Target="numbering.xml" /><Relationship Id="rId129" Type="http://schemas.openxmlformats.org/officeDocument/2006/relationships/styles" Target="styles.xml" /><Relationship Id="rId13" Type="http://schemas.openxmlformats.org/officeDocument/2006/relationships/header" Target="header6.xml" /><Relationship Id="rId130" Type="http://schemas.microsoft.com/office/2011/relationships/people" Target="people.xml" /><Relationship Id="rId14" Type="http://schemas.openxmlformats.org/officeDocument/2006/relationships/header" Target="header7.xml" /><Relationship Id="rId15" Type="http://schemas.openxmlformats.org/officeDocument/2006/relationships/footer" Target="footer4.xml" /><Relationship Id="rId16" Type="http://schemas.openxmlformats.org/officeDocument/2006/relationships/header" Target="header8.xml" /><Relationship Id="rId17" Type="http://schemas.openxmlformats.org/officeDocument/2006/relationships/header" Target="header9.xml" /><Relationship Id="rId18" Type="http://schemas.openxmlformats.org/officeDocument/2006/relationships/footer" Target="footer5.xml"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header" Target="header11.xml" /><Relationship Id="rId21" Type="http://schemas.openxmlformats.org/officeDocument/2006/relationships/footer" Target="footer6.xml" /><Relationship Id="rId22" Type="http://schemas.openxmlformats.org/officeDocument/2006/relationships/header" Target="header12.xml" /><Relationship Id="rId23" Type="http://schemas.openxmlformats.org/officeDocument/2006/relationships/header" Target="header13.xml" /><Relationship Id="rId24" Type="http://schemas.openxmlformats.org/officeDocument/2006/relationships/footer" Target="footer7.xml" /><Relationship Id="rId25" Type="http://schemas.openxmlformats.org/officeDocument/2006/relationships/header" Target="header14.xml" /><Relationship Id="rId26" Type="http://schemas.openxmlformats.org/officeDocument/2006/relationships/image" Target="media/image2.png" /><Relationship Id="rId27" Type="http://schemas.openxmlformats.org/officeDocument/2006/relationships/image" Target="media/image3.png" /><Relationship Id="rId28" Type="http://schemas.openxmlformats.org/officeDocument/2006/relationships/header" Target="header15.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header" Target="header16.xml" /><Relationship Id="rId31" Type="http://schemas.openxmlformats.org/officeDocument/2006/relationships/image" Target="media/image4.png" /><Relationship Id="rId32" Type="http://schemas.openxmlformats.org/officeDocument/2006/relationships/image" Target="media/image5.png" /><Relationship Id="rId33" Type="http://schemas.openxmlformats.org/officeDocument/2006/relationships/image" Target="media/image6.png" /><Relationship Id="rId34" Type="http://schemas.openxmlformats.org/officeDocument/2006/relationships/header" Target="header17.xml" /><Relationship Id="rId35" Type="http://schemas.openxmlformats.org/officeDocument/2006/relationships/footer" Target="footer9.xml" /><Relationship Id="rId36" Type="http://schemas.openxmlformats.org/officeDocument/2006/relationships/header" Target="header18.xml" /><Relationship Id="rId37" Type="http://schemas.openxmlformats.org/officeDocument/2006/relationships/image" Target="media/image7.png" /><Relationship Id="rId38" Type="http://schemas.openxmlformats.org/officeDocument/2006/relationships/image" Target="media/image8.png" /><Relationship Id="rId39" Type="http://schemas.openxmlformats.org/officeDocument/2006/relationships/image" Target="media/image9.png" /><Relationship Id="rId4" Type="http://schemas.openxmlformats.org/officeDocument/2006/relationships/customXml" Target="../customXml/item1.xml" /><Relationship Id="rId40" Type="http://schemas.openxmlformats.org/officeDocument/2006/relationships/image" Target="media/image10.png" /><Relationship Id="rId41" Type="http://schemas.openxmlformats.org/officeDocument/2006/relationships/image" Target="media/image11.png" /><Relationship Id="rId42" Type="http://schemas.openxmlformats.org/officeDocument/2006/relationships/header" Target="header19.xml" /><Relationship Id="rId43" Type="http://schemas.openxmlformats.org/officeDocument/2006/relationships/footer" Target="footer10.xml" /><Relationship Id="rId44" Type="http://schemas.openxmlformats.org/officeDocument/2006/relationships/header" Target="header20.xml" /><Relationship Id="rId45" Type="http://schemas.openxmlformats.org/officeDocument/2006/relationships/image" Target="media/image12.png" /><Relationship Id="rId46" Type="http://schemas.openxmlformats.org/officeDocument/2006/relationships/image" Target="media/image13.png" /><Relationship Id="rId47" Type="http://schemas.openxmlformats.org/officeDocument/2006/relationships/image" Target="media/image14.png" /><Relationship Id="rId48" Type="http://schemas.openxmlformats.org/officeDocument/2006/relationships/image" Target="media/image15.png" /><Relationship Id="rId49" Type="http://schemas.openxmlformats.org/officeDocument/2006/relationships/image" Target="media/image16.jpeg" /><Relationship Id="rId5" Type="http://schemas.openxmlformats.org/officeDocument/2006/relationships/header" Target="header1.xml" /><Relationship Id="rId50" Type="http://schemas.openxmlformats.org/officeDocument/2006/relationships/header" Target="header21.xml" /><Relationship Id="rId51" Type="http://schemas.openxmlformats.org/officeDocument/2006/relationships/footer" Target="footer11.xml" /><Relationship Id="rId52" Type="http://schemas.openxmlformats.org/officeDocument/2006/relationships/header" Target="header22.xml" /><Relationship Id="rId53" Type="http://schemas.openxmlformats.org/officeDocument/2006/relationships/image" Target="media/image17.png" /><Relationship Id="rId54" Type="http://schemas.openxmlformats.org/officeDocument/2006/relationships/image" Target="media/image18.jpeg" /><Relationship Id="rId55" Type="http://schemas.openxmlformats.org/officeDocument/2006/relationships/image" Target="media/image19.png" /><Relationship Id="rId56" Type="http://schemas.openxmlformats.org/officeDocument/2006/relationships/image" Target="media/image20.png" /><Relationship Id="rId57" Type="http://schemas.openxmlformats.org/officeDocument/2006/relationships/header" Target="header23.xml" /><Relationship Id="rId58" Type="http://schemas.openxmlformats.org/officeDocument/2006/relationships/footer" Target="footer12.xml" /><Relationship Id="rId59" Type="http://schemas.openxmlformats.org/officeDocument/2006/relationships/header" Target="header24.xml" /><Relationship Id="rId6" Type="http://schemas.openxmlformats.org/officeDocument/2006/relationships/footer" Target="footer1.xml" /><Relationship Id="rId60" Type="http://schemas.openxmlformats.org/officeDocument/2006/relationships/header" Target="header25.xml" /><Relationship Id="rId61" Type="http://schemas.openxmlformats.org/officeDocument/2006/relationships/footer" Target="footer13.xml" /><Relationship Id="rId62" Type="http://schemas.openxmlformats.org/officeDocument/2006/relationships/header" Target="header26.xml" /><Relationship Id="rId63" Type="http://schemas.openxmlformats.org/officeDocument/2006/relationships/header" Target="header27.xml" /><Relationship Id="rId64" Type="http://schemas.openxmlformats.org/officeDocument/2006/relationships/footer" Target="footer14.xml" /><Relationship Id="rId65" Type="http://schemas.openxmlformats.org/officeDocument/2006/relationships/header" Target="header28.xml" /><Relationship Id="rId66" Type="http://schemas.openxmlformats.org/officeDocument/2006/relationships/header" Target="header29.xml" /><Relationship Id="rId67" Type="http://schemas.openxmlformats.org/officeDocument/2006/relationships/footer" Target="footer15.xml" /><Relationship Id="rId68" Type="http://schemas.openxmlformats.org/officeDocument/2006/relationships/header" Target="header30.xml" /><Relationship Id="rId69" Type="http://schemas.openxmlformats.org/officeDocument/2006/relationships/header" Target="header31.xml" /><Relationship Id="rId7" Type="http://schemas.openxmlformats.org/officeDocument/2006/relationships/header" Target="header2.xml" /><Relationship Id="rId70" Type="http://schemas.openxmlformats.org/officeDocument/2006/relationships/footer" Target="footer16.xml" /><Relationship Id="rId71" Type="http://schemas.openxmlformats.org/officeDocument/2006/relationships/header" Target="header32.xml" /><Relationship Id="rId72" Type="http://schemas.openxmlformats.org/officeDocument/2006/relationships/header" Target="header33.xml" /><Relationship Id="rId73" Type="http://schemas.openxmlformats.org/officeDocument/2006/relationships/footer" Target="footer17.xml" /><Relationship Id="rId74" Type="http://schemas.openxmlformats.org/officeDocument/2006/relationships/header" Target="header34.xml" /><Relationship Id="rId75" Type="http://schemas.openxmlformats.org/officeDocument/2006/relationships/header" Target="header35.xml" /><Relationship Id="rId76" Type="http://schemas.openxmlformats.org/officeDocument/2006/relationships/footer" Target="footer18.xml" /><Relationship Id="rId77" Type="http://schemas.openxmlformats.org/officeDocument/2006/relationships/header" Target="header36.xml" /><Relationship Id="rId78" Type="http://schemas.openxmlformats.org/officeDocument/2006/relationships/header" Target="header37.xml" /><Relationship Id="rId79" Type="http://schemas.openxmlformats.org/officeDocument/2006/relationships/footer" Target="footer19.xml" /><Relationship Id="rId8" Type="http://schemas.openxmlformats.org/officeDocument/2006/relationships/header" Target="header3.xml" /><Relationship Id="rId80" Type="http://schemas.openxmlformats.org/officeDocument/2006/relationships/header" Target="header38.xml" /><Relationship Id="rId81" Type="http://schemas.openxmlformats.org/officeDocument/2006/relationships/header" Target="header39.xml" /><Relationship Id="rId82" Type="http://schemas.openxmlformats.org/officeDocument/2006/relationships/footer" Target="footer20.xml" /><Relationship Id="rId83" Type="http://schemas.openxmlformats.org/officeDocument/2006/relationships/header" Target="header40.xml" /><Relationship Id="rId84" Type="http://schemas.openxmlformats.org/officeDocument/2006/relationships/header" Target="header41.xml" /><Relationship Id="rId85" Type="http://schemas.openxmlformats.org/officeDocument/2006/relationships/footer" Target="footer21.xml" /><Relationship Id="rId86" Type="http://schemas.openxmlformats.org/officeDocument/2006/relationships/header" Target="header42.xml" /><Relationship Id="rId87" Type="http://schemas.openxmlformats.org/officeDocument/2006/relationships/header" Target="header43.xml" /><Relationship Id="rId88" Type="http://schemas.openxmlformats.org/officeDocument/2006/relationships/footer" Target="footer22.xml" /><Relationship Id="rId89" Type="http://schemas.openxmlformats.org/officeDocument/2006/relationships/header" Target="header44.xml" /><Relationship Id="rId9" Type="http://schemas.openxmlformats.org/officeDocument/2006/relationships/footer" Target="footer2.xml" /><Relationship Id="rId90" Type="http://schemas.openxmlformats.org/officeDocument/2006/relationships/header" Target="header45.xml" /><Relationship Id="rId91" Type="http://schemas.openxmlformats.org/officeDocument/2006/relationships/footer" Target="footer23.xml" /><Relationship Id="rId92" Type="http://schemas.openxmlformats.org/officeDocument/2006/relationships/header" Target="header46.xml" /><Relationship Id="rId93" Type="http://schemas.openxmlformats.org/officeDocument/2006/relationships/header" Target="header47.xml" /><Relationship Id="rId94" Type="http://schemas.openxmlformats.org/officeDocument/2006/relationships/footer" Target="footer24.xml" /><Relationship Id="rId95" Type="http://schemas.openxmlformats.org/officeDocument/2006/relationships/header" Target="header48.xml" /><Relationship Id="rId96" Type="http://schemas.openxmlformats.org/officeDocument/2006/relationships/header" Target="header49.xml" /><Relationship Id="rId97" Type="http://schemas.openxmlformats.org/officeDocument/2006/relationships/footer" Target="footer25.xml" /><Relationship Id="rId98" Type="http://schemas.openxmlformats.org/officeDocument/2006/relationships/header" Target="header50.xml" /><Relationship Id="rId99" Type="http://schemas.openxmlformats.org/officeDocument/2006/relationships/header" Target="header51.xml" /></Relationships>
</file>

<file path=word/_rels/header5.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1.doc" /></Relationships>
</file>

<file path=word/_rels/header7.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2.doc" /></Relationships>
</file>

<file path=word/_rels/header9.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3.doc" /></Relationships>
</file>

<file path=word/_rels/header11.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4.doc" /></Relationships>
</file>

<file path=word/_rels/header13.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5.doc" /></Relationships>
</file>

<file path=word/_rels/header15.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6.doc" /></Relationships>
</file>

<file path=word/_rels/header17.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7.doc" /></Relationships>
</file>

<file path=word/_rels/header19.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8.doc" /></Relationships>
</file>

<file path=word/_rels/header21.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9.doc" /></Relationships>
</file>

<file path=word/_rels/header23.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10.doc" /></Relationships>
</file>

<file path=word/_rels/header25.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11.doc" /></Relationships>
</file>

<file path=word/_rels/header27.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12.doc" /></Relationships>
</file>

<file path=word/_rels/header29.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13.doc" /></Relationships>
</file>

<file path=word/_rels/header31.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14.doc" /></Relationships>
</file>

<file path=word/_rels/header33.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15.doc" /></Relationships>
</file>

<file path=word/_rels/header35.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16.doc" /></Relationships>
</file>

<file path=word/_rels/header37.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17.doc" /></Relationships>
</file>

<file path=word/_rels/header39.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18.doc" /></Relationships>
</file>

<file path=word/_rels/header41.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19.doc" /></Relationships>
</file>

<file path=word/_rels/header43.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20.doc" /></Relationships>
</file>

<file path=word/_rels/header45.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21.doc" /></Relationships>
</file>

<file path=word/_rels/header47.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22.doc" /></Relationships>
</file>

<file path=word/_rels/header49.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23.doc" /></Relationships>
</file>

<file path=word/_rels/header51.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24.doc" /></Relationships>
</file>

<file path=word/_rels/header53.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25.doc" /></Relationships>
</file>

<file path=word/_rels/header55.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26.doc" /></Relationships>
</file>

<file path=word/_rels/header57.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27.doc" /></Relationships>
</file>

<file path=word/_rels/header59.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28.doc" /></Relationships>
</file>

<file path=word/_rels/header61.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29.doc" /></Relationships>
</file>

<file path=word/_rels/header63.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30.doc" /></Relationships>
</file>

<file path=word/_rels/header65.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31.doc" /></Relationships>
</file>

<file path=word/_rels/header67.xml.rels><?xml version="1.0" encoding="utf-8" standalone="yes"?><Relationships xmlns="http://schemas.openxmlformats.org/package/2006/relationships"><Relationship Id="rId1" Type="http://schemas.openxmlformats.org/officeDocument/2006/relationships/image" Target="media/image1.emf" /><Relationship Id="rId2" Type="http://schemas.openxmlformats.org/officeDocument/2006/relationships/oleObject" Target="embeddings/oleObject32.doc"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36</Pages>
  <Words>34972</Words>
  <Characters>36543</Characters>
  <Application>Microsoft Office Word</Application>
  <DocSecurity>0</DocSecurity>
  <Lines>0</Lines>
  <Paragraphs>0</Paragraphs>
  <ScaleCrop>false</ScaleCrop>
  <Company/>
  <LinksUpToDate>false</LinksUpToDate>
  <CharactersWithSpaces>37684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_恚o</dc:creator>
  <cp:lastModifiedBy>Administrator</cp:lastModifiedBy>
  <cp:revision>1</cp:revision>
  <cp:lastPrinted>2022-08-12T06:31:00Z</cp:lastPrinted>
  <dcterms:created xsi:type="dcterms:W3CDTF">2020-04-05T13:03:00Z</dcterms:created>
  <dcterms:modified xsi:type="dcterms:W3CDTF">2022-08-12T07:18:05Z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023DBCF2C12E4D4CA537AF005B61059B</vt:lpwstr>
  </property>
  <property fmtid="{D5CDD505-2E9C-101B-9397-08002B2CF9AE}" pid="3" name="KSOProductBuildVer">
    <vt:lpwstr>2052-11.1.0.12302</vt:lpwstr>
  </property>
</Properties>
</file>