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水杨酸锌改性树脂(无碳复写纸显色剂)项目规划设计方案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4" w:history="1">
        <w:r>
          <w:rPr>
            <w:rFonts w:ascii="仿宋" w:eastAsia="仿宋" w:hAnsi="仿宋" w:cs="仿宋" w:hint="eastAsia"/>
            <w:lang w:eastAsia="zh-CN"/>
          </w:rPr>
          <w:t>概论</w:t>
        </w:r>
        <w:r>
          <w:tab/>
        </w:r>
        <w:r>
          <w:fldChar w:fldCharType="begin"/>
        </w:r>
        <w:r>
          <w:instrText xml:space="preserve"> PAGEREF _Toc15554 \h </w:instrText>
        </w:r>
        <w:r>
          <w:fldChar w:fldCharType="separate"/>
        </w:r>
        <w:r>
          <w:t>3</w:t>
        </w:r>
        <w:r>
          <w:fldChar w:fldCharType="end"/>
        </w:r>
      </w:hyperlink>
    </w:p>
    <w:p>
      <w:pPr>
        <w:pStyle w:val="TOC1"/>
        <w:tabs>
          <w:tab w:val="right" w:leader="dot" w:pos="8306"/>
        </w:tabs>
      </w:pPr>
      <w:hyperlink w:anchor="_Toc14204" w:history="1">
        <w:r>
          <w:rPr>
            <w:rFonts w:ascii="仿宋" w:eastAsia="仿宋" w:hAnsi="仿宋" w:cs="仿宋" w:hint="eastAsia"/>
            <w:lang w:eastAsia="zh-CN"/>
          </w:rPr>
          <w:t>一、水杨酸锌改性树脂(无碳复写纸显色剂)项目建设背景及必要性分析</w:t>
        </w:r>
        <w:r>
          <w:tab/>
        </w:r>
        <w:r>
          <w:fldChar w:fldCharType="begin"/>
        </w:r>
        <w:r>
          <w:instrText xml:space="preserve"> PAGEREF _Toc14204 \h </w:instrText>
        </w:r>
        <w:r>
          <w:fldChar w:fldCharType="separate"/>
        </w:r>
        <w:r>
          <w:t>3</w:t>
        </w:r>
        <w:r>
          <w:fldChar w:fldCharType="end"/>
        </w:r>
      </w:hyperlink>
    </w:p>
    <w:p>
      <w:pPr>
        <w:pStyle w:val="TOC2"/>
        <w:tabs>
          <w:tab w:val="right" w:leader="dot" w:pos="8306"/>
        </w:tabs>
      </w:pPr>
      <w:hyperlink w:anchor="_Toc21434" w:history="1">
        <w:r>
          <w:rPr>
            <w:rFonts w:ascii="仿宋" w:eastAsia="仿宋" w:hAnsi="仿宋" w:cs="仿宋" w:hint="eastAsia"/>
            <w:lang w:eastAsia="zh-CN"/>
          </w:rPr>
          <w:t>(一)、水杨酸锌改性树脂(无碳复写纸显色剂)项目背景分析</w:t>
        </w:r>
        <w:r>
          <w:tab/>
        </w:r>
        <w:r>
          <w:fldChar w:fldCharType="begin"/>
        </w:r>
        <w:r>
          <w:instrText xml:space="preserve"> PAGEREF _Toc21434 \h </w:instrText>
        </w:r>
        <w:r>
          <w:fldChar w:fldCharType="separate"/>
        </w:r>
        <w:r>
          <w:t>3</w:t>
        </w:r>
        <w:r>
          <w:fldChar w:fldCharType="end"/>
        </w:r>
      </w:hyperlink>
    </w:p>
    <w:p>
      <w:pPr>
        <w:pStyle w:val="TOC2"/>
        <w:tabs>
          <w:tab w:val="right" w:leader="dot" w:pos="8306"/>
        </w:tabs>
      </w:pPr>
      <w:hyperlink w:anchor="_Toc29232" w:history="1">
        <w:r>
          <w:rPr>
            <w:rFonts w:ascii="仿宋" w:eastAsia="仿宋" w:hAnsi="仿宋" w:cs="仿宋" w:hint="eastAsia"/>
            <w:lang w:eastAsia="zh-CN"/>
          </w:rPr>
          <w:t>(二)、水杨酸锌改性树脂(无碳复写纸显色剂)项目建设必要性分析</w:t>
        </w:r>
        <w:r>
          <w:tab/>
        </w:r>
        <w:r>
          <w:fldChar w:fldCharType="begin"/>
        </w:r>
        <w:r>
          <w:instrText xml:space="preserve"> PAGEREF _Toc29232 \h </w:instrText>
        </w:r>
        <w:r>
          <w:fldChar w:fldCharType="separate"/>
        </w:r>
        <w:r>
          <w:t>5</w:t>
        </w:r>
        <w:r>
          <w:fldChar w:fldCharType="end"/>
        </w:r>
      </w:hyperlink>
    </w:p>
    <w:p>
      <w:pPr>
        <w:pStyle w:val="TOC1"/>
        <w:tabs>
          <w:tab w:val="right" w:leader="dot" w:pos="8306"/>
        </w:tabs>
      </w:pPr>
      <w:hyperlink w:anchor="_Toc13299" w:history="1">
        <w:r>
          <w:rPr>
            <w:rFonts w:ascii="仿宋" w:eastAsia="仿宋" w:hAnsi="仿宋" w:cs="仿宋" w:hint="eastAsia"/>
            <w:lang w:eastAsia="zh-CN"/>
          </w:rPr>
          <w:t>二、水杨酸锌改性树脂(无碳复写纸显色剂)项目概论</w:t>
        </w:r>
        <w:r>
          <w:tab/>
        </w:r>
        <w:r>
          <w:fldChar w:fldCharType="begin"/>
        </w:r>
        <w:r>
          <w:instrText xml:space="preserve"> PAGEREF _Toc13299 \h </w:instrText>
        </w:r>
        <w:r>
          <w:fldChar w:fldCharType="separate"/>
        </w:r>
        <w:r>
          <w:t>7</w:t>
        </w:r>
        <w:r>
          <w:fldChar w:fldCharType="end"/>
        </w:r>
      </w:hyperlink>
    </w:p>
    <w:p>
      <w:pPr>
        <w:pStyle w:val="TOC2"/>
        <w:tabs>
          <w:tab w:val="right" w:leader="dot" w:pos="8306"/>
        </w:tabs>
      </w:pPr>
      <w:hyperlink w:anchor="_Toc29478" w:history="1">
        <w:r>
          <w:rPr>
            <w:rFonts w:ascii="仿宋" w:eastAsia="仿宋" w:hAnsi="仿宋" w:cs="仿宋" w:hint="eastAsia"/>
            <w:lang w:eastAsia="zh-CN"/>
          </w:rPr>
          <w:t>(一)、水杨酸锌改性树脂(无碳复写纸显色剂)项目概况</w:t>
        </w:r>
        <w:r>
          <w:tab/>
        </w:r>
        <w:r>
          <w:fldChar w:fldCharType="begin"/>
        </w:r>
        <w:r>
          <w:instrText xml:space="preserve"> PAGEREF _Toc29478 \h </w:instrText>
        </w:r>
        <w:r>
          <w:fldChar w:fldCharType="separate"/>
        </w:r>
        <w:r>
          <w:t>7</w:t>
        </w:r>
        <w:r>
          <w:fldChar w:fldCharType="end"/>
        </w:r>
      </w:hyperlink>
    </w:p>
    <w:p>
      <w:pPr>
        <w:pStyle w:val="TOC2"/>
        <w:tabs>
          <w:tab w:val="right" w:leader="dot" w:pos="8306"/>
        </w:tabs>
      </w:pPr>
      <w:hyperlink w:anchor="_Toc21574" w:history="1">
        <w:r>
          <w:rPr>
            <w:rFonts w:ascii="仿宋" w:eastAsia="仿宋" w:hAnsi="仿宋" w:cs="仿宋" w:hint="eastAsia"/>
            <w:lang w:eastAsia="zh-CN"/>
          </w:rPr>
          <w:t>(二)、水杨酸锌改性树脂(无碳复写纸显色剂)项目目标</w:t>
        </w:r>
        <w:r>
          <w:tab/>
        </w:r>
        <w:r>
          <w:fldChar w:fldCharType="begin"/>
        </w:r>
        <w:r>
          <w:instrText xml:space="preserve"> PAGEREF _Toc21574 \h </w:instrText>
        </w:r>
        <w:r>
          <w:fldChar w:fldCharType="separate"/>
        </w:r>
        <w:r>
          <w:t>10</w:t>
        </w:r>
        <w:r>
          <w:fldChar w:fldCharType="end"/>
        </w:r>
      </w:hyperlink>
    </w:p>
    <w:p>
      <w:pPr>
        <w:pStyle w:val="TOC2"/>
        <w:tabs>
          <w:tab w:val="right" w:leader="dot" w:pos="8306"/>
        </w:tabs>
      </w:pPr>
      <w:hyperlink w:anchor="_Toc4142" w:history="1">
        <w:r>
          <w:rPr>
            <w:rFonts w:ascii="仿宋" w:eastAsia="仿宋" w:hAnsi="仿宋" w:cs="仿宋" w:hint="eastAsia"/>
            <w:lang w:eastAsia="zh-CN"/>
          </w:rPr>
          <w:t>(三)、水杨酸锌改性树脂(无碳复写纸显色剂)项目提出的理由</w:t>
        </w:r>
        <w:r>
          <w:tab/>
        </w:r>
        <w:r>
          <w:fldChar w:fldCharType="begin"/>
        </w:r>
        <w:r>
          <w:instrText xml:space="preserve"> PAGEREF _Toc4142 \h </w:instrText>
        </w:r>
        <w:r>
          <w:fldChar w:fldCharType="separate"/>
        </w:r>
        <w:r>
          <w:t>11</w:t>
        </w:r>
        <w:r>
          <w:fldChar w:fldCharType="end"/>
        </w:r>
      </w:hyperlink>
    </w:p>
    <w:p>
      <w:pPr>
        <w:pStyle w:val="TOC2"/>
        <w:tabs>
          <w:tab w:val="right" w:leader="dot" w:pos="8306"/>
        </w:tabs>
      </w:pPr>
      <w:hyperlink w:anchor="_Toc19535" w:history="1">
        <w:r>
          <w:rPr>
            <w:rFonts w:ascii="仿宋" w:eastAsia="仿宋" w:hAnsi="仿宋" w:cs="仿宋" w:hint="eastAsia"/>
            <w:lang w:eastAsia="zh-CN"/>
          </w:rPr>
          <w:t>(四)、水杨酸锌改性树脂(无碳复写纸显色剂)项目意义</w:t>
        </w:r>
        <w:r>
          <w:tab/>
        </w:r>
        <w:r>
          <w:fldChar w:fldCharType="begin"/>
        </w:r>
        <w:r>
          <w:instrText xml:space="preserve"> PAGEREF _Toc19535 \h </w:instrText>
        </w:r>
        <w:r>
          <w:fldChar w:fldCharType="separate"/>
        </w:r>
        <w:r>
          <w:t>13</w:t>
        </w:r>
        <w:r>
          <w:fldChar w:fldCharType="end"/>
        </w:r>
      </w:hyperlink>
    </w:p>
    <w:p>
      <w:pPr>
        <w:pStyle w:val="TOC2"/>
        <w:tabs>
          <w:tab w:val="right" w:leader="dot" w:pos="8306"/>
        </w:tabs>
      </w:pPr>
      <w:hyperlink w:anchor="_Toc24400" w:history="1">
        <w:r>
          <w:rPr>
            <w:rFonts w:ascii="仿宋" w:eastAsia="仿宋" w:hAnsi="仿宋" w:cs="仿宋" w:hint="eastAsia"/>
            <w:lang w:eastAsia="zh-CN"/>
          </w:rPr>
          <w:t>(五)、水杨酸锌改性树脂(无碳复写纸显色剂)项目背景</w:t>
        </w:r>
        <w:r>
          <w:tab/>
        </w:r>
        <w:r>
          <w:fldChar w:fldCharType="begin"/>
        </w:r>
        <w:r>
          <w:instrText xml:space="preserve"> PAGEREF _Toc24400 \h </w:instrText>
        </w:r>
        <w:r>
          <w:fldChar w:fldCharType="separate"/>
        </w:r>
        <w:r>
          <w:t>14</w:t>
        </w:r>
        <w:r>
          <w:fldChar w:fldCharType="end"/>
        </w:r>
      </w:hyperlink>
    </w:p>
    <w:p>
      <w:pPr>
        <w:pStyle w:val="TOC1"/>
        <w:tabs>
          <w:tab w:val="right" w:leader="dot" w:pos="8306"/>
        </w:tabs>
      </w:pPr>
      <w:hyperlink w:anchor="_Toc19280" w:history="1">
        <w:r>
          <w:rPr>
            <w:rFonts w:ascii="仿宋" w:eastAsia="仿宋" w:hAnsi="仿宋" w:cs="仿宋" w:hint="eastAsia"/>
            <w:lang w:eastAsia="zh-CN"/>
          </w:rPr>
          <w:t>三、市场分析、调研</w:t>
        </w:r>
        <w:r>
          <w:tab/>
        </w:r>
        <w:r>
          <w:fldChar w:fldCharType="begin"/>
        </w:r>
        <w:r>
          <w:instrText xml:space="preserve"> PAGEREF _Toc19280 \h </w:instrText>
        </w:r>
        <w:r>
          <w:fldChar w:fldCharType="separate"/>
        </w:r>
        <w:r>
          <w:t>15</w:t>
        </w:r>
        <w:r>
          <w:fldChar w:fldCharType="end"/>
        </w:r>
      </w:hyperlink>
    </w:p>
    <w:p>
      <w:pPr>
        <w:pStyle w:val="TOC2"/>
        <w:tabs>
          <w:tab w:val="right" w:leader="dot" w:pos="8306"/>
        </w:tabs>
      </w:pPr>
      <w:hyperlink w:anchor="_Toc26300" w:history="1">
        <w:r>
          <w:rPr>
            <w:rFonts w:ascii="仿宋" w:eastAsia="仿宋" w:hAnsi="仿宋" w:cs="仿宋" w:hint="eastAsia"/>
            <w:lang w:eastAsia="zh-CN"/>
          </w:rPr>
          <w:t>(一)、水杨酸锌改性树脂(无碳复写纸显色剂)行业分析</w:t>
        </w:r>
        <w:r>
          <w:tab/>
        </w:r>
        <w:r>
          <w:fldChar w:fldCharType="begin"/>
        </w:r>
        <w:r>
          <w:instrText xml:space="preserve"> PAGEREF _Toc26300 \h </w:instrText>
        </w:r>
        <w:r>
          <w:fldChar w:fldCharType="separate"/>
        </w:r>
        <w:r>
          <w:t>15</w:t>
        </w:r>
        <w:r>
          <w:fldChar w:fldCharType="end"/>
        </w:r>
      </w:hyperlink>
    </w:p>
    <w:p>
      <w:pPr>
        <w:pStyle w:val="TOC2"/>
        <w:tabs>
          <w:tab w:val="right" w:leader="dot" w:pos="8306"/>
        </w:tabs>
      </w:pPr>
      <w:hyperlink w:anchor="_Toc19166" w:history="1">
        <w:r>
          <w:rPr>
            <w:rFonts w:ascii="仿宋" w:eastAsia="仿宋" w:hAnsi="仿宋" w:cs="仿宋" w:hint="eastAsia"/>
            <w:lang w:eastAsia="zh-CN"/>
          </w:rPr>
          <w:t>(二)、水杨酸锌改性树脂(无碳复写纸显色剂)市场分析预测</w:t>
        </w:r>
        <w:r>
          <w:tab/>
        </w:r>
        <w:r>
          <w:fldChar w:fldCharType="begin"/>
        </w:r>
        <w:r>
          <w:instrText xml:space="preserve"> PAGEREF _Toc19166 \h </w:instrText>
        </w:r>
        <w:r>
          <w:fldChar w:fldCharType="separate"/>
        </w:r>
        <w:r>
          <w:t>16</w:t>
        </w:r>
        <w:r>
          <w:fldChar w:fldCharType="end"/>
        </w:r>
      </w:hyperlink>
    </w:p>
    <w:p>
      <w:pPr>
        <w:pStyle w:val="TOC1"/>
        <w:tabs>
          <w:tab w:val="right" w:leader="dot" w:pos="8306"/>
        </w:tabs>
      </w:pPr>
      <w:hyperlink w:anchor="_Toc15665" w:history="1">
        <w:r>
          <w:rPr>
            <w:rFonts w:ascii="仿宋" w:eastAsia="仿宋" w:hAnsi="仿宋" w:cs="仿宋" w:hint="eastAsia"/>
            <w:lang w:eastAsia="zh-CN"/>
          </w:rPr>
          <w:t>四、水杨酸锌改性树脂(无碳复写纸显色剂)项目建设单位说明</w:t>
        </w:r>
        <w:r>
          <w:tab/>
        </w:r>
        <w:r>
          <w:fldChar w:fldCharType="begin"/>
        </w:r>
        <w:r>
          <w:instrText xml:space="preserve"> PAGEREF _Toc15665 \h </w:instrText>
        </w:r>
        <w:r>
          <w:fldChar w:fldCharType="separate"/>
        </w:r>
        <w:r>
          <w:t>17</w:t>
        </w:r>
        <w:r>
          <w:fldChar w:fldCharType="end"/>
        </w:r>
      </w:hyperlink>
    </w:p>
    <w:p>
      <w:pPr>
        <w:pStyle w:val="TOC2"/>
        <w:tabs>
          <w:tab w:val="right" w:leader="dot" w:pos="8306"/>
        </w:tabs>
      </w:pPr>
      <w:hyperlink w:anchor="_Toc1086" w:history="1">
        <w:r>
          <w:rPr>
            <w:rFonts w:ascii="仿宋" w:eastAsia="仿宋" w:hAnsi="仿宋" w:cs="仿宋" w:hint="eastAsia"/>
            <w:lang w:eastAsia="zh-CN"/>
          </w:rPr>
          <w:t>(一)、水杨酸锌改性树脂(无碳复写纸显色剂)项目承办单位基本情况</w:t>
        </w:r>
        <w:r>
          <w:tab/>
        </w:r>
        <w:r>
          <w:fldChar w:fldCharType="begin"/>
        </w:r>
        <w:r>
          <w:instrText xml:space="preserve"> PAGEREF _Toc1086 \h </w:instrText>
        </w:r>
        <w:r>
          <w:fldChar w:fldCharType="separate"/>
        </w:r>
        <w:r>
          <w:t>17</w:t>
        </w:r>
        <w:r>
          <w:fldChar w:fldCharType="end"/>
        </w:r>
      </w:hyperlink>
    </w:p>
    <w:p>
      <w:pPr>
        <w:pStyle w:val="TOC2"/>
        <w:tabs>
          <w:tab w:val="right" w:leader="dot" w:pos="8306"/>
        </w:tabs>
      </w:pPr>
      <w:hyperlink w:anchor="_Toc9848" w:history="1">
        <w:r>
          <w:rPr>
            <w:rFonts w:ascii="仿宋" w:eastAsia="仿宋" w:hAnsi="仿宋" w:cs="仿宋" w:hint="eastAsia"/>
            <w:lang w:eastAsia="zh-CN"/>
          </w:rPr>
          <w:t>(二)、公司经济效益分析</w:t>
        </w:r>
        <w:r>
          <w:tab/>
        </w:r>
        <w:r>
          <w:fldChar w:fldCharType="begin"/>
        </w:r>
        <w:r>
          <w:instrText xml:space="preserve"> PAGEREF _Toc9848 \h </w:instrText>
        </w:r>
        <w:r>
          <w:fldChar w:fldCharType="separate"/>
        </w:r>
        <w:r>
          <w:t>17</w:t>
        </w:r>
        <w:r>
          <w:fldChar w:fldCharType="end"/>
        </w:r>
      </w:hyperlink>
    </w:p>
    <w:p>
      <w:pPr>
        <w:pStyle w:val="TOC1"/>
        <w:tabs>
          <w:tab w:val="right" w:leader="dot" w:pos="8306"/>
        </w:tabs>
      </w:pPr>
      <w:hyperlink w:anchor="_Toc9562" w:history="1">
        <w:r>
          <w:rPr>
            <w:rFonts w:ascii="仿宋" w:eastAsia="仿宋" w:hAnsi="仿宋" w:cs="仿宋" w:hint="eastAsia"/>
            <w:lang w:eastAsia="zh-CN"/>
          </w:rPr>
          <w:t>五、水杨酸锌改性树脂(无碳复写纸显色剂)项目绩效评估</w:t>
        </w:r>
        <w:r>
          <w:tab/>
        </w:r>
        <w:r>
          <w:fldChar w:fldCharType="begin"/>
        </w:r>
        <w:r>
          <w:instrText xml:space="preserve"> PAGEREF _Toc9562 \h </w:instrText>
        </w:r>
        <w:r>
          <w:fldChar w:fldCharType="separate"/>
        </w:r>
        <w:r>
          <w:t>18</w:t>
        </w:r>
        <w:r>
          <w:fldChar w:fldCharType="end"/>
        </w:r>
      </w:hyperlink>
    </w:p>
    <w:p>
      <w:pPr>
        <w:pStyle w:val="TOC2"/>
        <w:tabs>
          <w:tab w:val="right" w:leader="dot" w:pos="8306"/>
        </w:tabs>
      </w:pPr>
      <w:hyperlink w:anchor="_Toc21742" w:history="1">
        <w:r>
          <w:rPr>
            <w:rFonts w:ascii="仿宋" w:eastAsia="仿宋" w:hAnsi="仿宋" w:cs="仿宋" w:hint="eastAsia"/>
            <w:lang w:eastAsia="zh-CN"/>
          </w:rPr>
          <w:t>(一)、绩效评估指标</w:t>
        </w:r>
        <w:r>
          <w:tab/>
        </w:r>
        <w:r>
          <w:fldChar w:fldCharType="begin"/>
        </w:r>
        <w:r>
          <w:instrText xml:space="preserve"> PAGEREF _Toc21742 \h </w:instrText>
        </w:r>
        <w:r>
          <w:fldChar w:fldCharType="separate"/>
        </w:r>
        <w:r>
          <w:t>18</w:t>
        </w:r>
        <w:r>
          <w:fldChar w:fldCharType="end"/>
        </w:r>
      </w:hyperlink>
    </w:p>
    <w:p>
      <w:pPr>
        <w:pStyle w:val="TOC2"/>
        <w:tabs>
          <w:tab w:val="right" w:leader="dot" w:pos="8306"/>
        </w:tabs>
      </w:pPr>
      <w:hyperlink w:anchor="_Toc27322" w:history="1">
        <w:r>
          <w:rPr>
            <w:rFonts w:ascii="仿宋" w:eastAsia="仿宋" w:hAnsi="仿宋" w:cs="仿宋" w:hint="eastAsia"/>
            <w:lang w:eastAsia="zh-CN"/>
          </w:rPr>
          <w:t>(二)、绩效评估方法</w:t>
        </w:r>
        <w:r>
          <w:tab/>
        </w:r>
        <w:r>
          <w:fldChar w:fldCharType="begin"/>
        </w:r>
        <w:r>
          <w:instrText xml:space="preserve"> PAGEREF _Toc27322 \h </w:instrText>
        </w:r>
        <w:r>
          <w:fldChar w:fldCharType="separate"/>
        </w:r>
        <w:r>
          <w:t>20</w:t>
        </w:r>
        <w:r>
          <w:fldChar w:fldCharType="end"/>
        </w:r>
      </w:hyperlink>
    </w:p>
    <w:p>
      <w:pPr>
        <w:pStyle w:val="TOC2"/>
        <w:tabs>
          <w:tab w:val="right" w:leader="dot" w:pos="8306"/>
        </w:tabs>
      </w:pPr>
      <w:hyperlink w:anchor="_Toc50" w:history="1">
        <w:r>
          <w:rPr>
            <w:rFonts w:ascii="仿宋" w:eastAsia="仿宋" w:hAnsi="仿宋" w:cs="仿宋" w:hint="eastAsia"/>
            <w:lang w:eastAsia="zh-CN"/>
          </w:rPr>
          <w:t>(三)、绩效评估周期</w:t>
        </w:r>
        <w:r>
          <w:tab/>
        </w:r>
        <w:r>
          <w:fldChar w:fldCharType="begin"/>
        </w:r>
        <w:r>
          <w:instrText xml:space="preserve"> PAGEREF _Toc50 \h </w:instrText>
        </w:r>
        <w:r>
          <w:fldChar w:fldCharType="separate"/>
        </w:r>
        <w:r>
          <w:t>21</w:t>
        </w:r>
        <w:r>
          <w:fldChar w:fldCharType="end"/>
        </w:r>
      </w:hyperlink>
    </w:p>
    <w:p>
      <w:pPr>
        <w:pStyle w:val="TOC1"/>
        <w:tabs>
          <w:tab w:val="right" w:leader="dot" w:pos="8306"/>
        </w:tabs>
      </w:pPr>
      <w:hyperlink w:anchor="_Toc11747" w:history="1">
        <w:r>
          <w:rPr>
            <w:rFonts w:ascii="仿宋" w:eastAsia="仿宋" w:hAnsi="仿宋" w:cs="仿宋" w:hint="eastAsia"/>
            <w:lang w:eastAsia="zh-CN"/>
          </w:rPr>
          <w:t>六、水杨酸锌改性树脂(无碳复写纸显色剂)项目可持续发展</w:t>
        </w:r>
        <w:r>
          <w:tab/>
        </w:r>
        <w:r>
          <w:fldChar w:fldCharType="begin"/>
        </w:r>
        <w:r>
          <w:instrText xml:space="preserve"> PAGEREF _Toc11747 \h </w:instrText>
        </w:r>
        <w:r>
          <w:fldChar w:fldCharType="separate"/>
        </w:r>
        <w:r>
          <w:t>22</w:t>
        </w:r>
        <w:r>
          <w:fldChar w:fldCharType="end"/>
        </w:r>
      </w:hyperlink>
    </w:p>
    <w:p>
      <w:pPr>
        <w:pStyle w:val="TOC2"/>
        <w:tabs>
          <w:tab w:val="right" w:leader="dot" w:pos="8306"/>
        </w:tabs>
      </w:pPr>
      <w:hyperlink w:anchor="_Toc17011" w:history="1">
        <w:r>
          <w:rPr>
            <w:rFonts w:ascii="仿宋" w:eastAsia="仿宋" w:hAnsi="仿宋" w:cs="仿宋" w:hint="eastAsia"/>
            <w:lang w:eastAsia="zh-CN"/>
          </w:rPr>
          <w:t>(一)、可持续战略与实践</w:t>
        </w:r>
        <w:r>
          <w:tab/>
        </w:r>
        <w:r>
          <w:fldChar w:fldCharType="begin"/>
        </w:r>
        <w:r>
          <w:instrText xml:space="preserve"> PAGEREF _Toc17011 \h </w:instrText>
        </w:r>
        <w:r>
          <w:fldChar w:fldCharType="separate"/>
        </w:r>
        <w:r>
          <w:t>22</w:t>
        </w:r>
        <w:r>
          <w:fldChar w:fldCharType="end"/>
        </w:r>
      </w:hyperlink>
    </w:p>
    <w:p>
      <w:pPr>
        <w:pStyle w:val="TOC2"/>
        <w:tabs>
          <w:tab w:val="right" w:leader="dot" w:pos="8306"/>
        </w:tabs>
      </w:pPr>
      <w:hyperlink w:anchor="_Toc13320" w:history="1">
        <w:r>
          <w:rPr>
            <w:rFonts w:ascii="仿宋" w:eastAsia="仿宋" w:hAnsi="仿宋" w:cs="仿宋" w:hint="eastAsia"/>
            <w:lang w:eastAsia="zh-CN"/>
          </w:rPr>
          <w:t>(二)、环保与社会责任</w:t>
        </w:r>
        <w:r>
          <w:tab/>
        </w:r>
        <w:r>
          <w:fldChar w:fldCharType="begin"/>
        </w:r>
        <w:r>
          <w:instrText xml:space="preserve"> PAGEREF _Toc13320 \h </w:instrText>
        </w:r>
        <w:r>
          <w:fldChar w:fldCharType="separate"/>
        </w:r>
        <w:r>
          <w:t>23</w:t>
        </w:r>
        <w:r>
          <w:fldChar w:fldCharType="end"/>
        </w:r>
      </w:hyperlink>
    </w:p>
    <w:p>
      <w:pPr>
        <w:pStyle w:val="TOC1"/>
        <w:tabs>
          <w:tab w:val="right" w:leader="dot" w:pos="8306"/>
        </w:tabs>
      </w:pPr>
      <w:hyperlink w:anchor="_Toc30959" w:history="1">
        <w:r>
          <w:rPr>
            <w:rFonts w:ascii="仿宋" w:eastAsia="仿宋" w:hAnsi="仿宋" w:cs="仿宋" w:hint="eastAsia"/>
            <w:lang w:eastAsia="zh-CN"/>
          </w:rPr>
          <w:t>七、水杨酸锌改性树脂(无碳复写纸显色剂)项目投资规划</w:t>
        </w:r>
        <w:r>
          <w:tab/>
        </w:r>
        <w:r>
          <w:fldChar w:fldCharType="begin"/>
        </w:r>
        <w:r>
          <w:instrText xml:space="preserve"> PAGEREF _Toc30959 \h </w:instrText>
        </w:r>
        <w:r>
          <w:fldChar w:fldCharType="separate"/>
        </w:r>
        <w:r>
          <w:t>25</w:t>
        </w:r>
        <w:r>
          <w:fldChar w:fldCharType="end"/>
        </w:r>
      </w:hyperlink>
    </w:p>
    <w:p>
      <w:pPr>
        <w:pStyle w:val="TOC2"/>
        <w:tabs>
          <w:tab w:val="right" w:leader="dot" w:pos="8306"/>
        </w:tabs>
      </w:pPr>
      <w:hyperlink w:anchor="_Toc9972" w:history="1">
        <w:r>
          <w:rPr>
            <w:rFonts w:ascii="仿宋" w:eastAsia="仿宋" w:hAnsi="仿宋" w:cs="仿宋" w:hint="eastAsia"/>
            <w:lang w:eastAsia="zh-CN"/>
          </w:rPr>
          <w:t>(一)、水杨酸锌改性树脂(无碳复写纸显色剂)项目总投资估算</w:t>
        </w:r>
        <w:r>
          <w:tab/>
        </w:r>
        <w:r>
          <w:fldChar w:fldCharType="begin"/>
        </w:r>
        <w:r>
          <w:instrText xml:space="preserve"> PAGEREF _Toc9972 \h </w:instrText>
        </w:r>
        <w:r>
          <w:fldChar w:fldCharType="separate"/>
        </w:r>
        <w:r>
          <w:t>25</w:t>
        </w:r>
        <w:r>
          <w:fldChar w:fldCharType="end"/>
        </w:r>
      </w:hyperlink>
    </w:p>
    <w:p>
      <w:pPr>
        <w:pStyle w:val="TOC2"/>
        <w:tabs>
          <w:tab w:val="right" w:leader="dot" w:pos="8306"/>
        </w:tabs>
      </w:pPr>
      <w:hyperlink w:anchor="_Toc2465" w:history="1">
        <w:r>
          <w:rPr>
            <w:rFonts w:ascii="仿宋" w:eastAsia="仿宋" w:hAnsi="仿宋" w:cs="仿宋" w:hint="eastAsia"/>
            <w:lang w:eastAsia="zh-CN"/>
          </w:rPr>
          <w:t>(二)、资金筹措</w:t>
        </w:r>
        <w:r>
          <w:tab/>
        </w:r>
        <w:r>
          <w:fldChar w:fldCharType="begin"/>
        </w:r>
        <w:r>
          <w:instrText xml:space="preserve"> PAGEREF _Toc2465 \h </w:instrText>
        </w:r>
        <w:r>
          <w:fldChar w:fldCharType="separate"/>
        </w:r>
        <w:r>
          <w:t>26</w:t>
        </w:r>
        <w:r>
          <w:fldChar w:fldCharType="end"/>
        </w:r>
      </w:hyperlink>
    </w:p>
    <w:p>
      <w:pPr>
        <w:pStyle w:val="TOC1"/>
        <w:tabs>
          <w:tab w:val="right" w:leader="dot" w:pos="8306"/>
        </w:tabs>
      </w:pPr>
      <w:hyperlink w:anchor="_Toc12950" w:history="1">
        <w:r>
          <w:rPr>
            <w:rFonts w:ascii="仿宋" w:eastAsia="仿宋" w:hAnsi="仿宋" w:cs="仿宋" w:hint="eastAsia"/>
            <w:lang w:eastAsia="zh-CN"/>
          </w:rPr>
          <w:t>八、水杨酸锌改性树脂(无碳复写纸显色剂)项目社会影响</w:t>
        </w:r>
        <w:r>
          <w:tab/>
        </w:r>
        <w:r>
          <w:fldChar w:fldCharType="begin"/>
        </w:r>
        <w:r>
          <w:instrText xml:space="preserve"> PAGEREF _Toc12950 \h </w:instrText>
        </w:r>
        <w:r>
          <w:fldChar w:fldCharType="separate"/>
        </w:r>
        <w:r>
          <w:t>27</w:t>
        </w:r>
        <w:r>
          <w:fldChar w:fldCharType="end"/>
        </w:r>
      </w:hyperlink>
    </w:p>
    <w:p>
      <w:pPr>
        <w:pStyle w:val="TOC2"/>
        <w:tabs>
          <w:tab w:val="right" w:leader="dot" w:pos="8306"/>
        </w:tabs>
      </w:pPr>
      <w:hyperlink w:anchor="_Toc16180" w:history="1">
        <w:r>
          <w:rPr>
            <w:rFonts w:ascii="仿宋" w:eastAsia="仿宋" w:hAnsi="仿宋" w:cs="仿宋" w:hint="eastAsia"/>
            <w:lang w:eastAsia="zh-CN"/>
          </w:rPr>
          <w:t>(一)、社会责任与义务</w:t>
        </w:r>
        <w:r>
          <w:tab/>
        </w:r>
        <w:r>
          <w:fldChar w:fldCharType="begin"/>
        </w:r>
        <w:r>
          <w:instrText xml:space="preserve"> PAGEREF _Toc16180 \h </w:instrText>
        </w:r>
        <w:r>
          <w:fldChar w:fldCharType="separate"/>
        </w:r>
        <w:r>
          <w:t>27</w:t>
        </w:r>
        <w:r>
          <w:fldChar w:fldCharType="end"/>
        </w:r>
      </w:hyperlink>
    </w:p>
    <w:p>
      <w:pPr>
        <w:pStyle w:val="TOC2"/>
        <w:tabs>
          <w:tab w:val="right" w:leader="dot" w:pos="8306"/>
        </w:tabs>
      </w:pPr>
      <w:hyperlink w:anchor="_Toc21398" w:history="1">
        <w:r>
          <w:rPr>
            <w:rFonts w:ascii="仿宋" w:eastAsia="仿宋" w:hAnsi="仿宋" w:cs="仿宋" w:hint="eastAsia"/>
            <w:lang w:eastAsia="zh-CN"/>
          </w:rPr>
          <w:t>(二)、社会参与与沟通</w:t>
        </w:r>
        <w:r>
          <w:tab/>
        </w:r>
        <w:r>
          <w:fldChar w:fldCharType="begin"/>
        </w:r>
        <w:r>
          <w:instrText xml:space="preserve"> PAGEREF _Toc21398 \h </w:instrText>
        </w:r>
        <w:r>
          <w:fldChar w:fldCharType="separate"/>
        </w:r>
        <w:r>
          <w:t>28</w:t>
        </w:r>
        <w:r>
          <w:fldChar w:fldCharType="end"/>
        </w:r>
      </w:hyperlink>
    </w:p>
    <w:p>
      <w:pPr>
        <w:pStyle w:val="TOC1"/>
        <w:tabs>
          <w:tab w:val="right" w:leader="dot" w:pos="8306"/>
        </w:tabs>
      </w:pPr>
      <w:hyperlink w:anchor="_Toc13743" w:history="1">
        <w:r>
          <w:rPr>
            <w:rFonts w:ascii="仿宋" w:eastAsia="仿宋" w:hAnsi="仿宋" w:cs="仿宋" w:hint="eastAsia"/>
            <w:lang w:eastAsia="zh-CN"/>
          </w:rPr>
          <w:t>九、水杨酸锌改性树脂(无碳复写纸显色剂)项目财务管理</w:t>
        </w:r>
        <w:r>
          <w:tab/>
        </w:r>
        <w:r>
          <w:fldChar w:fldCharType="begin"/>
        </w:r>
        <w:r>
          <w:instrText xml:space="preserve"> PAGEREF _Toc13743 \h </w:instrText>
        </w:r>
        <w:r>
          <w:fldChar w:fldCharType="separate"/>
        </w:r>
        <w:r>
          <w:t>29</w:t>
        </w:r>
        <w:r>
          <w:fldChar w:fldCharType="end"/>
        </w:r>
      </w:hyperlink>
    </w:p>
    <w:p>
      <w:pPr>
        <w:pStyle w:val="TOC2"/>
        <w:tabs>
          <w:tab w:val="right" w:leader="dot" w:pos="8306"/>
        </w:tabs>
      </w:pPr>
      <w:hyperlink w:anchor="_Toc2005" w:history="1">
        <w:r>
          <w:rPr>
            <w:rFonts w:ascii="仿宋" w:eastAsia="仿宋" w:hAnsi="仿宋" w:cs="仿宋" w:hint="eastAsia"/>
            <w:lang w:eastAsia="zh-CN"/>
          </w:rPr>
          <w:t>(一)、资金需求大</w:t>
        </w:r>
        <w:r>
          <w:tab/>
        </w:r>
        <w:r>
          <w:fldChar w:fldCharType="begin"/>
        </w:r>
        <w:r>
          <w:instrText xml:space="preserve"> PAGEREF _Toc2005 \h </w:instrText>
        </w:r>
        <w:r>
          <w:fldChar w:fldCharType="separate"/>
        </w:r>
        <w:r>
          <w:t>29</w:t>
        </w:r>
        <w:r>
          <w:fldChar w:fldCharType="end"/>
        </w:r>
      </w:hyperlink>
    </w:p>
    <w:p>
      <w:pPr>
        <w:pStyle w:val="TOC2"/>
        <w:tabs>
          <w:tab w:val="right" w:leader="dot" w:pos="8306"/>
        </w:tabs>
      </w:pPr>
      <w:hyperlink w:anchor="_Toc25985" w:history="1">
        <w:r>
          <w:rPr>
            <w:rFonts w:ascii="仿宋" w:eastAsia="仿宋" w:hAnsi="仿宋" w:cs="仿宋" w:hint="eastAsia"/>
            <w:lang w:eastAsia="zh-CN"/>
          </w:rPr>
          <w:t>(二)、研发周期长</w:t>
        </w:r>
        <w:r>
          <w:tab/>
        </w:r>
        <w:r>
          <w:fldChar w:fldCharType="begin"/>
        </w:r>
        <w:r>
          <w:instrText xml:space="preserve"> PAGEREF _Toc25985 \h </w:instrText>
        </w:r>
        <w:r>
          <w:fldChar w:fldCharType="separate"/>
        </w:r>
        <w:r>
          <w:t>30</w:t>
        </w:r>
        <w:r>
          <w:fldChar w:fldCharType="end"/>
        </w:r>
      </w:hyperlink>
    </w:p>
    <w:p>
      <w:pPr>
        <w:pStyle w:val="TOC2"/>
        <w:tabs>
          <w:tab w:val="right" w:leader="dot" w:pos="8306"/>
        </w:tabs>
      </w:pPr>
      <w:hyperlink w:anchor="_Toc22484" w:history="1">
        <w:r>
          <w:rPr>
            <w:rFonts w:ascii="仿宋" w:eastAsia="仿宋" w:hAnsi="仿宋" w:cs="仿宋" w:hint="eastAsia"/>
            <w:lang w:eastAsia="zh-CN"/>
          </w:rPr>
          <w:t>(三)、市场风险大</w:t>
        </w:r>
        <w:r>
          <w:tab/>
        </w:r>
        <w:r>
          <w:fldChar w:fldCharType="begin"/>
        </w:r>
        <w:r>
          <w:instrText xml:space="preserve"> PAGEREF _Toc22484 \h </w:instrText>
        </w:r>
        <w:r>
          <w:fldChar w:fldCharType="separate"/>
        </w:r>
        <w:r>
          <w:t>32</w:t>
        </w:r>
        <w:r>
          <w:fldChar w:fldCharType="end"/>
        </w:r>
      </w:hyperlink>
    </w:p>
    <w:p>
      <w:pPr>
        <w:pStyle w:val="TOC2"/>
        <w:tabs>
          <w:tab w:val="right" w:leader="dot" w:pos="8306"/>
        </w:tabs>
      </w:pPr>
      <w:hyperlink w:anchor="_Toc1994" w:history="1">
        <w:r>
          <w:rPr>
            <w:rFonts w:ascii="仿宋" w:eastAsia="仿宋" w:hAnsi="仿宋" w:cs="仿宋" w:hint="eastAsia"/>
            <w:lang w:eastAsia="zh-CN"/>
          </w:rPr>
          <w:t>(四)、利润率高</w:t>
        </w:r>
        <w:r>
          <w:tab/>
        </w:r>
        <w:r>
          <w:fldChar w:fldCharType="begin"/>
        </w:r>
        <w:r>
          <w:instrText xml:space="preserve"> PAGEREF _Toc1994 \h </w:instrText>
        </w:r>
        <w:r>
          <w:fldChar w:fldCharType="separate"/>
        </w:r>
        <w:r>
          <w:t>35</w:t>
        </w:r>
        <w:r>
          <w:fldChar w:fldCharType="end"/>
        </w:r>
      </w:hyperlink>
    </w:p>
    <w:p>
      <w:pPr>
        <w:pStyle w:val="TOC1"/>
        <w:tabs>
          <w:tab w:val="right" w:leader="dot" w:pos="8306"/>
        </w:tabs>
      </w:pPr>
      <w:hyperlink w:anchor="_Toc10312" w:history="1">
        <w:r>
          <w:rPr>
            <w:rFonts w:ascii="仿宋" w:eastAsia="仿宋" w:hAnsi="仿宋" w:cs="仿宋" w:hint="eastAsia"/>
            <w:lang w:eastAsia="zh-CN"/>
          </w:rPr>
          <w:t>十、水杨酸锌改性树脂(无碳复写纸显色剂)项目创新与研发</w:t>
        </w:r>
        <w:r>
          <w:tab/>
        </w:r>
        <w:r>
          <w:fldChar w:fldCharType="begin"/>
        </w:r>
        <w:r>
          <w:instrText xml:space="preserve"> PAGEREF _Toc10312 \h </w:instrText>
        </w:r>
        <w:r>
          <w:fldChar w:fldCharType="separate"/>
        </w:r>
        <w:r>
          <w:t>37</w:t>
        </w:r>
        <w:r>
          <w:fldChar w:fldCharType="end"/>
        </w:r>
      </w:hyperlink>
    </w:p>
    <w:p>
      <w:pPr>
        <w:pStyle w:val="TOC2"/>
        <w:tabs>
          <w:tab w:val="right" w:leader="dot" w:pos="8306"/>
        </w:tabs>
      </w:pPr>
      <w:hyperlink w:anchor="_Toc9755" w:history="1">
        <w:r>
          <w:rPr>
            <w:rFonts w:ascii="仿宋" w:eastAsia="仿宋" w:hAnsi="仿宋" w:cs="仿宋" w:hint="eastAsia"/>
            <w:lang w:eastAsia="zh-CN"/>
          </w:rPr>
          <w:t>(一)、创新策略与方向</w:t>
        </w:r>
        <w:r>
          <w:tab/>
        </w:r>
        <w:r>
          <w:fldChar w:fldCharType="begin"/>
        </w:r>
        <w:r>
          <w:instrText xml:space="preserve"> PAGEREF _Toc9755 \h </w:instrText>
        </w:r>
        <w:r>
          <w:fldChar w:fldCharType="separate"/>
        </w:r>
        <w:r>
          <w:t>37</w:t>
        </w:r>
        <w:r>
          <w:fldChar w:fldCharType="end"/>
        </w:r>
      </w:hyperlink>
    </w:p>
    <w:p>
      <w:pPr>
        <w:pStyle w:val="TOC2"/>
        <w:tabs>
          <w:tab w:val="right" w:leader="dot" w:pos="8306"/>
        </w:tabs>
      </w:pPr>
      <w:hyperlink w:anchor="_Toc32110" w:history="1">
        <w:r>
          <w:rPr>
            <w:rFonts w:ascii="仿宋" w:eastAsia="仿宋" w:hAnsi="仿宋" w:cs="仿宋" w:hint="eastAsia"/>
            <w:lang w:eastAsia="zh-CN"/>
          </w:rPr>
          <w:t>(二)、研发规划与投入</w:t>
        </w:r>
        <w:r>
          <w:tab/>
        </w:r>
        <w:r>
          <w:fldChar w:fldCharType="begin"/>
        </w:r>
        <w:r>
          <w:instrText xml:space="preserve"> PAGEREF _Toc32110 \h </w:instrText>
        </w:r>
        <w:r>
          <w:fldChar w:fldCharType="separate"/>
        </w:r>
        <w:r>
          <w:t>39</w:t>
        </w:r>
        <w:r>
          <w:fldChar w:fldCharType="end"/>
        </w:r>
      </w:hyperlink>
    </w:p>
    <w:p>
      <w:pPr>
        <w:pStyle w:val="TOC1"/>
        <w:tabs>
          <w:tab w:val="right" w:leader="dot" w:pos="8306"/>
        </w:tabs>
      </w:pPr>
      <w:hyperlink w:anchor="_Toc30975" w:history="1">
        <w:r>
          <w:rPr>
            <w:rFonts w:ascii="仿宋" w:eastAsia="仿宋" w:hAnsi="仿宋" w:cs="仿宋" w:hint="eastAsia"/>
            <w:lang w:eastAsia="zh-CN"/>
          </w:rPr>
          <w:t>十一、水杨酸锌改性树脂(无碳复写纸显色剂)项目人力资源培养与发展</w:t>
        </w:r>
        <w:r>
          <w:tab/>
        </w:r>
        <w:r>
          <w:fldChar w:fldCharType="begin"/>
        </w:r>
        <w:r>
          <w:instrText xml:space="preserve"> PAGEREF _Toc30975 \h </w:instrText>
        </w:r>
        <w:r>
          <w:fldChar w:fldCharType="separate"/>
        </w:r>
        <w:r>
          <w:t>41</w:t>
        </w:r>
        <w:r>
          <w:fldChar w:fldCharType="end"/>
        </w:r>
      </w:hyperlink>
    </w:p>
    <w:p>
      <w:pPr>
        <w:pStyle w:val="TOC2"/>
        <w:tabs>
          <w:tab w:val="right" w:leader="dot" w:pos="8306"/>
        </w:tabs>
      </w:pPr>
      <w:hyperlink w:anchor="_Toc26075" w:history="1">
        <w:r>
          <w:rPr>
            <w:rFonts w:ascii="仿宋" w:eastAsia="仿宋" w:hAnsi="仿宋" w:cs="仿宋" w:hint="eastAsia"/>
            <w:lang w:eastAsia="zh-CN"/>
          </w:rPr>
          <w:t>(一)、人才需求与规划</w:t>
        </w:r>
        <w:r>
          <w:tab/>
        </w:r>
        <w:r>
          <w:fldChar w:fldCharType="begin"/>
        </w:r>
        <w:r>
          <w:instrText xml:space="preserve"> PAGEREF _Toc26075 \h </w:instrText>
        </w:r>
        <w:r>
          <w:fldChar w:fldCharType="separate"/>
        </w:r>
        <w:r>
          <w:t>41</w:t>
        </w:r>
        <w:r>
          <w:fldChar w:fldCharType="end"/>
        </w:r>
      </w:hyperlink>
    </w:p>
    <w:p>
      <w:pPr>
        <w:pStyle w:val="TOC2"/>
        <w:tabs>
          <w:tab w:val="right" w:leader="dot" w:pos="8306"/>
        </w:tabs>
      </w:pPr>
      <w:hyperlink w:anchor="_Toc5134" w:history="1">
        <w:r>
          <w:rPr>
            <w:rFonts w:ascii="仿宋" w:eastAsia="仿宋" w:hAnsi="仿宋" w:cs="仿宋" w:hint="eastAsia"/>
            <w:lang w:eastAsia="zh-CN"/>
          </w:rPr>
          <w:t>(二)、培训与发展计划</w:t>
        </w:r>
        <w:r>
          <w:tab/>
        </w:r>
        <w:r>
          <w:fldChar w:fldCharType="begin"/>
        </w:r>
        <w:r>
          <w:instrText xml:space="preserve"> PAGEREF _Toc5134 \h </w:instrText>
        </w:r>
        <w:r>
          <w:fldChar w:fldCharType="separate"/>
        </w:r>
        <w:r>
          <w:t>41</w:t>
        </w:r>
        <w:r>
          <w:fldChar w:fldCharType="end"/>
        </w:r>
      </w:hyperlink>
    </w:p>
    <w:p>
      <w:pPr>
        <w:pStyle w:val="TOC1"/>
        <w:tabs>
          <w:tab w:val="right" w:leader="dot" w:pos="8306"/>
        </w:tabs>
      </w:pPr>
      <w:hyperlink w:anchor="_Toc12498" w:history="1">
        <w:r>
          <w:rPr>
            <w:rFonts w:ascii="仿宋" w:eastAsia="仿宋" w:hAnsi="仿宋" w:cs="仿宋" w:hint="eastAsia"/>
            <w:lang w:eastAsia="zh-CN"/>
          </w:rPr>
          <w:t>十二、水杨酸锌改性树脂(无碳复写纸显色剂)项目风险管理</w:t>
        </w:r>
        <w:r>
          <w:tab/>
        </w:r>
        <w:r>
          <w:fldChar w:fldCharType="begin"/>
        </w:r>
        <w:r>
          <w:instrText xml:space="preserve"> PAGEREF _Toc12498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5" w:history="1">
        <w:r>
          <w:rPr>
            <w:rFonts w:ascii="仿宋" w:eastAsia="仿宋" w:hAnsi="仿宋" w:cs="仿宋" w:hint="eastAsia"/>
            <w:lang w:eastAsia="zh-CN"/>
          </w:rPr>
          <w:t>(一)、风险识别与评估</w:t>
        </w:r>
        <w:r>
          <w:tab/>
        </w:r>
        <w:r>
          <w:fldChar w:fldCharType="begin"/>
        </w:r>
        <w:r>
          <w:instrText xml:space="preserve"> PAGEREF _Toc4955 \h </w:instrText>
        </w:r>
        <w:r>
          <w:fldChar w:fldCharType="separate"/>
        </w:r>
        <w:r>
          <w:t>42</w:t>
        </w:r>
        <w:r>
          <w:fldChar w:fldCharType="end"/>
        </w:r>
      </w:hyperlink>
    </w:p>
    <w:p>
      <w:pPr>
        <w:pStyle w:val="TOC2"/>
        <w:tabs>
          <w:tab w:val="right" w:leader="dot" w:pos="8306"/>
        </w:tabs>
      </w:pPr>
      <w:hyperlink w:anchor="_Toc29813" w:history="1">
        <w:r>
          <w:rPr>
            <w:rFonts w:ascii="仿宋" w:eastAsia="仿宋" w:hAnsi="仿宋" w:cs="仿宋" w:hint="eastAsia"/>
            <w:lang w:eastAsia="zh-CN"/>
          </w:rPr>
          <w:t>(二)、风险应对策略</w:t>
        </w:r>
        <w:r>
          <w:tab/>
        </w:r>
        <w:r>
          <w:fldChar w:fldCharType="begin"/>
        </w:r>
        <w:r>
          <w:instrText xml:space="preserve"> PAGEREF _Toc29813 \h </w:instrText>
        </w:r>
        <w:r>
          <w:fldChar w:fldCharType="separate"/>
        </w:r>
        <w:r>
          <w:t>43</w:t>
        </w:r>
        <w:r>
          <w:fldChar w:fldCharType="end"/>
        </w:r>
      </w:hyperlink>
    </w:p>
    <w:p>
      <w:pPr>
        <w:pStyle w:val="TOC2"/>
        <w:tabs>
          <w:tab w:val="right" w:leader="dot" w:pos="8306"/>
        </w:tabs>
      </w:pPr>
      <w:hyperlink w:anchor="_Toc23923" w:history="1">
        <w:r>
          <w:rPr>
            <w:rFonts w:ascii="仿宋" w:eastAsia="仿宋" w:hAnsi="仿宋" w:cs="仿宋" w:hint="eastAsia"/>
            <w:lang w:eastAsia="zh-CN"/>
          </w:rPr>
          <w:t>(三)、风险监控与控制</w:t>
        </w:r>
        <w:r>
          <w:tab/>
        </w:r>
        <w:r>
          <w:fldChar w:fldCharType="begin"/>
        </w:r>
        <w:r>
          <w:instrText xml:space="preserve"> PAGEREF _Toc23923 \h </w:instrText>
        </w:r>
        <w:r>
          <w:fldChar w:fldCharType="separate"/>
        </w:r>
        <w:r>
          <w:t>45</w:t>
        </w:r>
        <w:r>
          <w:fldChar w:fldCharType="end"/>
        </w:r>
      </w:hyperlink>
    </w:p>
    <w:p>
      <w:pPr>
        <w:pStyle w:val="TOC1"/>
        <w:tabs>
          <w:tab w:val="right" w:leader="dot" w:pos="8306"/>
        </w:tabs>
      </w:pPr>
      <w:hyperlink w:anchor="_Toc19015" w:history="1">
        <w:r>
          <w:rPr>
            <w:rFonts w:ascii="仿宋" w:eastAsia="仿宋" w:hAnsi="仿宋" w:cs="仿宋" w:hint="eastAsia"/>
            <w:lang w:eastAsia="zh-CN"/>
          </w:rPr>
          <w:t>十三、水杨酸锌改性树脂(无碳复写纸显色剂)项目实施保障措施</w:t>
        </w:r>
        <w:r>
          <w:tab/>
        </w:r>
        <w:r>
          <w:fldChar w:fldCharType="begin"/>
        </w:r>
        <w:r>
          <w:instrText xml:space="preserve"> PAGEREF _Toc19015 \h </w:instrText>
        </w:r>
        <w:r>
          <w:fldChar w:fldCharType="separate"/>
        </w:r>
        <w:r>
          <w:t>46</w:t>
        </w:r>
        <w:r>
          <w:fldChar w:fldCharType="end"/>
        </w:r>
      </w:hyperlink>
    </w:p>
    <w:p>
      <w:pPr>
        <w:pStyle w:val="TOC2"/>
        <w:tabs>
          <w:tab w:val="right" w:leader="dot" w:pos="8306"/>
        </w:tabs>
      </w:pPr>
      <w:hyperlink w:anchor="_Toc26193" w:history="1">
        <w:r>
          <w:rPr>
            <w:rFonts w:ascii="仿宋" w:eastAsia="仿宋" w:hAnsi="仿宋" w:cs="仿宋" w:hint="eastAsia"/>
            <w:lang w:eastAsia="zh-CN"/>
          </w:rPr>
          <w:t>(一)、水杨酸锌改性树脂(无碳复写纸显色剂)项目实施保障机制</w:t>
        </w:r>
        <w:r>
          <w:tab/>
        </w:r>
        <w:r>
          <w:fldChar w:fldCharType="begin"/>
        </w:r>
        <w:r>
          <w:instrText xml:space="preserve"> PAGEREF _Toc26193 \h </w:instrText>
        </w:r>
        <w:r>
          <w:fldChar w:fldCharType="separate"/>
        </w:r>
        <w:r>
          <w:t>46</w:t>
        </w:r>
        <w:r>
          <w:fldChar w:fldCharType="end"/>
        </w:r>
      </w:hyperlink>
    </w:p>
    <w:p>
      <w:pPr>
        <w:pStyle w:val="TOC2"/>
        <w:tabs>
          <w:tab w:val="right" w:leader="dot" w:pos="8306"/>
        </w:tabs>
      </w:pPr>
      <w:hyperlink w:anchor="_Toc7376" w:history="1">
        <w:r>
          <w:rPr>
            <w:rFonts w:ascii="仿宋" w:eastAsia="仿宋" w:hAnsi="仿宋" w:cs="仿宋" w:hint="eastAsia"/>
            <w:lang w:eastAsia="zh-CN"/>
          </w:rPr>
          <w:t>(二)、水杨酸锌改性树脂(无碳复写纸显色剂)项目法律合规要求</w:t>
        </w:r>
        <w:r>
          <w:tab/>
        </w:r>
        <w:r>
          <w:fldChar w:fldCharType="begin"/>
        </w:r>
        <w:r>
          <w:instrText xml:space="preserve"> PAGEREF _Toc7376 \h </w:instrText>
        </w:r>
        <w:r>
          <w:fldChar w:fldCharType="separate"/>
        </w:r>
        <w:r>
          <w:t>51</w:t>
        </w:r>
        <w:r>
          <w:fldChar w:fldCharType="end"/>
        </w:r>
      </w:hyperlink>
    </w:p>
    <w:p>
      <w:pPr>
        <w:pStyle w:val="TOC2"/>
        <w:tabs>
          <w:tab w:val="right" w:leader="dot" w:pos="8306"/>
        </w:tabs>
      </w:pPr>
      <w:hyperlink w:anchor="_Toc751" w:history="1">
        <w:r>
          <w:rPr>
            <w:rFonts w:ascii="仿宋" w:eastAsia="仿宋" w:hAnsi="仿宋" w:cs="仿宋" w:hint="eastAsia"/>
            <w:lang w:eastAsia="zh-CN"/>
          </w:rPr>
          <w:t>(三)、水杨酸锌改性树脂(无碳复写纸显色剂)项目合同管理与法律事务</w:t>
        </w:r>
        <w:r>
          <w:tab/>
        </w:r>
        <w:r>
          <w:fldChar w:fldCharType="begin"/>
        </w:r>
        <w:r>
          <w:instrText xml:space="preserve"> PAGEREF _Toc751 \h </w:instrText>
        </w:r>
        <w:r>
          <w:fldChar w:fldCharType="separate"/>
        </w:r>
        <w:r>
          <w:t>56</w:t>
        </w:r>
        <w:r>
          <w:fldChar w:fldCharType="end"/>
        </w:r>
      </w:hyperlink>
    </w:p>
    <w:p>
      <w:pPr>
        <w:pStyle w:val="TOC2"/>
        <w:tabs>
          <w:tab w:val="right" w:leader="dot" w:pos="8306"/>
        </w:tabs>
      </w:pPr>
      <w:hyperlink w:anchor="_Toc30572" w:history="1">
        <w:r>
          <w:rPr>
            <w:rFonts w:ascii="仿宋" w:eastAsia="仿宋" w:hAnsi="仿宋" w:cs="仿宋" w:hint="eastAsia"/>
            <w:lang w:eastAsia="zh-CN"/>
          </w:rPr>
          <w:t>(四)、水杨酸锌改性树脂(无碳复写纸显色剂)项目知识产权保护策略</w:t>
        </w:r>
        <w:r>
          <w:tab/>
        </w:r>
        <w:r>
          <w:fldChar w:fldCharType="begin"/>
        </w:r>
        <w:r>
          <w:instrText xml:space="preserve"> PAGEREF _Toc30572 \h </w:instrText>
        </w:r>
        <w:r>
          <w:fldChar w:fldCharType="separate"/>
        </w:r>
        <w:r>
          <w:t>63</w:t>
        </w:r>
        <w:r>
          <w:fldChar w:fldCharType="end"/>
        </w:r>
      </w:hyperlink>
    </w:p>
    <w:p>
      <w:pPr>
        <w:pStyle w:val="TOC1"/>
        <w:tabs>
          <w:tab w:val="right" w:leader="dot" w:pos="8306"/>
        </w:tabs>
      </w:pPr>
      <w:hyperlink w:anchor="_Toc6747" w:history="1">
        <w:r>
          <w:rPr>
            <w:rFonts w:ascii="仿宋" w:eastAsia="仿宋" w:hAnsi="仿宋" w:cs="仿宋" w:hint="eastAsia"/>
            <w:lang w:eastAsia="zh-CN"/>
          </w:rPr>
          <w:t>十四、水杨酸锌改性树脂(无碳复写纸显色剂)项目治理与监督</w:t>
        </w:r>
        <w:r>
          <w:tab/>
        </w:r>
        <w:r>
          <w:fldChar w:fldCharType="begin"/>
        </w:r>
        <w:r>
          <w:instrText xml:space="preserve"> PAGEREF _Toc6747 \h </w:instrText>
        </w:r>
        <w:r>
          <w:fldChar w:fldCharType="separate"/>
        </w:r>
        <w:r>
          <w:t>66</w:t>
        </w:r>
        <w:r>
          <w:fldChar w:fldCharType="end"/>
        </w:r>
      </w:hyperlink>
    </w:p>
    <w:p>
      <w:pPr>
        <w:pStyle w:val="TOC2"/>
        <w:tabs>
          <w:tab w:val="right" w:leader="dot" w:pos="8306"/>
        </w:tabs>
      </w:pPr>
      <w:hyperlink w:anchor="_Toc4489" w:history="1">
        <w:r>
          <w:rPr>
            <w:rFonts w:ascii="仿宋" w:eastAsia="仿宋" w:hAnsi="仿宋" w:cs="仿宋" w:hint="eastAsia"/>
            <w:lang w:eastAsia="zh-CN"/>
          </w:rPr>
          <w:t>(一)、水杨酸锌改性树脂(无碳复写纸显色剂)项目治理结构</w:t>
        </w:r>
        <w:r>
          <w:tab/>
        </w:r>
        <w:r>
          <w:fldChar w:fldCharType="begin"/>
        </w:r>
        <w:r>
          <w:instrText xml:space="preserve"> PAGEREF _Toc4489 \h </w:instrText>
        </w:r>
        <w:r>
          <w:fldChar w:fldCharType="separate"/>
        </w:r>
        <w:r>
          <w:t>66</w:t>
        </w:r>
        <w:r>
          <w:fldChar w:fldCharType="end"/>
        </w:r>
      </w:hyperlink>
    </w:p>
    <w:p>
      <w:pPr>
        <w:pStyle w:val="TOC2"/>
        <w:tabs>
          <w:tab w:val="right" w:leader="dot" w:pos="8306"/>
        </w:tabs>
      </w:pPr>
      <w:hyperlink w:anchor="_Toc10364" w:history="1">
        <w:r>
          <w:rPr>
            <w:rFonts w:ascii="仿宋" w:eastAsia="仿宋" w:hAnsi="仿宋" w:cs="仿宋" w:hint="eastAsia"/>
            <w:lang w:eastAsia="zh-CN"/>
          </w:rPr>
          <w:t>(二)、监督与审计</w:t>
        </w:r>
        <w:r>
          <w:tab/>
        </w:r>
        <w:r>
          <w:fldChar w:fldCharType="begin"/>
        </w:r>
        <w:r>
          <w:instrText xml:space="preserve"> PAGEREF _Toc10364 \h </w:instrText>
        </w:r>
        <w:r>
          <w:fldChar w:fldCharType="separate"/>
        </w:r>
        <w:r>
          <w:t>67</w:t>
        </w:r>
        <w:r>
          <w:fldChar w:fldCharType="end"/>
        </w:r>
      </w:hyperlink>
    </w:p>
    <w:p>
      <w:pPr>
        <w:pStyle w:val="TOC1"/>
        <w:tabs>
          <w:tab w:val="right" w:leader="dot" w:pos="8306"/>
        </w:tabs>
      </w:pPr>
      <w:hyperlink w:anchor="_Toc22753" w:history="1">
        <w:r>
          <w:rPr>
            <w:rFonts w:ascii="仿宋" w:eastAsia="仿宋" w:hAnsi="仿宋" w:cs="仿宋" w:hint="eastAsia"/>
            <w:lang w:eastAsia="zh-CN"/>
          </w:rPr>
          <w:t>十五、水杨酸锌改性树脂(无碳复写纸显色剂)项目变更管理</w:t>
        </w:r>
        <w:r>
          <w:tab/>
        </w:r>
        <w:r>
          <w:fldChar w:fldCharType="begin"/>
        </w:r>
        <w:r>
          <w:instrText xml:space="preserve"> PAGEREF _Toc22753 \h </w:instrText>
        </w:r>
        <w:r>
          <w:fldChar w:fldCharType="separate"/>
        </w:r>
        <w:r>
          <w:t>69</w:t>
        </w:r>
        <w:r>
          <w:fldChar w:fldCharType="end"/>
        </w:r>
      </w:hyperlink>
    </w:p>
    <w:p>
      <w:pPr>
        <w:pStyle w:val="TOC2"/>
        <w:tabs>
          <w:tab w:val="right" w:leader="dot" w:pos="8306"/>
        </w:tabs>
      </w:pPr>
      <w:hyperlink w:anchor="_Toc26596" w:history="1">
        <w:r>
          <w:rPr>
            <w:rFonts w:ascii="仿宋" w:eastAsia="仿宋" w:hAnsi="仿宋" w:cs="仿宋" w:hint="eastAsia"/>
            <w:lang w:eastAsia="zh-CN"/>
          </w:rPr>
          <w:t>(一)、变更申请与评估</w:t>
        </w:r>
        <w:r>
          <w:tab/>
        </w:r>
        <w:r>
          <w:fldChar w:fldCharType="begin"/>
        </w:r>
        <w:r>
          <w:instrText xml:space="preserve"> PAGEREF _Toc26596 \h </w:instrText>
        </w:r>
        <w:r>
          <w:fldChar w:fldCharType="separate"/>
        </w:r>
        <w:r>
          <w:t>69</w:t>
        </w:r>
        <w:r>
          <w:fldChar w:fldCharType="end"/>
        </w:r>
      </w:hyperlink>
    </w:p>
    <w:p>
      <w:pPr>
        <w:pStyle w:val="TOC2"/>
        <w:tabs>
          <w:tab w:val="right" w:leader="dot" w:pos="8306"/>
        </w:tabs>
      </w:pPr>
      <w:hyperlink w:anchor="_Toc6771" w:history="1">
        <w:r>
          <w:rPr>
            <w:rFonts w:ascii="仿宋" w:eastAsia="仿宋" w:hAnsi="仿宋" w:cs="仿宋" w:hint="eastAsia"/>
            <w:lang w:eastAsia="zh-CN"/>
          </w:rPr>
          <w:t>(二)、变更实施与控制</w:t>
        </w:r>
        <w:r>
          <w:tab/>
        </w:r>
        <w:r>
          <w:fldChar w:fldCharType="begin"/>
        </w:r>
        <w:r>
          <w:instrText xml:space="preserve"> PAGEREF _Toc6771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04"/>
      <w:r>
        <w:rPr>
          <w:rFonts w:ascii="仿宋" w:eastAsia="仿宋" w:hAnsi="仿宋" w:cs="仿宋" w:hint="eastAsia"/>
          <w:sz w:val="28"/>
          <w:lang w:eastAsia="zh-CN"/>
        </w:rPr>
        <w:t>一、水杨酸锌改性树脂(无碳复写纸显色剂)项目建设背景及必要性分析</w:t>
      </w:r>
      <w:bookmarkEnd w:id="2"/>
    </w:p>
    <w:p>
      <w:pPr>
        <w:pStyle w:val="Heading2"/>
        <w:rPr>
          <w:rFonts w:ascii="仿宋" w:eastAsia="仿宋" w:hAnsi="仿宋" w:cs="仿宋" w:hint="eastAsia"/>
          <w:lang w:eastAsia="zh-CN"/>
        </w:rPr>
      </w:pPr>
      <w:bookmarkStart w:id="3" w:name="_Toc21434"/>
      <w:r>
        <w:rPr>
          <w:rFonts w:ascii="仿宋" w:eastAsia="仿宋" w:hAnsi="仿宋" w:cs="仿宋" w:hint="eastAsia"/>
          <w:lang w:eastAsia="zh-CN"/>
        </w:rPr>
        <w:t>(一)、水杨酸锌改性树脂(无碳复写纸显色剂)项目背景分析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杨酸锌改性树脂(无碳复写纸显色剂)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杨酸锌改性树脂(无碳复写纸显色剂)项目在这个潮流中的定位。同时，我们将关注行业内涌现的新兴机遇，以便水杨酸锌改性树脂(无碳复写纸显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杨酸锌改性树脂(无碳复写纸显色剂)项目提供了强大的发展动力。我们将聚焦于行业内最新的技术发展趋势，包括但不限于人工智能、大数据分析、物联网等领域。通过深度的技术研究，我们将确保水杨酸锌改性树脂(无碳复写纸显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杨酸锌改性树脂(无碳复写纸显色剂)项目发展的源泉。我们将投入更多的精力对市场需求进行深入剖析，超越表面的需求，深入挖掘潜在的市场痛点和机遇。通过对市场需求的细致了解，水杨酸锌改性树脂(无碳复写纸显色剂)项目将更有针对性地设计解决方案，满足市场的多样化需求，从而更好地促进水杨酸锌改性树脂(无碳复写纸显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杨酸锌改性树脂(无碳复写纸显色剂)项目战略至关重要。我们将对竞争态势进行更为深入的分析，包括但不限于市场份额、产品特点、客户满意度等多个维度。通过深度的竞争分析，水杨酸锌改性树脂(无碳复写纸显色剂)项目将能够更准确地把握市场脉搏，制定具有竞争力的水杨酸锌改性树脂(无碳复写纸显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杨酸锌改性树脂(无碳复写纸显色剂)项目的发展具有直接的影响。我们将进行更为全面的法规和政策分析，了解行业发展中的潜在法律风险和合规挑战。通过充分了解和遵守相关法规，水杨酸锌改性树脂(无碳复写纸显色剂)项目将确保在法律框架内合法合规运营，为水杨酸锌改性树脂(无碳复写纸显色剂)项目的稳健发展提供有力支持。</w:t>
      </w:r>
    </w:p>
    <w:p>
      <w:pPr>
        <w:pStyle w:val="Heading2"/>
        <w:ind w:firstLine="560" w:firstLineChars="200"/>
        <w:rPr>
          <w:rFonts w:ascii="仿宋" w:eastAsia="仿宋" w:hAnsi="仿宋" w:cs="仿宋" w:hint="eastAsia"/>
          <w:sz w:val="28"/>
          <w:lang w:eastAsia="zh-CN"/>
        </w:rPr>
      </w:pPr>
      <w:bookmarkStart w:id="4" w:name="_Toc29232"/>
      <w:r>
        <w:rPr>
          <w:rFonts w:ascii="仿宋" w:eastAsia="仿宋" w:hAnsi="仿宋" w:cs="仿宋" w:hint="eastAsia"/>
          <w:sz w:val="28"/>
          <w:lang w:eastAsia="zh-CN"/>
        </w:rPr>
        <w:t>(二)、水杨酸锌改性树脂(无碳复写纸显色剂)项目建设必要性分析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建设的迫切性源于对行业发展趋势的深刻洞察。我们正处于一个行业变革的时代，科技创新、数字化转型成为企业发展的关键动力。水杨酸锌改性树脂(无碳复写纸显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建设不仅仅是为了跟上潮流，更是为了通过技术创新推动企业的持续发展。通过引入先进的技术和解决方案，水杨酸锌改性树脂(无碳复写纸显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杨酸锌改性树脂(无碳复写纸显色剂)项目的建设成为必然选择，通过提高产品质量、拓展服务领域，从而在竞争中获得更多的机会。水杨酸锌改性树脂(无碳复写纸显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杨酸锌改性树脂(无碳复写纸显色剂)项目建设的必要性体现在对客户需求更精准的满足。通过水杨酸锌改性树脂(无碳复写纸显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杨酸锌改性树脂(无碳复写纸显色剂)项目建设的背后是对企业持续创新的追求。只有通过不断创新，企业才能在竞争中立于不败之地。水杨酸锌改性树脂(无碳复写纸显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299"/>
      <w:r>
        <w:rPr>
          <w:rFonts w:ascii="仿宋" w:eastAsia="仿宋" w:hAnsi="仿宋" w:cs="仿宋" w:hint="eastAsia"/>
          <w:sz w:val="28"/>
          <w:lang w:eastAsia="zh-CN"/>
        </w:rPr>
        <w:t>二、水杨酸锌改性树脂(无碳复写纸显色剂)项目概论</w:t>
      </w:r>
      <w:bookmarkEnd w:id="5"/>
    </w:p>
    <w:p>
      <w:pPr>
        <w:pStyle w:val="Heading2"/>
        <w:rPr>
          <w:rFonts w:ascii="仿宋" w:eastAsia="仿宋" w:hAnsi="仿宋" w:cs="仿宋" w:hint="eastAsia"/>
          <w:lang w:eastAsia="zh-CN"/>
        </w:rPr>
      </w:pPr>
      <w:bookmarkStart w:id="6" w:name="_Toc29478"/>
      <w:r>
        <w:rPr>
          <w:rFonts w:ascii="仿宋" w:eastAsia="仿宋" w:hAnsi="仿宋" w:cs="仿宋" w:hint="eastAsia"/>
          <w:lang w:eastAsia="zh-CN"/>
        </w:rPr>
        <w:t>(一)、水杨酸锌改性树脂(无碳复写纸显色剂)项目概况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起源追溯至对市场的深入洞察。市场的不断演变与变革为水杨酸锌改性树脂(无碳复写纸显色剂)项目提供了难得的机遇。当前市场存在的需求缺口和变革的大环境共同构成了水杨酸锌改性树脂(无碳复写纸显色剂)项目的背景。这个水杨酸锌改性树脂(无碳复写纸显色剂)项目旨在充分利用市场机遇，填补行业中尚未满足的需求，为客户提供全新的解决方案。市场的变革和需求的增长使得这个水杨酸锌改性树脂(无碳复写纸显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水杨酸锌改性树脂(无碳复写纸显色剂)项目名称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正式命名为水杨酸锌改性树脂(无碳复写纸显色剂)。这个名称不仅仅是一个标识，更代表了水杨酸锌改性树脂(无碳复写纸显色剂)项目的核心理念和愿景。它蕴含着水杨酸锌改性树脂(无碳复写纸显色剂)项目所要解决问题的关键字，具有强烈的表达和辨识度，为水杨酸锌改性树脂(无碳复写纸显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水杨酸锌改性树脂(无碳复写纸显色剂)项目目标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核心目标是提供一种全新、高效的解决方案，满足客户日益增长的需求。水杨酸锌改性树脂(无碳复写纸显色剂)项目追求的不仅仅是满足市场需求，更是在市场中获得卓越的竞争优势。通过不断提升产品或服务的质量和创新水平，水杨酸锌改性树脂(无碳复写纸显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水杨酸锌改性树脂(无碳复写纸显色剂)项目范围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全面涵盖了产品研发、制造、市场推广和售后服务，确保从产品设计到最终用户体验的全方位关注。这一全面的水杨酸锌改性树脂(无碳复写纸显色剂)项目范围是为了确保水杨酸锌改性树脂(无碳复写纸显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水杨酸锌改性树脂(无碳复写纸显色剂)项目时间表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计划在未来18个月内完成，包括研发、测试、市场试点和正式推出等不同阶段。这个时间表的合理设计是为了确保水杨酸锌改性树脂(无碳复写纸显色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水杨酸锌改性树脂(无碳复写纸显色剂)项目预算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总预算估算为XX百万美元，主要分配在研发、市场推广、人员培训和运营等方面。这一充足的预算为水杨酸锌改性树脂(无碳复写纸显色剂)项目提供了充足的资源，确保水杨酸锌改性树脂(无碳复写纸显色剂)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水杨酸锌改性树脂(无碳复写纸显色剂)项目风险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可能面临的风险包括市场接受度低、技术难题、竞争激烈等。水杨酸锌改性树脂(无碳复写纸显色剂)项目团队已经制定了相应的风险应对计划，通过前瞻性的风险管理，确保水杨酸锌改性树脂(无碳复写纸显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水杨酸锌改性树脂(无碳复写纸显色剂)项目团队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汇聚了一支经验丰富、多领域专业素养的核心团队，确保水杨酸锌改性树脂(无碳复写纸显色剂)项目在各个方面都能拥有高水平的执行力。团队的协同作战是水杨酸锌改性树脂(无碳复写纸显色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水杨酸锌改性树脂(无碳复写纸显色剂)项目背景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背景根植于市场对更高效、创新产品的渴望，同时也受到科技发展对行业格局的深刻改变的影响。这为水杨酸锌改性树脂(无碳复写纸显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水杨酸锌改性树脂(无碳复写纸显色剂)项目现状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水杨酸锌改性树脂(无碳复写纸显色剂)项目已完成市场调研和技术验证，取得了初步的成功。这为水杨酸锌改性树脂(无碳复写纸显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574"/>
      <w:r>
        <w:rPr>
          <w:rFonts w:ascii="仿宋" w:eastAsia="仿宋" w:hAnsi="仿宋" w:cs="仿宋" w:hint="eastAsia"/>
          <w:sz w:val="28"/>
          <w:lang w:eastAsia="zh-CN"/>
        </w:rPr>
        <w:t>(二)、水杨酸锌改性树脂(无碳复写纸显色剂)项目目标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杨酸锌改性树脂(无碳复写纸显色剂)项目首要业务目标是在市场中占据有利地位，实现产品/服务的成功推广和销售。通过不断提升产品质量、创新性，水杨酸锌改性树脂(无碳复写纸显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杨酸锌改性树脂(无碳复写纸显色剂)项目着眼于技术创新。通过持续的研发和技术升级，水杨酸锌改性树脂(无碳复写纸显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杨酸锌改性树脂(无碳复写纸显色剂)项目设定了客户满意度目标。通过提供卓越的产品质量和优质的客户服务，水杨酸锌改性树脂(无碳复写纸显色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注重社会责任和可持续发展。通过实施环保、社会责任水杨酸锌改性树脂(无碳复写纸显色剂)项目，水杨酸锌改性树脂(无碳复写纸显色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杨酸锌改性树脂(无碳复写纸显色剂)项目的团队是实现目标的核心驱动力。因此，水杨酸锌改性树脂(无碳复写纸显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142"/>
      <w:r>
        <w:rPr>
          <w:rFonts w:ascii="仿宋" w:eastAsia="仿宋" w:hAnsi="仿宋" w:cs="仿宋" w:hint="eastAsia"/>
          <w:sz w:val="28"/>
          <w:lang w:eastAsia="zh-CN"/>
        </w:rPr>
        <w:t>(三)、水杨酸锌改性树脂(无碳复写纸显色剂)项目提出的理由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水杨酸锌改性树脂(无碳复写纸显色剂)项目提出的理由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提出源于对市场机遇的深刻洞察。当前市场中存在的需求缺口和行业发展趋势表明，有巨大的商业机会等待被开发。通过准确捕捉市场机遇，水杨酸锌改性树脂(无碳复写纸显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理念基于对技术创新的信仰。通过持续的研发和技术投入，水杨酸锌改性树脂(无碳复写纸显色剂)项目有望推出更具创新性的产品或服务。在科技飞速发展的当下，水杨酸锌改性树脂(无碳复写纸显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提出是为了增强企业的行业竞争力。通过提升产品或服务的质量和独特性，水杨酸锌改性树脂(无碳复写纸显色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响应了消费者需求的变化。随着社会和科技的不断发展，消费者对产品和服务的需求也在发生变化。通过深入了解并及时回应消费者的新需求，水杨酸锌改性树脂(无碳复写纸显色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提出是企业战略发展规划的一部分。在面对日益激烈的市场竞争和不断变化的商业环境中，水杨酸锌改性树脂(无碳复写纸显色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提出不仅仅是基于商业考量，还注重社会责任。通过推出环保、社会责任等方面的水杨酸锌改性树脂(无碳复写纸显色剂)项目，水杨酸锌改性树脂(无碳复写纸显色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提出反映了对利益相关者期望的关注。包括客户、员工、投资者等利益相关者在企业发展中都有着各自的期望，水杨酸锌改性树脂(无碳复写纸显色剂)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9535"/>
      <w:r>
        <w:rPr>
          <w:rFonts w:ascii="仿宋" w:eastAsia="仿宋" w:hAnsi="仿宋" w:cs="仿宋" w:hint="eastAsia"/>
          <w:sz w:val="28"/>
          <w:lang w:eastAsia="zh-CN"/>
        </w:rPr>
        <w:t>(四)、水杨酸锌改性树脂(无碳复写纸显色剂)项目意义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在实施水杨酸锌改性树脂(无碳复写纸显色剂)项目的过程中，我们不仅仅是在追逐商业成功，更是为企业和社会的多个层面创造了深远的意义。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的首要意义在于提升企业的市场竞争力。通过持续的创新和对产品质量的高标准要求，水杨酸锌改性树脂(无碳复写纸显色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杨酸锌改性树脂(无碳复写纸显色剂)项目的推进将促使行业技术水平的提升。通过引入先进技术和创新性解决方案，水杨酸锌改性树脂(无碳复写纸显色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杨酸锌改性树脂(无碳复写纸显色剂)项目不仅创造了大量就业机会，提高了就业水平，还注重社会责任和环保。通过参与社会公益事业和推动环保水杨酸锌改性树脂(无碳复写纸显色剂)项目，水杨酸锌改性树脂(无碳复写纸显色剂)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综合而言，水杨酸锌改性树脂(无碳复写纸显色剂)项目意义重大，不仅推动了企业的发展，也为行业和社会的进步贡献了积极力量。这是一个全面而深刻的影响，将在未来产生可持续的正面效应。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400"/>
      <w:r>
        <w:rPr>
          <w:rFonts w:ascii="仿宋" w:eastAsia="仿宋" w:hAnsi="仿宋" w:cs="仿宋" w:hint="eastAsia"/>
          <w:sz w:val="28"/>
          <w:lang w:eastAsia="zh-CN"/>
        </w:rPr>
        <w:t>(五)、水杨酸锌改性树脂(无碳复写纸显色剂)项目背景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杨酸锌改性树脂(无碳复写纸显色剂)项目的动因根植于对多方面因素的审慎考量。这个水杨酸锌改性树脂(无碳复写纸显色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杨酸锌改性树脂(无碳复写纸显色剂)项目背后的首要原因。科技的迅速发展和全球市场的快速变化使得企业必须灵活应对。水杨酸锌改性树脂(无碳复写纸显色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杨酸锌改性树脂(无碳复写纸显色剂)项目背景中不可忽视的一环。企业需要在激烈竞争中脱颖而出，为此，水杨酸锌改性树脂(无碳复写纸显色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技术的迅速发展为企业带来了机遇与挑战。作为水杨酸锌改性树脂(无碳复写纸显色剂)项目启动的背景之一，对新兴技术的应用将有助于提升企业的技术水平，使其在不断演进的商业环境中保持竞争优势。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水杨酸锌改性树脂(无碳复写纸显色剂)项目充分融入了社会责任的理念，通过可持续经营和社会公益水杨酸锌改性树脂(无碳复写纸显色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28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300"/>
      <w:r>
        <w:rPr>
          <w:rFonts w:ascii="仿宋" w:eastAsia="仿宋" w:hAnsi="仿宋" w:cs="仿宋" w:hint="eastAsia"/>
          <w:lang w:eastAsia="zh-CN"/>
        </w:rPr>
        <w:t>(一)、水杨酸锌改性树脂(无碳复写纸显色剂)行业分析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行业一直以来都是市场的关注焦点。行业内的发展趋势、竞争态势以及潜在机会都对水杨酸锌改性树脂(无碳复写纸显色剂)项目的推进产生深远的影响。通过深入研究行业的整体概貌，我们将更好地理解行业的核心特征，为水杨酸锌改性树脂(无碳复写纸显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杨酸锌改性树脂(无碳复写纸显色剂)行业，技术一直是推动创新和发展的关键因素。我们将对当前技术趋势进行详尽分析，包括但不限于人工智能、大数据应用、先进制造技术等。这有助于水杨酸锌改性树脂(无碳复写纸显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水杨酸锌改性树脂(无碳复写纸显色剂)项目成功的基础。我们将对主要竞争对手进行深入研究，包括其市场份额、产品特点、市场定位等。通过全面了解竞争对手的优势和劣势，水杨酸锌改性树脂(无碳复写纸显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166"/>
      <w:r>
        <w:rPr>
          <w:rFonts w:ascii="仿宋" w:eastAsia="仿宋" w:hAnsi="仿宋" w:cs="仿宋" w:hint="eastAsia"/>
          <w:sz w:val="28"/>
          <w:lang w:eastAsia="zh-CN"/>
        </w:rPr>
        <w:t>(二)、水杨酸锌改性树脂(无碳复写纸显色剂)市场分析预测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杨酸锌改性树脂(无碳复写纸显色剂)市场未来的增长趋势。这包括市场的整体规模、各细分领域的发展趋势等。水杨酸锌改性树脂(无碳复写纸显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杨酸锌改性树脂(无碳复写纸显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杨酸锌改性树脂(无碳复写纸显色剂)项目实施过程中需要充分考虑的因素。我们将对市场风险进行全面评估，包括但不限于政策法规风险、市场竞争风险、技术变革风险等。通过对潜在风险的深入分析，水杨酸锌改性树脂(无碳复写纸显色剂)项目可以制定相应的风险缓解策略，降低不确定性对水杨酸锌改性树脂(无碳复写纸显色剂)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https://d.book118.com/516142023211010031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71F07"/>
    <w:rsid w:val="6BC71F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4202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2024-01-03T16:53:00Z</dcterms:created>
  <dcterms:modified xsi:type="dcterms:W3CDTF">2024-01-03T16:53:22Z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BC5D2CB66675406EB685E4181BA51A52_11</vt:lpwstr>
  </property>
  <property fmtid="{D5CDD505-2E9C-101B-9397-08002B2CF9AE}" pid="3" name="KSOProductBuildVer">
    <vt:lpwstr>2052-12.1.0.16120</vt:lpwstr>
  </property>
</Properties>
</file>