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水处理自动化行业企业战略发展规划及建议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83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_Toc24183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val="en-US"/>
          </w:rPr>
          <w:t>一、选址分析</w:t>
        </w:r>
        <w:r>
          <w:tab/>
        </w:r>
        <w:r>
          <w:fldChar w:fldCharType="begin"/>
        </w:r>
        <w:r>
          <w:instrText xml:space="preserve"> PAGEREF _Toc992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val="en-US"/>
          </w:rPr>
          <w:t>(一)、水处理自动化项目选址原则</w:t>
        </w:r>
        <w:r>
          <w:tab/>
        </w:r>
        <w:r>
          <w:fldChar w:fldCharType="begin"/>
        </w:r>
        <w:r>
          <w:instrText xml:space="preserve"> PAGEREF _Toc15737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_Toc24037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_Toc29931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_Toc26410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2" w:history="1">
        <w:r>
          <w:rPr>
            <w:rFonts w:ascii="仿宋" w:eastAsia="仿宋" w:hAnsi="仿宋" w:cs="仿宋" w:hint="eastAsia"/>
            <w:lang w:val="en-US"/>
          </w:rPr>
          <w:t>(五)、水处理自动化项目选址综合评价</w:t>
        </w:r>
        <w:r>
          <w:tab/>
        </w:r>
        <w:r>
          <w:fldChar w:fldCharType="begin"/>
        </w:r>
        <w:r>
          <w:instrText xml:space="preserve"> PAGEREF _Toc18922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1" w:history="1">
        <w:r>
          <w:rPr>
            <w:rFonts w:ascii="仿宋" w:eastAsia="仿宋" w:hAnsi="仿宋" w:cs="仿宋" w:hint="eastAsia"/>
            <w:lang w:val="en-US"/>
          </w:rPr>
          <w:t>二、水处理自动化生产计划的含义与指标</w:t>
        </w:r>
        <w:r>
          <w:tab/>
        </w:r>
        <w:r>
          <w:fldChar w:fldCharType="begin"/>
        </w:r>
        <w:r>
          <w:instrText xml:space="preserve"> PAGEREF _Toc5861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_Toc11062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0" w:history="1">
        <w:r>
          <w:rPr>
            <w:rFonts w:ascii="仿宋" w:eastAsia="仿宋" w:hAnsi="仿宋" w:cs="仿宋" w:hint="eastAsia"/>
            <w:lang w:val="en-US"/>
          </w:rPr>
          <w:t>三、建设规划分析</w:t>
        </w:r>
        <w:r>
          <w:tab/>
        </w:r>
        <w:r>
          <w:fldChar w:fldCharType="begin"/>
        </w:r>
        <w:r>
          <w:instrText xml:space="preserve"> PAGEREF _Toc11180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_Toc9340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_Toc29733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val="en-US"/>
          </w:rPr>
          <w:t>四、水处理自动化项目绩效评估</w:t>
        </w:r>
        <w:r>
          <w:tab/>
        </w:r>
        <w:r>
          <w:fldChar w:fldCharType="begin"/>
        </w:r>
        <w:r>
          <w:instrText xml:space="preserve"> PAGEREF _Toc7375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9" w:history="1">
        <w:r>
          <w:rPr>
            <w:rFonts w:ascii="仿宋" w:eastAsia="仿宋" w:hAnsi="仿宋" w:cs="仿宋" w:hint="eastAsia"/>
            <w:lang w:val="en-US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_Toc18959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val="en-US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_Toc16899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val="en-US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_Toc15035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val="en-US"/>
          </w:rPr>
          <w:t>五、水处理自动化行业企业业务流程管理</w:t>
        </w:r>
        <w:r>
          <w:tab/>
        </w:r>
        <w:r>
          <w:fldChar w:fldCharType="begin"/>
        </w:r>
        <w:r>
          <w:instrText xml:space="preserve"> PAGEREF _Toc20424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val="en-US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_Toc28722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6" w:history="1">
        <w:r>
          <w:rPr>
            <w:rFonts w:ascii="仿宋" w:eastAsia="仿宋" w:hAnsi="仿宋" w:cs="仿宋" w:hint="eastAsia"/>
            <w:lang w:val="en-US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_Toc6326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9" w:history="1">
        <w:r>
          <w:rPr>
            <w:rFonts w:ascii="仿宋" w:eastAsia="仿宋" w:hAnsi="仿宋" w:cs="仿宋" w:hint="eastAsia"/>
            <w:lang w:val="en-US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_Toc18579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val="en-US"/>
          </w:rPr>
          <w:t>六、组织架构与人力资源配置</w:t>
        </w:r>
        <w:r>
          <w:tab/>
        </w:r>
        <w:r>
          <w:fldChar w:fldCharType="begin"/>
        </w:r>
        <w:r>
          <w:instrText xml:space="preserve"> PAGEREF _Toc10414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9" w:history="1">
        <w:r>
          <w:rPr>
            <w:rFonts w:ascii="仿宋" w:eastAsia="仿宋" w:hAnsi="仿宋" w:cs="仿宋" w:hint="eastAsia"/>
            <w:lang w:val="en-US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_Toc13689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9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_Toc21299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" w:history="1">
        <w:r>
          <w:rPr>
            <w:rFonts w:ascii="仿宋" w:eastAsia="仿宋" w:hAnsi="仿宋" w:cs="仿宋" w:hint="eastAsia"/>
            <w:lang w:val="en-US"/>
          </w:rPr>
          <w:t>七、水处理自动化项目选址说明</w:t>
        </w:r>
        <w:r>
          <w:tab/>
        </w:r>
        <w:r>
          <w:fldChar w:fldCharType="begin"/>
        </w:r>
        <w:r>
          <w:instrText xml:space="preserve"> PAGEREF _Toc2913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val="en-US"/>
          </w:rPr>
          <w:t>(一)、水处理自动化项目选址原则</w:t>
        </w:r>
        <w:r>
          <w:tab/>
        </w:r>
        <w:r>
          <w:fldChar w:fldCharType="begin"/>
        </w:r>
        <w:r>
          <w:instrText xml:space="preserve"> PAGEREF _Toc21937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84" w:history="1">
        <w:r>
          <w:rPr>
            <w:rFonts w:ascii="仿宋" w:eastAsia="仿宋" w:hAnsi="仿宋" w:cs="仿宋" w:hint="eastAsia"/>
            <w:lang w:val="en-US"/>
          </w:rPr>
          <w:t>(二)、水处理自动化项目选址</w:t>
        </w:r>
        <w:r>
          <w:tab/>
        </w:r>
        <w:r>
          <w:fldChar w:fldCharType="begin"/>
        </w:r>
        <w:r>
          <w:instrText xml:space="preserve"> PAGEREF _Toc26984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_Toc13508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_Toc25562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val="en-US"/>
          </w:rPr>
          <w:t>(五)、地总体要求</w:t>
        </w:r>
        <w:r>
          <w:tab/>
        </w:r>
        <w:r>
          <w:fldChar w:fldCharType="begin"/>
        </w:r>
        <w:r>
          <w:instrText xml:space="preserve"> PAGEREF _Toc29956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_Toc12400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_Toc4833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val="en-US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_Toc18724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val="en-US"/>
          </w:rPr>
          <w:t>八、风险评估与应对策略</w:t>
        </w:r>
        <w:r>
          <w:tab/>
        </w:r>
        <w:r>
          <w:fldChar w:fldCharType="begin"/>
        </w:r>
        <w:r>
          <w:instrText xml:space="preserve"> PAGEREF _Toc31367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val="en-US"/>
          </w:rPr>
          <w:t>(一)、水处理自动化项目风险分析</w:t>
        </w:r>
        <w:r>
          <w:tab/>
        </w:r>
        <w:r>
          <w:fldChar w:fldCharType="begin"/>
        </w:r>
        <w:r>
          <w:instrText xml:space="preserve"> PAGEREF _Toc25352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val="en-US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_Toc2038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val="en-US"/>
          </w:rPr>
          <w:t>九、环境监测与管理</w:t>
        </w:r>
        <w:r>
          <w:tab/>
        </w:r>
        <w:r>
          <w:fldChar w:fldCharType="begin"/>
        </w:r>
        <w:r>
          <w:instrText xml:space="preserve"> PAGEREF _Toc16523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val="en-US"/>
          </w:rPr>
          <w:t>(一)、环境监测计划</w:t>
        </w:r>
        <w:r>
          <w:tab/>
        </w:r>
        <w:r>
          <w:fldChar w:fldCharType="begin"/>
        </w:r>
        <w:r>
          <w:instrText xml:space="preserve"> PAGEREF _Toc6308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4" w:history="1">
        <w:r>
          <w:rPr>
            <w:rFonts w:ascii="仿宋" w:eastAsia="仿宋" w:hAnsi="仿宋" w:cs="仿宋" w:hint="eastAsia"/>
            <w:lang w:val="en-US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_Toc25344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4" w:history="1">
        <w:r>
          <w:rPr>
            <w:rFonts w:ascii="仿宋" w:eastAsia="仿宋" w:hAnsi="仿宋" w:cs="仿宋" w:hint="eastAsia"/>
            <w:lang w:val="en-US"/>
          </w:rPr>
          <w:t>(三)、监测结果分析</w:t>
        </w:r>
        <w:r>
          <w:tab/>
        </w:r>
        <w:r>
          <w:fldChar w:fldCharType="begin"/>
        </w:r>
        <w:r>
          <w:instrText xml:space="preserve"> PAGEREF _Toc17254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val="en-US"/>
          </w:rPr>
          <w:t>(四)、环境管理措施</w:t>
        </w:r>
        <w:r>
          <w:tab/>
        </w:r>
        <w:r>
          <w:fldChar w:fldCharType="begin"/>
        </w:r>
        <w:r>
          <w:instrText xml:space="preserve"> PAGEREF _Toc32117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val="en-US"/>
          </w:rPr>
          <w:t>十、环境影响分析</w:t>
        </w:r>
        <w:r>
          <w:tab/>
        </w:r>
        <w:r>
          <w:fldChar w:fldCharType="begin"/>
        </w:r>
        <w:r>
          <w:instrText xml:space="preserve"> PAGEREF _Toc12406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val="en-US"/>
          </w:rPr>
          <w:t>(一)、大气环境影响</w:t>
        </w:r>
        <w:r>
          <w:tab/>
        </w:r>
        <w:r>
          <w:fldChar w:fldCharType="begin"/>
        </w:r>
        <w:r>
          <w:instrText xml:space="preserve"> PAGEREF _Toc23314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val="en-US"/>
          </w:rPr>
          <w:t>(二)、水环境影响</w:t>
        </w:r>
        <w:r>
          <w:tab/>
        </w:r>
        <w:r>
          <w:fldChar w:fldCharType="begin"/>
        </w:r>
        <w:r>
          <w:instrText xml:space="preserve"> PAGEREF _Toc6863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val="en-US"/>
          </w:rPr>
          <w:t>(三)、土壤环境影响</w:t>
        </w:r>
        <w:r>
          <w:tab/>
        </w:r>
        <w:r>
          <w:fldChar w:fldCharType="begin"/>
        </w:r>
        <w:r>
          <w:instrText xml:space="preserve"> PAGEREF _Toc15768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val="en-US"/>
          </w:rPr>
          <w:t>(四)、生态环境影响</w:t>
        </w:r>
        <w:r>
          <w:tab/>
        </w:r>
        <w:r>
          <w:fldChar w:fldCharType="begin"/>
        </w:r>
        <w:r>
          <w:instrText xml:space="preserve"> PAGEREF _Toc3377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val="en-US"/>
          </w:rPr>
          <w:t>(五)、噪声环境影响</w:t>
        </w:r>
        <w:r>
          <w:tab/>
        </w:r>
        <w:r>
          <w:fldChar w:fldCharType="begin"/>
        </w:r>
        <w:r>
          <w:instrText xml:space="preserve"> PAGEREF _Toc7355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val="en-US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_Toc16528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4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_Toc13674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_Toc28350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_Toc4169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8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_Toc17288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val="en-US"/>
          </w:rPr>
          <w:t>十二、创新驱动</w:t>
        </w:r>
        <w:r>
          <w:tab/>
        </w:r>
        <w:r>
          <w:fldChar w:fldCharType="begin"/>
        </w:r>
        <w:r>
          <w:instrText xml:space="preserve"> PAGEREF _Toc8409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9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_Toc10149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444" w:history="1">
        <w:r>
          <w:rPr>
            <w:rFonts w:ascii="仿宋" w:eastAsia="仿宋" w:hAnsi="仿宋" w:cs="仿宋" w:hint="eastAsia"/>
            <w:lang w:val="en-US"/>
          </w:rPr>
          <w:t>(二)、水处理自动化项目技术工艺分析</w:t>
        </w:r>
        <w:r>
          <w:tab/>
        </w:r>
        <w:r>
          <w:fldChar w:fldCharType="begin"/>
        </w:r>
        <w:r>
          <w:instrText xml:space="preserve"> PAGEREF _Toc27444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_Toc15393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_Toc19517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val="en-US"/>
          </w:rPr>
          <w:t>十三、水处理自动化行业竞争对选址的影响</w:t>
        </w:r>
        <w:r>
          <w:tab/>
        </w:r>
        <w:r>
          <w:fldChar w:fldCharType="begin"/>
        </w:r>
        <w:r>
          <w:instrText xml:space="preserve"> PAGEREF _Toc21040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val="en-US"/>
          </w:rPr>
          <w:t>(一)、地理位置分析</w:t>
        </w:r>
        <w:r>
          <w:tab/>
        </w:r>
        <w:r>
          <w:fldChar w:fldCharType="begin"/>
        </w:r>
        <w:r>
          <w:instrText xml:space="preserve"> PAGEREF _Toc8369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val="en-US"/>
          </w:rPr>
          <w:t>(二)、供应链优势</w:t>
        </w:r>
        <w:r>
          <w:tab/>
        </w:r>
        <w:r>
          <w:fldChar w:fldCharType="begin"/>
        </w:r>
        <w:r>
          <w:instrText xml:space="preserve"> PAGEREF _Toc19085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val="en-US"/>
          </w:rPr>
          <w:t>(三)、人才资源</w:t>
        </w:r>
        <w:r>
          <w:tab/>
        </w:r>
        <w:r>
          <w:fldChar w:fldCharType="begin"/>
        </w:r>
        <w:r>
          <w:instrText xml:space="preserve"> PAGEREF _Toc10635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val="en-US"/>
          </w:rPr>
          <w:t>(四)、政策支持</w:t>
        </w:r>
        <w:r>
          <w:tab/>
        </w:r>
        <w:r>
          <w:fldChar w:fldCharType="begin"/>
        </w:r>
        <w:r>
          <w:instrText xml:space="preserve"> PAGEREF _Toc24782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val="en-US"/>
          </w:rPr>
          <w:t>十四、水处理自动化项目创新与研发</w:t>
        </w:r>
        <w:r>
          <w:tab/>
        </w:r>
        <w:r>
          <w:fldChar w:fldCharType="begin"/>
        </w:r>
        <w:r>
          <w:instrText xml:space="preserve"> PAGEREF _Toc16517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val="en-US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_Toc19024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7" w:history="1">
        <w:r>
          <w:rPr>
            <w:rFonts w:ascii="仿宋" w:eastAsia="仿宋" w:hAnsi="仿宋" w:cs="仿宋" w:hint="eastAsia"/>
            <w:lang w:val="en-US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_Toc17867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val="en-US"/>
          </w:rPr>
          <w:t>十五、法律法规及合规性</w:t>
        </w:r>
        <w:r>
          <w:tab/>
        </w:r>
        <w:r>
          <w:fldChar w:fldCharType="begin"/>
        </w:r>
        <w:r>
          <w:instrText xml:space="preserve"> PAGEREF _Toc3509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9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_Toc14359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9" w:history="1">
        <w:r>
          <w:rPr>
            <w:rFonts w:ascii="仿宋" w:eastAsia="仿宋" w:hAnsi="仿宋" w:cs="仿宋" w:hint="eastAsia"/>
            <w:lang w:val="en-US"/>
          </w:rPr>
          <w:t>(二)、水处理自动化项目合规性评估</w:t>
        </w:r>
        <w:r>
          <w:tab/>
        </w:r>
        <w:r>
          <w:fldChar w:fldCharType="begin"/>
        </w:r>
        <w:r>
          <w:instrText xml:space="preserve"> PAGEREF _Toc24319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_Toc13004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val="en-US"/>
          </w:rPr>
          <w:t>十六、合规与风险管理</w:t>
        </w:r>
        <w:r>
          <w:tab/>
        </w:r>
        <w:r>
          <w:fldChar w:fldCharType="begin"/>
        </w:r>
        <w:r>
          <w:instrText xml:space="preserve"> PAGEREF _Toc28107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_Toc10698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_Toc15943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_Toc14614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_Toc10951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val="en-US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_Toc20105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_Toc23344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_Toc26144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_Toc10387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val="en-US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_Toc5540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9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_Toc22179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_Toc19139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_Toc6645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426" w:history="1">
        <w:r>
          <w:rPr>
            <w:rFonts w:ascii="仿宋" w:eastAsia="仿宋" w:hAnsi="仿宋" w:cs="仿宋" w:hint="eastAsia"/>
            <w:lang w:val="en-US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_Toc30426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_Toc22827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_Toc32239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val="en-US"/>
          </w:rPr>
          <w:t>二十、危机管理与应急响应</w:t>
        </w:r>
        <w:r>
          <w:tab/>
        </w:r>
        <w:r>
          <w:fldChar w:fldCharType="begin"/>
        </w:r>
        <w:r>
          <w:instrText xml:space="preserve"> PAGEREF _Toc18543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val="en-US"/>
          </w:rPr>
          <w:t>(一)、危机预警机制</w:t>
        </w:r>
        <w:r>
          <w:tab/>
        </w:r>
        <w:r>
          <w:fldChar w:fldCharType="begin"/>
        </w:r>
        <w:r>
          <w:instrText xml:space="preserve"> PAGEREF _Toc10935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0" w:history="1">
        <w:r>
          <w:rPr>
            <w:rFonts w:ascii="仿宋" w:eastAsia="仿宋" w:hAnsi="仿宋" w:cs="仿宋" w:hint="eastAsia"/>
            <w:lang w:val="en-US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_Toc14840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7" w:history="1">
        <w:r>
          <w:rPr>
            <w:rFonts w:ascii="仿宋" w:eastAsia="仿宋" w:hAnsi="仿宋" w:cs="仿宋" w:hint="eastAsia"/>
            <w:lang w:val="en-US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_Toc14237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4" w:history="1">
        <w:r>
          <w:rPr>
            <w:rFonts w:ascii="仿宋" w:eastAsia="仿宋" w:hAnsi="仿宋" w:cs="仿宋" w:hint="eastAsia"/>
            <w:lang w:val="en-US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_Toc4964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val="en-US"/>
          </w:rPr>
          <w:t>二十一、市场定位与目标市场</w:t>
        </w:r>
        <w:r>
          <w:tab/>
        </w:r>
        <w:r>
          <w:fldChar w:fldCharType="begin"/>
        </w:r>
        <w:r>
          <w:instrText xml:space="preserve"> PAGEREF _Toc15648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_Toc5929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_Toc6148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9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_Toc27259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https://d.book118.com/516211010124010102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水处理自动化行业企业战略发展规划及建议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水处理自动化行业企业战略发展规划及建议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水处理自动化行业企业战略发展规划及建议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水处理自动化行业企业战略发展规划及建议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水处理自动化行业企业战略发展规划及建议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BF7316"/>
    <w:rsid w:val="02BF73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1621101012401010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2024-03-16T11:10:00Z</dcterms:created>
  <dcterms:modified xsi:type="dcterms:W3CDTF">2024-03-16T11:10:38Z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