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OC1"/>
        <w:tabs>
          <w:tab w:val="right" w:leader="dot" w:pos="9016"/>
        </w:tabs>
        <w:ind w:firstLine="420"/>
        <w:rPr>
          <w:szCs w:val="24"/>
        </w:rPr>
      </w:pPr>
      <w:bookmarkStart w:id="0" w:name="_Toc257368151"/>
      <w:bookmarkStart w:id="1" w:name="_Toc257367900"/>
      <w:r>
        <w:fldChar w:fldCharType="begin"/>
      </w:r>
      <w:r>
        <w:instrText xml:space="preserve"> </w:instrText>
      </w:r>
      <w:r>
        <w:rPr>
          <w:rFonts w:hint="eastAsia"/>
        </w:rPr>
        <w:instrText>TOC \o "1-3" \h \z \u</w:instrText>
      </w:r>
      <w:r>
        <w:instrText xml:space="preserve"> </w:instrText>
      </w:r>
      <w:r>
        <w:fldChar w:fldCharType="separate"/>
      </w:r>
      <w:hyperlink w:anchor="_Toc257389139" w:history="1">
        <w:r>
          <w:rPr>
            <w:rStyle w:val="Hyperlink"/>
            <w:rFonts w:hint="eastAsia"/>
            <w:kern w:val="0"/>
          </w:rPr>
          <w:t>一</w:t>
        </w:r>
        <w:r>
          <w:rPr>
            <w:rStyle w:val="Hyperlink"/>
            <w:kern w:val="0"/>
          </w:rPr>
          <w:t xml:space="preserve">. </w:t>
        </w:r>
        <w:r>
          <w:rPr>
            <w:rStyle w:val="Hyperlink"/>
            <w:rFonts w:hint="eastAsia"/>
            <w:kern w:val="0"/>
          </w:rPr>
          <w:t>工程概况</w:t>
        </w:r>
        <w:r>
          <w:tab/>
        </w:r>
        <w:r>
          <w:fldChar w:fldCharType="begin"/>
        </w:r>
        <w:r>
          <w:instrText xml:space="preserve"> PAGEREF _Toc257389139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40" w:history="1">
        <w:r>
          <w:rPr>
            <w:rStyle w:val="Hyperlink"/>
            <w:kern w:val="0"/>
          </w:rPr>
          <w:t>1.</w:t>
        </w:r>
        <w:r>
          <w:rPr>
            <w:rStyle w:val="Hyperlink"/>
            <w:rFonts w:hint="eastAsia"/>
            <w:kern w:val="0"/>
          </w:rPr>
          <w:t>工程名称</w:t>
        </w:r>
        <w:r>
          <w:tab/>
        </w:r>
        <w:r>
          <w:fldChar w:fldCharType="begin"/>
        </w:r>
        <w:r>
          <w:instrText xml:space="preserve"> PAGEREF _Toc257389140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41" w:history="1">
        <w:r>
          <w:rPr>
            <w:rStyle w:val="Hyperlink"/>
            <w:kern w:val="0"/>
          </w:rPr>
          <w:t>2.</w:t>
        </w:r>
        <w:r>
          <w:rPr>
            <w:rStyle w:val="Hyperlink"/>
            <w:rFonts w:hint="eastAsia"/>
            <w:kern w:val="0"/>
          </w:rPr>
          <w:t>工程项目概述</w:t>
        </w:r>
        <w:r>
          <w:tab/>
        </w:r>
        <w:r>
          <w:fldChar w:fldCharType="begin"/>
        </w:r>
        <w:r>
          <w:instrText xml:space="preserve"> PAGEREF _Toc257389141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42" w:history="1">
        <w:r>
          <w:rPr>
            <w:rStyle w:val="Hyperlink"/>
            <w:kern w:val="0"/>
          </w:rPr>
          <w:t>3.</w:t>
        </w:r>
        <w:r>
          <w:rPr>
            <w:rStyle w:val="Hyperlink"/>
            <w:rFonts w:hint="eastAsia"/>
            <w:kern w:val="0"/>
          </w:rPr>
          <w:t>工程水文地质条件</w:t>
        </w:r>
        <w:r>
          <w:tab/>
        </w:r>
        <w:r>
          <w:fldChar w:fldCharType="begin"/>
        </w:r>
        <w:r>
          <w:instrText xml:space="preserve"> PAGEREF _Toc257389142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43" w:history="1">
        <w:r>
          <w:rPr>
            <w:rStyle w:val="Hyperlink"/>
            <w:kern w:val="0"/>
          </w:rPr>
          <w:t>4.</w:t>
        </w:r>
        <w:r>
          <w:rPr>
            <w:rStyle w:val="Hyperlink"/>
            <w:rFonts w:hint="eastAsia"/>
            <w:kern w:val="0"/>
          </w:rPr>
          <w:t>工程场地周边环境条件</w:t>
        </w:r>
        <w:r>
          <w:tab/>
        </w:r>
        <w:r>
          <w:fldChar w:fldCharType="begin"/>
        </w:r>
        <w:r>
          <w:instrText xml:space="preserve"> PAGEREF _Toc257389143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9016"/>
        </w:tabs>
        <w:ind w:firstLine="420"/>
        <w:rPr>
          <w:szCs w:val="24"/>
        </w:rPr>
      </w:pPr>
      <w:hyperlink w:anchor="_Toc257389144" w:history="1">
        <w:r>
          <w:rPr>
            <w:rStyle w:val="Hyperlink"/>
            <w:rFonts w:hint="eastAsia"/>
            <w:kern w:val="0"/>
          </w:rPr>
          <w:t>二</w:t>
        </w:r>
        <w:r>
          <w:rPr>
            <w:rStyle w:val="Hyperlink"/>
            <w:kern w:val="0"/>
          </w:rPr>
          <w:t>.</w:t>
        </w:r>
        <w:r>
          <w:rPr>
            <w:rStyle w:val="Hyperlink"/>
            <w:rFonts w:hint="eastAsia"/>
            <w:kern w:val="0"/>
          </w:rPr>
          <w:t>施工方案</w:t>
        </w:r>
        <w:r>
          <w:tab/>
        </w:r>
        <w:r>
          <w:fldChar w:fldCharType="begin"/>
        </w:r>
        <w:r>
          <w:instrText xml:space="preserve"> PAGEREF _Toc257389144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45" w:history="1">
        <w:r>
          <w:rPr>
            <w:rStyle w:val="Hyperlink"/>
            <w:kern w:val="0"/>
          </w:rPr>
          <w:t>1.</w:t>
        </w:r>
        <w:r>
          <w:rPr>
            <w:rStyle w:val="Hyperlink"/>
            <w:rFonts w:hint="eastAsia"/>
          </w:rPr>
          <w:t>采用大开挖部分</w:t>
        </w:r>
        <w:r>
          <w:tab/>
        </w:r>
        <w:r>
          <w:fldChar w:fldCharType="begin"/>
        </w:r>
        <w:r>
          <w:instrText xml:space="preserve"> PAGEREF _Toc257389145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46" w:history="1">
        <w:r>
          <w:rPr>
            <w:rStyle w:val="Hyperlink"/>
            <w:kern w:val="0"/>
          </w:rPr>
          <w:t>1.1</w:t>
        </w:r>
        <w:r>
          <w:rPr>
            <w:rStyle w:val="Hyperlink"/>
            <w:rFonts w:hint="eastAsia"/>
            <w:kern w:val="0"/>
          </w:rPr>
          <w:t>基坑开挖</w:t>
        </w:r>
        <w:r>
          <w:tab/>
        </w:r>
        <w:r>
          <w:fldChar w:fldCharType="begin"/>
        </w:r>
        <w:r>
          <w:instrText xml:space="preserve"> PAGEREF _Toc257389146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47" w:history="1">
        <w:r>
          <w:rPr>
            <w:rStyle w:val="Hyperlink"/>
          </w:rPr>
          <w:t>1.2</w:t>
        </w:r>
        <w:r>
          <w:rPr>
            <w:rStyle w:val="Hyperlink"/>
            <w:rFonts w:hint="eastAsia"/>
          </w:rPr>
          <w:t>基坑支护施工顺序</w:t>
        </w:r>
        <w:r>
          <w:tab/>
        </w:r>
        <w:r>
          <w:fldChar w:fldCharType="begin"/>
        </w:r>
        <w:r>
          <w:instrText xml:space="preserve"> PAGEREF _Toc257389147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9016"/>
        </w:tabs>
        <w:ind w:firstLine="840" w:firstLineChars="400"/>
        <w:rPr>
          <w:szCs w:val="24"/>
        </w:rPr>
      </w:pPr>
      <w:hyperlink w:anchor="_Toc257389148" w:history="1">
        <w:r>
          <w:rPr>
            <w:rStyle w:val="Hyperlink"/>
            <w:kern w:val="0"/>
          </w:rPr>
          <w:t>1.3</w:t>
        </w:r>
        <w:r>
          <w:rPr>
            <w:rStyle w:val="Hyperlink"/>
            <w:rFonts w:hint="eastAsia"/>
            <w:kern w:val="0"/>
          </w:rPr>
          <w:t>沟槽内支护</w:t>
        </w:r>
        <w:r>
          <w:tab/>
        </w:r>
        <w:r>
          <w:fldChar w:fldCharType="begin"/>
        </w:r>
        <w:r>
          <w:instrText xml:space="preserve"> PAGEREF _Toc257389148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49" w:history="1">
        <w:r>
          <w:rPr>
            <w:rStyle w:val="Hyperlink"/>
            <w:kern w:val="0"/>
          </w:rPr>
          <w:t>1.3.1</w:t>
        </w:r>
        <w:r>
          <w:rPr>
            <w:rStyle w:val="Hyperlink"/>
            <w:rFonts w:hint="eastAsia"/>
            <w:kern w:val="0"/>
          </w:rPr>
          <w:t>支护作业基本要求</w:t>
        </w:r>
        <w:r>
          <w:tab/>
        </w:r>
        <w:r>
          <w:fldChar w:fldCharType="begin"/>
        </w:r>
        <w:r>
          <w:instrText xml:space="preserve"> PAGEREF _Toc257389149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50" w:history="1">
        <w:r>
          <w:rPr>
            <w:rStyle w:val="Hyperlink"/>
            <w:kern w:val="0"/>
          </w:rPr>
          <w:t>1.3.2</w:t>
        </w:r>
        <w:r>
          <w:rPr>
            <w:rStyle w:val="Hyperlink"/>
            <w:rFonts w:hint="eastAsia"/>
            <w:kern w:val="0"/>
          </w:rPr>
          <w:t>拆撑作业基本要求</w:t>
        </w:r>
        <w:r>
          <w:tab/>
        </w:r>
        <w:r>
          <w:fldChar w:fldCharType="begin"/>
        </w:r>
        <w:r>
          <w:instrText xml:space="preserve"> PAGEREF _Toc257389150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51" w:history="1">
        <w:r>
          <w:rPr>
            <w:rStyle w:val="Hyperlink"/>
            <w:kern w:val="0"/>
          </w:rPr>
          <w:t>1.3.3</w:t>
        </w:r>
        <w:r>
          <w:rPr>
            <w:rStyle w:val="Hyperlink"/>
            <w:rFonts w:hint="eastAsia"/>
            <w:kern w:val="0"/>
          </w:rPr>
          <w:t>基坑内排水</w:t>
        </w:r>
        <w:r>
          <w:tab/>
        </w:r>
        <w:r>
          <w:fldChar w:fldCharType="begin"/>
        </w:r>
        <w:r>
          <w:instrText xml:space="preserve"> PAGEREF _Toc257389151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52" w:history="1">
        <w:r>
          <w:rPr>
            <w:rStyle w:val="Hyperlink"/>
          </w:rPr>
          <w:t>2.</w:t>
        </w:r>
        <w:r>
          <w:rPr>
            <w:rStyle w:val="Hyperlink"/>
            <w:rFonts w:hint="eastAsia"/>
          </w:rPr>
          <w:t>采用钢板桩支护部分</w:t>
        </w:r>
        <w:r>
          <w:tab/>
        </w:r>
        <w:r>
          <w:fldChar w:fldCharType="begin"/>
        </w:r>
        <w:r>
          <w:instrText xml:space="preserve"> PAGEREF _Toc257389152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53" w:history="1">
        <w:r>
          <w:rPr>
            <w:rStyle w:val="Hyperlink"/>
            <w:kern w:val="0"/>
          </w:rPr>
          <w:t>2.1</w:t>
        </w:r>
        <w:r>
          <w:rPr>
            <w:rStyle w:val="Hyperlink"/>
            <w:rFonts w:hint="eastAsia"/>
            <w:kern w:val="0"/>
          </w:rPr>
          <w:t>沟槽基坑支护施工顺序</w:t>
        </w:r>
        <w:r>
          <w:tab/>
        </w:r>
        <w:r>
          <w:fldChar w:fldCharType="begin"/>
        </w:r>
        <w:r>
          <w:instrText xml:space="preserve"> PAGEREF _Toc257389153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54" w:history="1">
        <w:r>
          <w:rPr>
            <w:rStyle w:val="Hyperlink"/>
          </w:rPr>
          <w:t>2.2</w:t>
        </w:r>
        <w:r>
          <w:rPr>
            <w:rStyle w:val="Hyperlink"/>
            <w:rFonts w:hint="eastAsia"/>
          </w:rPr>
          <w:t>施工准备</w:t>
        </w:r>
        <w:r>
          <w:tab/>
        </w:r>
        <w:r>
          <w:fldChar w:fldCharType="begin"/>
        </w:r>
        <w:r>
          <w:instrText xml:space="preserve"> PAGEREF _Toc257389154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55" w:history="1">
        <w:r>
          <w:rPr>
            <w:rStyle w:val="Hyperlink"/>
          </w:rPr>
          <w:t>2.3</w:t>
        </w:r>
        <w:r>
          <w:rPr>
            <w:rStyle w:val="Hyperlink"/>
            <w:rFonts w:hint="eastAsia"/>
          </w:rPr>
          <w:t>打支护桩</w:t>
        </w:r>
        <w:r>
          <w:tab/>
        </w:r>
        <w:r>
          <w:fldChar w:fldCharType="begin"/>
        </w:r>
        <w:r>
          <w:instrText xml:space="preserve"> PAGEREF _Toc257389155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56" w:history="1">
        <w:r>
          <w:rPr>
            <w:rStyle w:val="Hyperlink"/>
          </w:rPr>
          <w:t>2.4</w:t>
        </w:r>
        <w:r>
          <w:rPr>
            <w:rStyle w:val="Hyperlink"/>
            <w:rFonts w:hint="eastAsia"/>
          </w:rPr>
          <w:t>打桩机械选择</w:t>
        </w:r>
        <w:r>
          <w:tab/>
        </w:r>
        <w:r>
          <w:fldChar w:fldCharType="begin"/>
        </w:r>
        <w:r>
          <w:instrText xml:space="preserve"> PAGEREF _Toc257389156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57" w:history="1">
        <w:r>
          <w:rPr>
            <w:rStyle w:val="Hyperlink"/>
          </w:rPr>
          <w:t>2.5</w:t>
        </w:r>
        <w:r>
          <w:rPr>
            <w:rStyle w:val="Hyperlink"/>
            <w:rFonts w:hint="eastAsia"/>
          </w:rPr>
          <w:t>打桩方式的选择</w:t>
        </w:r>
        <w:r>
          <w:tab/>
        </w:r>
        <w:r>
          <w:fldChar w:fldCharType="begin"/>
        </w:r>
        <w:r>
          <w:instrText xml:space="preserve"> PAGEREF _Toc257389157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58" w:history="1">
        <w:r>
          <w:rPr>
            <w:rStyle w:val="Hyperlink"/>
          </w:rPr>
          <w:t>2.6</w:t>
        </w:r>
        <w:r>
          <w:rPr>
            <w:rStyle w:val="Hyperlink"/>
            <w:rFonts w:hint="eastAsia"/>
          </w:rPr>
          <w:t>打桩施工中常见问题的分析及处理：</w:t>
        </w:r>
        <w:r>
          <w:tab/>
        </w:r>
        <w:r>
          <w:fldChar w:fldCharType="begin"/>
        </w:r>
        <w:r>
          <w:instrText xml:space="preserve"> PAGEREF _Toc257389158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59" w:history="1">
        <w:r>
          <w:rPr>
            <w:rStyle w:val="Hyperlink"/>
          </w:rPr>
          <w:t>2.7</w:t>
        </w:r>
        <w:r>
          <w:rPr>
            <w:rStyle w:val="Hyperlink"/>
            <w:rFonts w:hint="eastAsia"/>
          </w:rPr>
          <w:t>打桩深度、开挖宽度的确定</w:t>
        </w:r>
        <w:r>
          <w:tab/>
        </w:r>
        <w:r>
          <w:fldChar w:fldCharType="begin"/>
        </w:r>
        <w:r>
          <w:instrText xml:space="preserve"> PAGEREF _Toc257389159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9016"/>
        </w:tabs>
        <w:ind w:firstLine="420"/>
        <w:rPr>
          <w:szCs w:val="24"/>
        </w:rPr>
      </w:pPr>
      <w:hyperlink w:anchor="_Toc257389160" w:history="1">
        <w:r>
          <w:rPr>
            <w:rStyle w:val="Hyperlink"/>
            <w:rFonts w:hint="eastAsia"/>
            <w:kern w:val="0"/>
          </w:rPr>
          <w:t>三、基坑支护工程的现场监测</w:t>
        </w:r>
        <w:r>
          <w:tab/>
        </w:r>
        <w:r>
          <w:fldChar w:fldCharType="begin"/>
        </w:r>
        <w:r>
          <w:instrText xml:space="preserve"> PAGEREF _Toc257389160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61" w:history="1">
        <w:r>
          <w:rPr>
            <w:rStyle w:val="Hyperlink"/>
            <w:kern w:val="24"/>
          </w:rPr>
          <w:t>1</w:t>
        </w:r>
        <w:r>
          <w:rPr>
            <w:rStyle w:val="Hyperlink"/>
            <w:rFonts w:hint="eastAsia"/>
            <w:kern w:val="24"/>
          </w:rPr>
          <w:t>基坑观测的内容</w:t>
        </w:r>
        <w:r>
          <w:tab/>
        </w:r>
        <w:r>
          <w:fldChar w:fldCharType="begin"/>
        </w:r>
        <w:r>
          <w:instrText xml:space="preserve"> PAGEREF _Toc257389161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62" w:history="1">
        <w:r>
          <w:rPr>
            <w:rStyle w:val="Hyperlink"/>
            <w:kern w:val="24"/>
          </w:rPr>
          <w:t>2</w:t>
        </w:r>
        <w:r>
          <w:rPr>
            <w:rStyle w:val="Hyperlink"/>
            <w:rFonts w:hint="eastAsia"/>
            <w:kern w:val="24"/>
          </w:rPr>
          <w:t>基坑观测点的布置</w:t>
        </w:r>
        <w:r>
          <w:tab/>
        </w:r>
        <w:r>
          <w:fldChar w:fldCharType="begin"/>
        </w:r>
        <w:r>
          <w:instrText xml:space="preserve"> PAGEREF _Toc257389162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63" w:history="1">
        <w:r>
          <w:rPr>
            <w:rStyle w:val="Hyperlink"/>
            <w:kern w:val="24"/>
          </w:rPr>
          <w:t>3</w:t>
        </w:r>
        <w:r>
          <w:rPr>
            <w:rStyle w:val="Hyperlink"/>
            <w:rFonts w:hint="eastAsia"/>
            <w:kern w:val="24"/>
          </w:rPr>
          <w:t>监测频率</w:t>
        </w:r>
        <w:r>
          <w:tab/>
        </w:r>
        <w:r>
          <w:fldChar w:fldCharType="begin"/>
        </w:r>
        <w:r>
          <w:instrText xml:space="preserve"> PAGEREF _Toc257389163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64" w:history="1">
        <w:r>
          <w:rPr>
            <w:rStyle w:val="Hyperlink"/>
          </w:rPr>
          <w:t>4</w:t>
        </w:r>
        <w:r>
          <w:rPr>
            <w:rStyle w:val="Hyperlink"/>
            <w:rFonts w:hint="eastAsia"/>
          </w:rPr>
          <w:t>钢板桩的检验与矫正</w:t>
        </w:r>
        <w:r>
          <w:tab/>
        </w:r>
        <w:r>
          <w:fldChar w:fldCharType="begin"/>
        </w:r>
        <w:r>
          <w:instrText xml:space="preserve"> PAGEREF _Toc257389164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65" w:history="1">
        <w:r>
          <w:rPr>
            <w:rStyle w:val="Hyperlink"/>
          </w:rPr>
          <w:t>4.1</w:t>
        </w:r>
        <w:r>
          <w:rPr>
            <w:rStyle w:val="Hyperlink"/>
            <w:rFonts w:hint="eastAsia"/>
          </w:rPr>
          <w:t>钢板桩检验</w:t>
        </w:r>
        <w:r>
          <w:tab/>
        </w:r>
        <w:r>
          <w:fldChar w:fldCharType="begin"/>
        </w:r>
        <w:r>
          <w:instrText xml:space="preserve"> PAGEREF _Toc257389165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66" w:history="1">
        <w:r>
          <w:rPr>
            <w:rStyle w:val="Hyperlink"/>
          </w:rPr>
          <w:t>4.2</w:t>
        </w:r>
        <w:r>
          <w:rPr>
            <w:rStyle w:val="Hyperlink"/>
            <w:rFonts w:hint="eastAsia"/>
          </w:rPr>
          <w:t>钢板桩矫正</w:t>
        </w:r>
        <w:r>
          <w:tab/>
        </w:r>
        <w:r>
          <w:fldChar w:fldCharType="begin"/>
        </w:r>
        <w:r>
          <w:instrText xml:space="preserve"> PAGEREF _Toc257389166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67" w:history="1">
        <w:r>
          <w:rPr>
            <w:rStyle w:val="Hyperlink"/>
          </w:rPr>
          <w:t>4.3</w:t>
        </w:r>
        <w:r>
          <w:rPr>
            <w:rStyle w:val="Hyperlink"/>
            <w:rFonts w:hint="eastAsia"/>
          </w:rPr>
          <w:t>钢板桩允许偏差</w:t>
        </w:r>
        <w:r>
          <w:tab/>
        </w:r>
        <w:r>
          <w:fldChar w:fldCharType="begin"/>
        </w:r>
        <w:r>
          <w:instrText xml:space="preserve"> PAGEREF _Toc257389167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68" w:history="1">
        <w:r>
          <w:rPr>
            <w:rStyle w:val="Hyperlink"/>
          </w:rPr>
          <w:t>4.4</w:t>
        </w:r>
        <w:r>
          <w:rPr>
            <w:rStyle w:val="Hyperlink"/>
            <w:rFonts w:hint="eastAsia"/>
          </w:rPr>
          <w:t>钢板桩的支撑</w:t>
        </w:r>
        <w:r>
          <w:tab/>
        </w:r>
        <w:r>
          <w:fldChar w:fldCharType="begin"/>
        </w:r>
        <w:r>
          <w:instrText xml:space="preserve"> PAGEREF _Toc257389168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9016"/>
        </w:tabs>
        <w:ind w:firstLine="420"/>
        <w:rPr>
          <w:szCs w:val="24"/>
        </w:rPr>
      </w:pPr>
      <w:hyperlink w:anchor="_Toc257389169" w:history="1">
        <w:r>
          <w:rPr>
            <w:rStyle w:val="Hyperlink"/>
            <w:rFonts w:hint="eastAsia"/>
            <w:kern w:val="0"/>
          </w:rPr>
          <w:t>四、基坑开挖中出现的问题及相应的应变措施</w:t>
        </w:r>
        <w:r>
          <w:tab/>
        </w:r>
        <w:r>
          <w:fldChar w:fldCharType="begin"/>
        </w:r>
        <w:r>
          <w:instrText xml:space="preserve"> PAGEREF _Toc257389169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70" w:history="1">
        <w:r>
          <w:rPr>
            <w:rStyle w:val="Hyperlink"/>
            <w:kern w:val="0"/>
          </w:rPr>
          <w:t>1</w:t>
        </w:r>
        <w:r>
          <w:rPr>
            <w:rStyle w:val="Hyperlink"/>
            <w:rFonts w:hint="eastAsia"/>
            <w:kern w:val="0"/>
          </w:rPr>
          <w:t>开挖中可能出现的问题</w:t>
        </w:r>
        <w:r>
          <w:tab/>
        </w:r>
        <w:r>
          <w:fldChar w:fldCharType="begin"/>
        </w:r>
        <w:r>
          <w:instrText xml:space="preserve"> PAGEREF _Toc257389170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71" w:history="1">
        <w:r>
          <w:rPr>
            <w:rStyle w:val="Hyperlink"/>
            <w:kern w:val="0"/>
          </w:rPr>
          <w:t>2</w:t>
        </w:r>
        <w:r>
          <w:rPr>
            <w:rStyle w:val="Hyperlink"/>
            <w:rFonts w:hint="eastAsia"/>
            <w:kern w:val="0"/>
          </w:rPr>
          <w:t>安全、稳定应变措施</w:t>
        </w:r>
        <w:r>
          <w:tab/>
        </w:r>
        <w:r>
          <w:fldChar w:fldCharType="begin"/>
        </w:r>
        <w:r>
          <w:instrText xml:space="preserve"> PAGEREF _Toc257389171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72" w:history="1">
        <w:r>
          <w:rPr>
            <w:rStyle w:val="Hyperlink"/>
          </w:rPr>
          <w:t>3</w:t>
        </w:r>
        <w:r>
          <w:rPr>
            <w:rStyle w:val="Hyperlink"/>
            <w:rFonts w:hint="eastAsia"/>
          </w:rPr>
          <w:t>支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撑</w:t>
        </w:r>
        <w:r>
          <w:tab/>
        </w:r>
        <w:r>
          <w:fldChar w:fldCharType="begin"/>
        </w:r>
        <w:r>
          <w:instrText xml:space="preserve"> PAGEREF _Toc257389172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9016"/>
        </w:tabs>
        <w:ind w:firstLine="420"/>
        <w:rPr>
          <w:szCs w:val="24"/>
        </w:rPr>
      </w:pPr>
      <w:hyperlink w:anchor="_Toc257389173" w:history="1">
        <w:r>
          <w:rPr>
            <w:rStyle w:val="Hyperlink"/>
            <w:rFonts w:hint="eastAsia"/>
            <w:kern w:val="0"/>
          </w:rPr>
          <w:t>五、污水管道安装</w:t>
        </w:r>
        <w:r>
          <w:tab/>
        </w:r>
        <w:r>
          <w:fldChar w:fldCharType="begin"/>
        </w:r>
        <w:r>
          <w:instrText xml:space="preserve"> PAGEREF _Toc257389173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9016"/>
        </w:tabs>
        <w:ind w:firstLine="420"/>
        <w:rPr>
          <w:szCs w:val="24"/>
        </w:rPr>
      </w:pPr>
      <w:hyperlink w:anchor="_Toc257389174" w:history="1">
        <w:r>
          <w:rPr>
            <w:rStyle w:val="Hyperlink"/>
            <w:rFonts w:hint="eastAsia"/>
            <w:kern w:val="0"/>
          </w:rPr>
          <w:t>六、沟槽回填</w:t>
        </w:r>
        <w:r>
          <w:tab/>
        </w:r>
        <w:r>
          <w:fldChar w:fldCharType="begin"/>
        </w:r>
        <w:r>
          <w:instrText xml:space="preserve"> PAGEREF _Toc257389174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9016"/>
        </w:tabs>
        <w:ind w:firstLine="420"/>
        <w:rPr>
          <w:szCs w:val="24"/>
        </w:rPr>
      </w:pPr>
      <w:hyperlink w:anchor="_Toc257389175" w:history="1">
        <w:r>
          <w:rPr>
            <w:rStyle w:val="Hyperlink"/>
            <w:rFonts w:hint="eastAsia"/>
            <w:kern w:val="0"/>
          </w:rPr>
          <w:t>七、钢板桩的拔除</w:t>
        </w:r>
        <w:r>
          <w:tab/>
        </w:r>
        <w:r>
          <w:fldChar w:fldCharType="begin"/>
        </w:r>
        <w:r>
          <w:instrText xml:space="preserve"> PAGEREF _Toc257389175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76" w:history="1">
        <w:r>
          <w:rPr>
            <w:rStyle w:val="Hyperlink"/>
          </w:rPr>
          <w:t>1</w:t>
        </w:r>
        <w:r>
          <w:rPr>
            <w:rStyle w:val="Hyperlink"/>
            <w:rFonts w:hint="eastAsia"/>
          </w:rPr>
          <w:t>拔桩作业开始时的注意事项</w:t>
        </w:r>
        <w:r>
          <w:tab/>
        </w:r>
        <w:r>
          <w:fldChar w:fldCharType="begin"/>
        </w:r>
        <w:r>
          <w:instrText xml:space="preserve"> PAGEREF _Toc257389176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77" w:history="1">
        <w:r>
          <w:rPr>
            <w:rStyle w:val="Hyperlink"/>
          </w:rPr>
          <w:t>2</w:t>
        </w:r>
        <w:r>
          <w:rPr>
            <w:rStyle w:val="Hyperlink"/>
            <w:rFonts w:hint="eastAsia"/>
          </w:rPr>
          <w:t>拔桩作业结束后的注意事项</w:t>
        </w:r>
        <w:r>
          <w:tab/>
        </w:r>
        <w:r>
          <w:fldChar w:fldCharType="begin"/>
        </w:r>
        <w:r>
          <w:instrText xml:space="preserve"> PAGEREF _Toc257389177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9016"/>
        </w:tabs>
        <w:ind w:firstLine="420"/>
        <w:rPr>
          <w:szCs w:val="24"/>
        </w:rPr>
      </w:pPr>
      <w:hyperlink w:anchor="_Toc257389178" w:history="1">
        <w:r>
          <w:rPr>
            <w:rStyle w:val="Hyperlink"/>
            <w:rFonts w:hint="eastAsia"/>
            <w:kern w:val="0"/>
          </w:rPr>
          <w:t>八、机械设备及劳动力配置</w:t>
        </w:r>
        <w:r>
          <w:tab/>
        </w:r>
        <w:r>
          <w:fldChar w:fldCharType="begin"/>
        </w:r>
        <w:r>
          <w:instrText xml:space="preserve"> PAGEREF _Toc257389178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79" w:history="1">
        <w:r>
          <w:rPr>
            <w:rStyle w:val="Hyperlink"/>
          </w:rPr>
          <w:t>1</w:t>
        </w:r>
        <w:r>
          <w:rPr>
            <w:rStyle w:val="Hyperlink"/>
            <w:rFonts w:hint="eastAsia"/>
          </w:rPr>
          <w:t>机械配置</w:t>
        </w:r>
        <w:r>
          <w:tab/>
        </w:r>
        <w:r>
          <w:fldChar w:fldCharType="begin"/>
        </w:r>
        <w:r>
          <w:instrText xml:space="preserve"> PAGEREF _Toc257389179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9016"/>
        </w:tabs>
        <w:ind w:firstLine="420"/>
        <w:rPr>
          <w:szCs w:val="24"/>
        </w:rPr>
      </w:pPr>
      <w:hyperlink w:anchor="_Toc257389180" w:history="1">
        <w:r>
          <w:rPr>
            <w:rStyle w:val="Hyperlink"/>
          </w:rPr>
          <w:t>2</w:t>
        </w:r>
        <w:r>
          <w:rPr>
            <w:rStyle w:val="Hyperlink"/>
            <w:rFonts w:hint="eastAsia"/>
          </w:rPr>
          <w:t>劳动力配置</w:t>
        </w:r>
        <w:r>
          <w:tab/>
        </w:r>
        <w:r>
          <w:fldChar w:fldCharType="begin"/>
        </w:r>
        <w:r>
          <w:instrText xml:space="preserve"> PAGEREF _Toc257389180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9016"/>
        </w:tabs>
        <w:ind w:firstLine="420"/>
        <w:rPr>
          <w:szCs w:val="24"/>
        </w:rPr>
      </w:pPr>
      <w:hyperlink w:anchor="_Toc257389181" w:history="1">
        <w:r>
          <w:rPr>
            <w:rStyle w:val="Hyperlink"/>
            <w:rFonts w:hint="eastAsia"/>
            <w:kern w:val="0"/>
          </w:rPr>
          <w:t>九、施工进度计划</w:t>
        </w:r>
        <w:r>
          <w:tab/>
        </w:r>
        <w:r>
          <w:fldChar w:fldCharType="begin"/>
        </w:r>
        <w:r>
          <w:instrText xml:space="preserve"> PAGEREF _Toc257389181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9016"/>
        </w:tabs>
        <w:ind w:firstLine="420"/>
        <w:rPr>
          <w:szCs w:val="24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8" w:right="1440" w:bottom="1418" w:left="1440" w:header="851" w:footer="992" w:gutter="0"/>
          <w:pgNumType w:start="1"/>
          <w:cols w:space="708"/>
          <w:titlePg/>
          <w:docGrid w:type="lines" w:linePitch="312"/>
        </w:sectPr>
      </w:pPr>
      <w:hyperlink w:anchor="_Toc257389182" w:history="1">
        <w:r>
          <w:rPr>
            <w:rStyle w:val="Hyperlink"/>
            <w:rFonts w:hint="eastAsia"/>
            <w:kern w:val="0"/>
          </w:rPr>
          <w:t>十、安全措施</w:t>
        </w:r>
        <w:r>
          <w:tab/>
        </w:r>
        <w:r>
          <w:fldChar w:fldCharType="begin"/>
        </w:r>
        <w:r>
          <w:instrText xml:space="preserve"> PAGEREF _Toc257389182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ind w:firstLine="420"/>
        <w:rPr>
          <w:rFonts w:hint="eastAsia"/>
        </w:rPr>
      </w:pPr>
      <w:r>
        <w:fldChar w:fldCharType="end"/>
      </w:r>
    </w:p>
    <w:p>
      <w:pPr>
        <w:pStyle w:val="Heading1"/>
        <w:spacing w:line="360" w:lineRule="auto"/>
        <w:ind w:firstLine="562"/>
        <w:jc w:val="left"/>
        <w:rPr>
          <w:rFonts w:hint="eastAsia"/>
          <w:kern w:val="0"/>
          <w:sz w:val="28"/>
        </w:rPr>
      </w:pPr>
      <w:bookmarkStart w:id="2" w:name="_Toc257388678"/>
      <w:bookmarkStart w:id="3" w:name="_Toc257389139"/>
      <w:bookmarkStart w:id="4" w:name="_Toc257388343"/>
      <w:r>
        <w:rPr>
          <w:rFonts w:hint="eastAsia"/>
          <w:kern w:val="0"/>
          <w:sz w:val="28"/>
        </w:rPr>
        <w:t>一</w:t>
      </w:r>
      <w:r>
        <w:rPr>
          <w:kern w:val="0"/>
          <w:sz w:val="28"/>
        </w:rPr>
        <w:t xml:space="preserve">. </w:t>
      </w:r>
      <w:r>
        <w:rPr>
          <w:rFonts w:hint="eastAsia"/>
          <w:kern w:val="0"/>
          <w:sz w:val="28"/>
        </w:rPr>
        <w:t>工程概况</w:t>
      </w:r>
      <w:bookmarkEnd w:id="0"/>
      <w:bookmarkEnd w:id="1"/>
      <w:bookmarkEnd w:id="2"/>
      <w:bookmarkEnd w:id="3"/>
      <w:bookmarkEnd w:id="4"/>
    </w:p>
    <w:p>
      <w:pPr>
        <w:pStyle w:val="Heading2"/>
        <w:ind w:left="420" w:firstLine="562"/>
        <w:rPr>
          <w:rFonts w:hint="eastAsia"/>
          <w:kern w:val="0"/>
          <w:szCs w:val="28"/>
        </w:rPr>
      </w:pPr>
      <w:bookmarkStart w:id="5" w:name="_Toc257388344"/>
      <w:bookmarkStart w:id="6" w:name="_Toc257389140"/>
      <w:bookmarkStart w:id="7" w:name="_Toc257368152"/>
      <w:bookmarkStart w:id="8" w:name="_Toc257388679"/>
      <w:bookmarkStart w:id="9" w:name="_Toc243809378"/>
      <w:bookmarkStart w:id="10" w:name="_Toc257367901"/>
      <w:r>
        <w:rPr>
          <w:kern w:val="0"/>
          <w:szCs w:val="28"/>
        </w:rPr>
        <w:t>1.</w:t>
      </w:r>
      <w:r>
        <w:rPr>
          <w:rFonts w:hint="eastAsia"/>
          <w:kern w:val="0"/>
          <w:szCs w:val="28"/>
        </w:rPr>
        <w:t>工程名称</w:t>
      </w:r>
      <w:bookmarkEnd w:id="5"/>
      <w:bookmarkEnd w:id="6"/>
      <w:bookmarkEnd w:id="7"/>
      <w:bookmarkEnd w:id="8"/>
      <w:bookmarkEnd w:id="9"/>
      <w:bookmarkEnd w:id="10"/>
    </w:p>
    <w:p>
      <w:pPr>
        <w:snapToGrid w:val="0"/>
        <w:spacing w:line="360" w:lineRule="auto"/>
        <w:ind w:firstLine="560"/>
        <w:rPr>
          <w:rFonts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松白路光明新区段工程</w:t>
      </w:r>
      <w:r>
        <w:rPr>
          <w:rFonts w:ascii="宋体" w:hAnsi="宋体" w:hint="eastAsia"/>
          <w:sz w:val="28"/>
          <w:szCs w:val="28"/>
        </w:rPr>
        <w:t>Ⅱ</w:t>
      </w:r>
      <w:r>
        <w:rPr>
          <w:rFonts w:ascii="宋体" w:hAnsi="宋体" w:hint="eastAsia"/>
          <w:sz w:val="28"/>
          <w:szCs w:val="28"/>
        </w:rPr>
        <w:t>标-深基坑支护工程</w:t>
      </w:r>
      <w:r>
        <w:rPr>
          <w:rFonts w:hint="eastAsia"/>
          <w:sz w:val="28"/>
          <w:szCs w:val="28"/>
        </w:rPr>
        <w:t>。</w:t>
      </w:r>
    </w:p>
    <w:p>
      <w:pPr>
        <w:pStyle w:val="Heading2"/>
        <w:ind w:left="420" w:firstLine="562"/>
        <w:rPr>
          <w:kern w:val="0"/>
          <w:szCs w:val="28"/>
        </w:rPr>
      </w:pPr>
      <w:bookmarkStart w:id="11" w:name="_Toc257389141"/>
      <w:bookmarkStart w:id="12" w:name="_Toc257367902"/>
      <w:bookmarkStart w:id="13" w:name="_Toc257368153"/>
      <w:bookmarkStart w:id="14" w:name="_Toc243809379"/>
      <w:bookmarkStart w:id="15" w:name="_Toc257388345"/>
      <w:bookmarkStart w:id="16" w:name="_Toc257388680"/>
      <w:r>
        <w:rPr>
          <w:rFonts w:hint="eastAsia"/>
          <w:kern w:val="0"/>
          <w:szCs w:val="28"/>
        </w:rPr>
        <w:t>2.工程项目概述</w:t>
      </w:r>
      <w:bookmarkEnd w:id="11"/>
      <w:bookmarkEnd w:id="12"/>
      <w:bookmarkEnd w:id="13"/>
      <w:bookmarkEnd w:id="14"/>
      <w:bookmarkEnd w:id="15"/>
      <w:bookmarkEnd w:id="16"/>
    </w:p>
    <w:p>
      <w:pPr>
        <w:ind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本标段设计起点为K14+160，终点为K17+880，路线全长3.72km。本标段主要位于松白路光明新区段，主要将道路中央分隔带由原设计0.6m宽的中央防撞墙调整为3.0m宽的中央绿化带，原设计4.5～5.0m宽的人行道及自行车道加宽为2.5m自行车道+1.5m绿化带+4.0m人行道，同时将原设计局部路段的双向六车道加宽至双向八车道，以满足公交专用道的设置。</w:t>
      </w:r>
      <w:r>
        <w:rPr>
          <w:rFonts w:ascii="宋体" w:hAnsi="宋体" w:hint="eastAsia"/>
          <w:sz w:val="28"/>
          <w:szCs w:val="28"/>
        </w:rPr>
        <w:t>Ⅱ</w:t>
      </w:r>
      <w:r>
        <w:rPr>
          <w:rFonts w:ascii="宋体" w:hAnsi="宋体" w:hint="eastAsia"/>
          <w:sz w:val="28"/>
          <w:szCs w:val="28"/>
        </w:rPr>
        <w:t>标范围内污水管埋深大多在3m~7m范围内，污水管道埋深比较深，污水管径有：DN400、DN500、DN600、DN800、DN1000、DN1</w:t>
      </w:r>
      <w:r>
        <w:rPr>
          <w:rFonts w:ascii="宋体" w:hAnsi="宋体" w:hint="eastAsia"/>
          <w:sz w:val="28"/>
          <w:szCs w:val="28"/>
          <w:lang w:eastAsia="zh-CN"/>
        </w:rPr>
        <w:t>201</w:t>
      </w:r>
      <w:r>
        <w:rPr>
          <w:rFonts w:ascii="宋体" w:hAnsi="宋体" w:hint="eastAsia"/>
          <w:sz w:val="28"/>
          <w:szCs w:val="28"/>
        </w:rPr>
        <w:t>等，污水管埋深</w:t>
      </w:r>
      <w:r>
        <w:rPr>
          <w:rFonts w:ascii="宋体" w:hAnsi="宋体" w:hint="eastAsia"/>
          <w:sz w:val="28"/>
          <w:szCs w:val="28"/>
        </w:rPr>
        <w:t>≤</w:t>
      </w:r>
      <w:r>
        <w:rPr>
          <w:rFonts w:ascii="宋体" w:hAnsi="宋体" w:hint="eastAsia"/>
          <w:sz w:val="28"/>
          <w:szCs w:val="28"/>
        </w:rPr>
        <w:t>6m时，均采用增强型HDPE中空壁缠绕结构管，电热熔接口；污水管埋深＞6m时，采用</w:t>
      </w:r>
      <w:r>
        <w:rPr>
          <w:rFonts w:ascii="宋体" w:hAnsi="宋体" w:hint="eastAsia"/>
          <w:sz w:val="28"/>
          <w:szCs w:val="28"/>
        </w:rPr>
        <w:t>Ⅱ</w:t>
      </w:r>
      <w:r>
        <w:rPr>
          <w:rFonts w:ascii="宋体" w:hAnsi="宋体" w:hint="eastAsia"/>
          <w:sz w:val="28"/>
          <w:szCs w:val="28"/>
        </w:rPr>
        <w:t>级承插式钢筋混凝土排水管，接口采用橡胶圈接口。</w:t>
      </w:r>
    </w:p>
    <w:p>
      <w:pPr>
        <w:pStyle w:val="Heading2"/>
        <w:ind w:left="420" w:firstLine="562"/>
        <w:rPr>
          <w:rFonts w:hint="eastAsia"/>
          <w:kern w:val="0"/>
          <w:szCs w:val="28"/>
        </w:rPr>
      </w:pPr>
      <w:bookmarkStart w:id="17" w:name="_Toc257388681"/>
      <w:bookmarkStart w:id="18" w:name="_Toc257367903"/>
      <w:bookmarkStart w:id="19" w:name="_Toc257388346"/>
      <w:bookmarkStart w:id="20" w:name="_Toc243809380"/>
      <w:bookmarkStart w:id="21" w:name="_Toc257368154"/>
      <w:bookmarkStart w:id="22" w:name="_Toc257389142"/>
      <w:r>
        <w:rPr>
          <w:kern w:val="0"/>
          <w:szCs w:val="28"/>
        </w:rPr>
        <w:t>3</w:t>
      </w:r>
      <w:r>
        <w:rPr>
          <w:rFonts w:hint="eastAsia"/>
          <w:kern w:val="0"/>
          <w:szCs w:val="28"/>
        </w:rPr>
        <w:t>.工程</w:t>
      </w:r>
      <w:r>
        <w:rPr>
          <w:rFonts w:ascii="Times New Roman" w:hint="eastAsia"/>
          <w:kern w:val="0"/>
          <w:szCs w:val="28"/>
        </w:rPr>
        <w:t>水文地质</w:t>
      </w:r>
      <w:r>
        <w:rPr>
          <w:rFonts w:hint="eastAsia"/>
          <w:kern w:val="0"/>
          <w:szCs w:val="28"/>
        </w:rPr>
        <w:t>条件</w:t>
      </w:r>
      <w:bookmarkEnd w:id="17"/>
      <w:bookmarkEnd w:id="18"/>
      <w:bookmarkEnd w:id="19"/>
      <w:bookmarkEnd w:id="20"/>
      <w:bookmarkEnd w:id="21"/>
      <w:bookmarkEnd w:id="22"/>
    </w:p>
    <w:p>
      <w:pPr>
        <w:spacing w:line="520" w:lineRule="exact"/>
        <w:ind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沿线未跨越大的地表水系，地下水主要补给来源是降水，水位受降水量的影响，在降水集中的季节，地表水补充地下水，水量相对丰富，局部地势较低地段地下水与地表水具较好的水利联系。地下水主要赋存在上部土层和基岩风化带中，分别属上部滞水～潜水类型、基岩裂隙水，具承压性。</w:t>
      </w:r>
    </w:p>
    <w:p>
      <w:pPr>
        <w:snapToGrid w:val="0"/>
        <w:spacing w:line="360" w:lineRule="auto"/>
        <w:ind w:firstLine="560"/>
        <w:rPr>
          <w:rFonts w:ascii="宋体" w:hAnsi="宋体" w:hint="eastAsia"/>
          <w:sz w:val="28"/>
          <w:szCs w:val="28"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18" w:right="1440" w:bottom="1418" w:left="1440" w:header="851" w:footer="992" w:gutter="0"/>
          <w:pgNumType w:start="2"/>
          <w:cols w:space="708"/>
          <w:titlePg w:val="0"/>
          <w:docGrid w:type="lines" w:linePitch="312"/>
        </w:sectPr>
      </w:pPr>
    </w:p>
    <w:p>
      <w:pPr>
        <w:snapToGrid w:val="0"/>
        <w:spacing w:line="360" w:lineRule="auto"/>
        <w:ind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沿线无明显大断裂构造与之相交，局部有小断裂带发育，成为地下水的良好通道，表现为涌水量大、分布集中且具承压性。构造裂隙水的复杂情况对桥梁工程影响较大。</w:t>
      </w:r>
    </w:p>
    <w:p>
      <w:pPr>
        <w:snapToGrid w:val="0"/>
        <w:spacing w:line="360" w:lineRule="auto"/>
        <w:ind w:firstLine="560"/>
        <w:rPr>
          <w:rFonts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根据原施工图设计现场钻探揭露和室内土工试验结果，路段内分布的地层从上而下为：人工填土层(Qml)、埋藏植物层(Qpd)、第四系全新统冲洪积层(Q4al+pl)、第四系全新统坡洪积层(Q4dl+pl)、第四系上更新统统冲洪积层(Q3al+pl)、下伏基岩为三叠系砂质泥岩(T)、加里东期混合花岗岩(M</w:t>
      </w:r>
      <w:r>
        <w:rPr>
          <w:rFonts w:ascii="宋体" w:hAnsi="宋体" w:hint="eastAsia"/>
          <w:sz w:val="28"/>
          <w:szCs w:val="28"/>
        </w:rPr>
        <w:t>γ</w:t>
      </w:r>
      <w:r>
        <w:rPr>
          <w:rFonts w:ascii="宋体" w:hAnsi="宋体" w:hint="eastAsia"/>
          <w:sz w:val="28"/>
          <w:szCs w:val="28"/>
        </w:rPr>
        <w:t>3)。</w:t>
      </w:r>
    </w:p>
    <w:p>
      <w:pPr>
        <w:pStyle w:val="Heading2"/>
        <w:ind w:left="420" w:firstLine="562"/>
        <w:rPr>
          <w:rFonts w:hint="eastAsia"/>
          <w:kern w:val="0"/>
          <w:szCs w:val="28"/>
        </w:rPr>
      </w:pPr>
      <w:bookmarkStart w:id="23" w:name="_Toc257367904"/>
      <w:bookmarkStart w:id="24" w:name="_Toc257388347"/>
      <w:bookmarkStart w:id="25" w:name="_Toc257388682"/>
      <w:bookmarkStart w:id="26" w:name="_Toc243809381"/>
      <w:bookmarkStart w:id="27" w:name="_Toc257368155"/>
      <w:bookmarkStart w:id="28" w:name="_Toc257389143"/>
      <w:r>
        <w:rPr>
          <w:kern w:val="0"/>
          <w:szCs w:val="28"/>
        </w:rPr>
        <w:t>4</w:t>
      </w:r>
      <w:r>
        <w:rPr>
          <w:rFonts w:hint="eastAsia"/>
          <w:kern w:val="0"/>
          <w:szCs w:val="28"/>
        </w:rPr>
        <w:t>.工程场地周边环境条件</w:t>
      </w:r>
      <w:bookmarkEnd w:id="23"/>
      <w:bookmarkEnd w:id="24"/>
      <w:bookmarkEnd w:id="25"/>
      <w:bookmarkEnd w:id="26"/>
      <w:bookmarkEnd w:id="27"/>
      <w:bookmarkEnd w:id="28"/>
    </w:p>
    <w:p>
      <w:pPr>
        <w:ind w:firstLine="560"/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本工程位于深圳市宝安区光明街道，交通便利。各施工点均有道路可通车，沿路红线内建筑及构筑物拆迁问题也在进行。</w:t>
      </w:r>
    </w:p>
    <w:p>
      <w:pPr>
        <w:pStyle w:val="Heading1"/>
        <w:spacing w:line="360" w:lineRule="auto"/>
        <w:ind w:firstLine="562"/>
        <w:jc w:val="left"/>
        <w:rPr>
          <w:rFonts w:hint="eastAsia"/>
          <w:kern w:val="0"/>
          <w:sz w:val="28"/>
          <w:szCs w:val="28"/>
        </w:rPr>
      </w:pPr>
      <w:bookmarkStart w:id="29" w:name="_Toc257388683"/>
      <w:bookmarkStart w:id="30" w:name="_Toc257388348"/>
      <w:bookmarkStart w:id="31" w:name="_Toc257389144"/>
      <w:r>
        <w:rPr>
          <w:rFonts w:hint="eastAsia"/>
          <w:kern w:val="0"/>
          <w:sz w:val="28"/>
          <w:szCs w:val="28"/>
        </w:rPr>
        <w:t>二.施工方案</w:t>
      </w:r>
      <w:bookmarkEnd w:id="29"/>
      <w:bookmarkEnd w:id="30"/>
      <w:bookmarkEnd w:id="31"/>
    </w:p>
    <w:p>
      <w:pPr>
        <w:pStyle w:val="Heading2"/>
        <w:ind w:left="420" w:firstLine="562"/>
        <w:rPr>
          <w:rFonts w:hint="eastAsia"/>
          <w:szCs w:val="28"/>
        </w:rPr>
      </w:pPr>
      <w:bookmarkStart w:id="32" w:name="_Toc257388349"/>
      <w:bookmarkStart w:id="33" w:name="_Toc257389145"/>
      <w:bookmarkStart w:id="34" w:name="_Toc257388684"/>
      <w:bookmarkStart w:id="35" w:name="_Toc257367911"/>
      <w:bookmarkStart w:id="36" w:name="_Toc257368161"/>
      <w:r>
        <w:rPr>
          <w:rFonts w:hint="eastAsia"/>
          <w:bCs w:val="0"/>
          <w:kern w:val="0"/>
          <w:szCs w:val="28"/>
        </w:rPr>
        <w:t>1.</w:t>
      </w:r>
      <w:r>
        <w:rPr>
          <w:rFonts w:hint="eastAsia"/>
          <w:szCs w:val="28"/>
        </w:rPr>
        <w:t>采用大开挖部分</w:t>
      </w:r>
      <w:bookmarkEnd w:id="32"/>
      <w:bookmarkEnd w:id="33"/>
      <w:bookmarkEnd w:id="34"/>
    </w:p>
    <w:p>
      <w:pPr>
        <w:ind w:firstLine="560"/>
        <w:rPr>
          <w:rFonts w:hint="eastAsia"/>
        </w:rPr>
      </w:pPr>
      <w:r>
        <w:rPr>
          <w:rFonts w:ascii="宋体" w:hAnsi="宋体" w:hint="eastAsia"/>
          <w:sz w:val="28"/>
          <w:szCs w:val="28"/>
        </w:rPr>
        <w:t>原设计该路段均为辅道软基换填段，换填深度为3.0m左右，故先挖除需换填的土方，然后整理场地。</w:t>
      </w:r>
    </w:p>
    <w:p>
      <w:pPr>
        <w:pStyle w:val="Heading2"/>
        <w:ind w:left="420" w:firstLine="562"/>
        <w:rPr>
          <w:rFonts w:hint="eastAsia"/>
          <w:kern w:val="0"/>
          <w:szCs w:val="28"/>
        </w:rPr>
      </w:pPr>
      <w:bookmarkStart w:id="37" w:name="_Toc257389146"/>
      <w:bookmarkStart w:id="38" w:name="_Toc257388685"/>
      <w:bookmarkStart w:id="39" w:name="_Toc257388350"/>
      <w:r>
        <w:rPr>
          <w:rFonts w:hint="eastAsia"/>
          <w:kern w:val="0"/>
          <w:szCs w:val="28"/>
        </w:rPr>
        <w:t>1.1</w:t>
      </w:r>
      <w:r>
        <w:rPr>
          <w:rFonts w:hint="eastAsia"/>
          <w:bCs w:val="0"/>
          <w:kern w:val="0"/>
          <w:szCs w:val="28"/>
        </w:rPr>
        <w:t>基坑开挖</w:t>
      </w:r>
      <w:bookmarkEnd w:id="35"/>
      <w:bookmarkEnd w:id="36"/>
      <w:bookmarkEnd w:id="37"/>
      <w:bookmarkEnd w:id="38"/>
      <w:bookmarkEnd w:id="39"/>
    </w:p>
    <w:p>
      <w:pPr>
        <w:spacing w:line="360" w:lineRule="auto"/>
        <w:ind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基坑开挖采用PC</w:t>
      </w:r>
      <w:r>
        <w:rPr>
          <w:rFonts w:ascii="宋体" w:hAnsi="宋体" w:hint="eastAsia"/>
          <w:sz w:val="28"/>
          <w:szCs w:val="28"/>
          <w:lang w:eastAsia="zh-CN"/>
        </w:rPr>
        <w:t>201</w:t>
      </w:r>
      <w:r>
        <w:rPr>
          <w:rFonts w:ascii="宋体" w:hAnsi="宋体" w:hint="eastAsia"/>
          <w:sz w:val="28"/>
          <w:szCs w:val="28"/>
        </w:rPr>
        <w:t>挖掘机进行土方开挖（对既有管线及设施的进行人工开挖），在施工区段，开挖方向由基坑的一端向另一端进行，视工程进度情况也可由坑中间开始向两端同时开挖，泥土由自卸汽车装车外运弃土。</w:t>
      </w:r>
    </w:p>
    <w:p>
      <w:pPr>
        <w:spacing w:line="360" w:lineRule="auto"/>
        <w:ind w:firstLine="560"/>
        <w:rPr>
          <w:rFonts w:ascii="宋体" w:hAnsi="宋体" w:hint="eastAsia"/>
          <w:sz w:val="28"/>
          <w:szCs w:val="28"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18" w:right="1440" w:bottom="1418" w:left="1440" w:header="851" w:footer="992" w:gutter="0"/>
          <w:pgNumType w:start="3"/>
          <w:cols w:space="708"/>
          <w:titlePg w:val="0"/>
          <w:docGrid w:type="lines" w:linePitch="312"/>
        </w:sectPr>
      </w:pPr>
    </w:p>
    <w:p>
      <w:pPr>
        <w:spacing w:line="360" w:lineRule="auto"/>
        <w:ind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在挖到距槽底50cm以内时，测量放线人员应配合抄出距槽底50cm水平线，在坑壁上钉水平标高木桩，间距为每3m钉一个，随时以木桩校核坑底标高，最后拉通线检查槽底标高，据此修整坑底，进行整平。防止错挖或超挖，基底高程允许偏差</w:t>
      </w:r>
      <w:r>
        <w:rPr>
          <w:rFonts w:ascii="宋体" w:hAnsi="宋体" w:hint="eastAsia"/>
          <w:sz w:val="28"/>
          <w:szCs w:val="28"/>
        </w:rPr>
        <w:t>±</w:t>
      </w:r>
      <w:r>
        <w:rPr>
          <w:rFonts w:ascii="宋体" w:hAnsi="宋体" w:hint="eastAsia"/>
          <w:sz w:val="28"/>
          <w:szCs w:val="28"/>
        </w:rPr>
        <w:t>20mm。若出现超挖，必须回填石屑，夯实至设计标高。</w:t>
      </w:r>
    </w:p>
    <w:p>
      <w:pPr>
        <w:spacing w:line="360" w:lineRule="auto"/>
        <w:ind w:left="42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基坑挖宽按下式：        B=D</w:t>
      </w:r>
      <w:r>
        <w:rPr>
          <w:rFonts w:ascii="宋体" w:hAnsi="宋体"/>
          <w:sz w:val="28"/>
          <w:szCs w:val="28"/>
        </w:rPr>
        <w:t>+b</w:t>
      </w:r>
      <w:r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>2</w:t>
      </w:r>
    </w:p>
    <w:p>
      <w:pPr>
        <w:spacing w:line="360" w:lineRule="auto"/>
        <w:ind w:left="42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        B</w:t>
      </w:r>
      <w:r>
        <w:rPr>
          <w:rFonts w:ascii="宋体" w:hAnsi="宋体" w:hint="eastAsia"/>
          <w:sz w:val="28"/>
          <w:szCs w:val="28"/>
        </w:rPr>
        <w:t>——</w:t>
      </w:r>
      <w:r>
        <w:rPr>
          <w:rFonts w:ascii="宋体" w:hAnsi="宋体" w:hint="eastAsia"/>
          <w:sz w:val="28"/>
          <w:szCs w:val="28"/>
        </w:rPr>
        <w:t>基坑底部宽度（mm）</w:t>
      </w:r>
    </w:p>
    <w:p>
      <w:pPr>
        <w:spacing w:line="360" w:lineRule="auto"/>
        <w:ind w:left="42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        D</w:t>
      </w:r>
      <w:r>
        <w:rPr>
          <w:rFonts w:ascii="宋体" w:hAnsi="宋体" w:hint="eastAsia"/>
          <w:sz w:val="28"/>
          <w:szCs w:val="28"/>
        </w:rPr>
        <w:t>——</w:t>
      </w:r>
      <w:r>
        <w:rPr>
          <w:rFonts w:ascii="宋体" w:hAnsi="宋体" w:hint="eastAsia"/>
          <w:sz w:val="28"/>
          <w:szCs w:val="28"/>
        </w:rPr>
        <w:t>管道外径（mm）</w:t>
      </w:r>
    </w:p>
    <w:p>
      <w:pPr>
        <w:spacing w:line="360" w:lineRule="auto"/>
        <w:ind w:left="420"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        b</w:t>
      </w:r>
      <w:r>
        <w:rPr>
          <w:rFonts w:ascii="宋体" w:hAnsi="宋体" w:hint="eastAsia"/>
          <w:sz w:val="28"/>
          <w:szCs w:val="28"/>
        </w:rPr>
        <w:t>——</w:t>
      </w:r>
      <w:r>
        <w:rPr>
          <w:rFonts w:ascii="宋体" w:hAnsi="宋体" w:hint="eastAsia"/>
          <w:sz w:val="28"/>
          <w:szCs w:val="28"/>
        </w:rPr>
        <w:t>管道一侧工作面宽度（mm）</w:t>
      </w:r>
    </w:p>
    <w:p>
      <w:pPr>
        <w:spacing w:line="360" w:lineRule="auto"/>
        <w:ind w:firstLine="560"/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基坑土方开挖后，基底两侧挖排水明沟，于低洼处挖深设集水井，及时抽排基底积水，基坑顶部四周设截水沟，或用粘土筑成拦水坝，防止地表水流入基坑。严禁积水渗泡基底。</w:t>
      </w:r>
    </w:p>
    <w:p>
      <w:pPr>
        <w:pStyle w:val="Heading2"/>
        <w:ind w:left="420" w:firstLine="562"/>
        <w:rPr>
          <w:rFonts w:hint="eastAsia"/>
          <w:szCs w:val="28"/>
        </w:rPr>
      </w:pPr>
      <w:bookmarkStart w:id="40" w:name="_Toc257367913"/>
      <w:bookmarkStart w:id="41" w:name="_Toc257388351"/>
      <w:bookmarkStart w:id="42" w:name="_Toc257388686"/>
      <w:bookmarkStart w:id="43" w:name="_Toc257389147"/>
      <w:bookmarkStart w:id="44" w:name="_Toc257368163"/>
      <w:r>
        <w:rPr>
          <w:rFonts w:hint="eastAsia"/>
          <w:szCs w:val="28"/>
        </w:rPr>
        <w:t>1.2基坑支护施工顺序</w:t>
      </w:r>
      <w:bookmarkEnd w:id="40"/>
      <w:bookmarkEnd w:id="41"/>
      <w:bookmarkEnd w:id="42"/>
      <w:bookmarkEnd w:id="43"/>
      <w:bookmarkEnd w:id="44"/>
      <w:r>
        <w:rPr>
          <w:rFonts w:hint="eastAsia"/>
          <w:szCs w:val="28"/>
        </w:rPr>
        <w:t xml:space="preserve">    </w:t>
      </w:r>
    </w:p>
    <w:p>
      <w:pPr>
        <w:ind w:left="980" w:firstLine="560"/>
        <w:jc w:val="left"/>
        <w:rPr>
          <w:rFonts w:hint="eastAsia"/>
          <w:sz w:val="28"/>
          <w:szCs w:val="28"/>
        </w:rPr>
      </w:pPr>
      <w:r>
        <w:rPr>
          <w:sz w:val="28"/>
          <w:szCs w:val="28"/>
        </w:rPr>
        <w:pict>
          <v:line id="直线 17" o:spid="_x0000_s1025" style="mso-wrap-style:square;position:absolute;z-index:251663360" from="261pt,44.2pt" to="306pt,44.2pt">
            <v:stroke linestyle="single" endarrow="block"/>
          </v:line>
        </w:pict>
      </w:r>
      <w:r>
        <w:rPr>
          <w:sz w:val="28"/>
          <w:szCs w:val="28"/>
        </w:rPr>
        <w:pict>
          <v:line id="直线 7" o:spid="_x0000_s1026" style="mso-wrap-style:square;position:absolute;z-index:251662336" from="153pt,44.2pt" to="198pt,44.2pt">
            <v:stroke linestyle="single" endarrow="block"/>
          </v:line>
        </w:pict>
      </w:r>
      <w:r>
        <w:rPr>
          <w:sz w:val="28"/>
          <w:szCs w:val="28"/>
        </w:rPr>
        <w:pict>
          <v:line id="直线 6" o:spid="_x0000_s1027" style="mso-wrap-style:square;position:absolute;z-index:251661312" from="1in,44.2pt" to="117pt,44.2pt">
            <v:stroke linestyle="single" endarrow="block"/>
          </v:line>
        </w:pict>
      </w:r>
      <w:r>
        <w:rPr>
          <w:sz w:val="28"/>
          <w:szCs w:val="28"/>
        </w:rPr>
        <w:pict>
          <v:line id="直线 2" o:spid="_x0000_s1028" style="mso-wrap-style:square;position:absolute;z-index:251658240" from="135pt,13pt" to="180pt,13pt">
            <v:stroke linestyle="single" endarrow="block"/>
          </v:line>
        </w:pict>
      </w:r>
      <w:r>
        <w:rPr>
          <w:sz w:val="28"/>
          <w:szCs w:val="28"/>
        </w:rPr>
        <w:pict>
          <v:line id="直线 3" o:spid="_x0000_s1029" style="mso-wrap-style:square;position:absolute;z-index:251659264" from="351pt,13pt" to="396pt,13pt">
            <v:stroke linestyle="single" endarrow="block"/>
          </v:line>
        </w:pict>
      </w:r>
      <w:r>
        <w:rPr>
          <w:sz w:val="28"/>
          <w:szCs w:val="28"/>
        </w:rPr>
        <w:pict>
          <v:line id="直线 5" o:spid="_x0000_s1030" style="mso-wrap-style:square;position:absolute;z-index:251660288" from="653.25pt,15.6pt" to="698.25pt,15.6pt">
            <v:stroke linestyle="single" endarrow="block"/>
          </v:line>
        </w:pict>
      </w:r>
      <w:r>
        <w:rPr>
          <w:rFonts w:hint="eastAsia"/>
          <w:sz w:val="28"/>
          <w:szCs w:val="28"/>
        </w:rPr>
        <w:t>施工准备       开挖辅道上部换填土层土方       基坑开挖        支撑        管基施工        回填</w:t>
      </w:r>
    </w:p>
    <w:p>
      <w:pPr>
        <w:pStyle w:val="Heading1"/>
        <w:spacing w:line="360" w:lineRule="auto"/>
        <w:ind w:firstLine="562"/>
        <w:jc w:val="left"/>
        <w:rPr>
          <w:rFonts w:hint="eastAsia"/>
          <w:kern w:val="0"/>
          <w:sz w:val="28"/>
          <w:szCs w:val="28"/>
        </w:rPr>
      </w:pPr>
      <w:bookmarkStart w:id="45" w:name="_Toc257368164"/>
      <w:bookmarkStart w:id="46" w:name="_Toc257367914"/>
      <w:bookmarkStart w:id="47" w:name="_Toc257388687"/>
      <w:bookmarkStart w:id="48" w:name="_Toc257389148"/>
      <w:bookmarkStart w:id="49" w:name="_Toc257388352"/>
      <w:r>
        <w:rPr>
          <w:rFonts w:hint="eastAsia"/>
          <w:bCs w:val="0"/>
          <w:kern w:val="0"/>
          <w:sz w:val="28"/>
          <w:szCs w:val="28"/>
        </w:rPr>
        <w:t>1.3沟槽内支护</w:t>
      </w:r>
      <w:bookmarkEnd w:id="45"/>
      <w:bookmarkEnd w:id="46"/>
      <w:bookmarkEnd w:id="47"/>
      <w:bookmarkEnd w:id="48"/>
      <w:bookmarkEnd w:id="49"/>
    </w:p>
    <w:p>
      <w:pPr>
        <w:pStyle w:val="Heading2"/>
        <w:ind w:left="420" w:firstLine="562"/>
        <w:rPr>
          <w:kern w:val="0"/>
          <w:szCs w:val="28"/>
        </w:rPr>
      </w:pPr>
      <w:bookmarkStart w:id="50" w:name="_Toc257367915"/>
      <w:bookmarkStart w:id="51" w:name="_Toc257368165"/>
      <w:bookmarkStart w:id="52" w:name="_Toc257388688"/>
      <w:bookmarkStart w:id="53" w:name="_Toc257388353"/>
      <w:bookmarkStart w:id="54" w:name="_Toc257389149"/>
      <w:r>
        <w:rPr>
          <w:rFonts w:hint="eastAsia"/>
          <w:bCs w:val="0"/>
          <w:kern w:val="0"/>
          <w:szCs w:val="28"/>
        </w:rPr>
        <w:t>1.3.1支护作业基本要求</w:t>
      </w:r>
      <w:bookmarkEnd w:id="50"/>
      <w:bookmarkEnd w:id="51"/>
      <w:bookmarkEnd w:id="52"/>
      <w:bookmarkEnd w:id="53"/>
      <w:bookmarkEnd w:id="54"/>
    </w:p>
    <w:p>
      <w:pPr>
        <w:spacing w:line="360" w:lineRule="auto"/>
        <w:ind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竖板、横撑、垫板、应相互贴紧靠牢。横撑支在水平垫板上，横撑端应与水平垫板套牢。考虑下步工序的方便，以安管时尽量不倒撑或少倒撑为原则，确定横撑支撑位置；</w:t>
      </w:r>
    </w:p>
    <w:p>
      <w:pPr>
        <w:spacing w:line="360" w:lineRule="auto"/>
        <w:ind w:firstLine="560"/>
        <w:rPr>
          <w:rFonts w:ascii="宋体" w:hAnsi="宋体"/>
          <w:sz w:val="28"/>
          <w:szCs w:val="28"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18" w:right="1440" w:bottom="1418" w:left="144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横撑应尽量使用支撑调节器，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采用水平密撑时，若一次挖至沟底再支撑有危险，可挖至一半先行初步支撑，见底后再行倒撑。</w:t>
      </w:r>
    </w:p>
    <w:p>
      <w:pPr>
        <w:pStyle w:val="Heading2"/>
        <w:ind w:left="420" w:firstLine="562"/>
        <w:rPr>
          <w:rFonts w:hint="eastAsia"/>
          <w:kern w:val="0"/>
          <w:szCs w:val="28"/>
        </w:rPr>
      </w:pPr>
      <w:bookmarkStart w:id="55" w:name="_Toc257388354"/>
      <w:bookmarkStart w:id="56" w:name="_Toc257389150"/>
      <w:bookmarkStart w:id="57" w:name="_Toc257367916"/>
      <w:bookmarkStart w:id="58" w:name="_Toc257368166"/>
      <w:bookmarkStart w:id="59" w:name="_Toc257388689"/>
      <w:r>
        <w:rPr>
          <w:rFonts w:hint="eastAsia"/>
          <w:kern w:val="0"/>
          <w:szCs w:val="28"/>
        </w:rPr>
        <w:t>1.3.2拆撑作业基本要求</w:t>
      </w:r>
      <w:bookmarkEnd w:id="55"/>
      <w:bookmarkEnd w:id="56"/>
      <w:bookmarkEnd w:id="57"/>
      <w:bookmarkEnd w:id="58"/>
      <w:bookmarkEnd w:id="59"/>
      <w:r>
        <w:rPr>
          <w:kern w:val="0"/>
          <w:szCs w:val="28"/>
        </w:rPr>
        <w:t xml:space="preserve"> </w:t>
      </w:r>
    </w:p>
    <w:p>
      <w:pPr>
        <w:spacing w:line="360" w:lineRule="auto"/>
        <w:ind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拆撑应注意安全，认真检查槽壁有无裂缝，发现沟壁有坍塌危险，可先还土，再用导链将支撑拉出。一般条件下可随填土随拆撑。</w:t>
      </w:r>
    </w:p>
    <w:p>
      <w:pPr>
        <w:spacing w:line="360" w:lineRule="auto"/>
        <w:ind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采用排水井排水的沟槽，可由两座排水井的分水岭向两端延伸拆除。</w:t>
      </w:r>
    </w:p>
    <w:p>
      <w:pPr>
        <w:spacing w:line="360" w:lineRule="auto"/>
        <w:ind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多层撑的沟槽，可按自下而上的顺序逐层拆除，待下层拆撑还土之后，再拆上层支撑。</w:t>
      </w:r>
    </w:p>
    <w:p>
      <w:pPr>
        <w:spacing w:line="360" w:lineRule="auto"/>
        <w:ind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对密撑与板桩，一般可先填土至下层横撑底面，再拆下面横撑，然后还土至半槽，拆除上层横撑，再将板桩拨出。</w:t>
      </w:r>
      <w:r>
        <w:rPr>
          <w:rFonts w:ascii="宋体" w:hAnsi="宋体"/>
          <w:sz w:val="28"/>
          <w:szCs w:val="28"/>
        </w:rPr>
        <w:t xml:space="preserve"> </w:t>
      </w:r>
    </w:p>
    <w:p>
      <w:pPr>
        <w:spacing w:line="360" w:lineRule="auto"/>
        <w:ind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一次拆除水平撑板尚感危险时，应考虑倒撑，另外用横撑将上半槽撑好之后，再将原横撑与下半槽撑板拆除；下半槽还土后，再将上半槽支撑拆除。</w:t>
      </w:r>
    </w:p>
    <w:p>
      <w:pPr>
        <w:pStyle w:val="Heading2"/>
        <w:ind w:left="420" w:firstLine="562"/>
        <w:rPr>
          <w:kern w:val="0"/>
          <w:szCs w:val="28"/>
        </w:rPr>
      </w:pPr>
      <w:bookmarkStart w:id="60" w:name="_Toc257388690"/>
      <w:bookmarkStart w:id="61" w:name="_Toc257389151"/>
      <w:bookmarkStart w:id="62" w:name="_Toc257367917"/>
      <w:bookmarkStart w:id="63" w:name="_Toc257368167"/>
      <w:bookmarkStart w:id="64" w:name="_Toc257388355"/>
      <w:r>
        <w:rPr>
          <w:rFonts w:hint="eastAsia"/>
          <w:bCs w:val="0"/>
          <w:kern w:val="0"/>
          <w:szCs w:val="28"/>
        </w:rPr>
        <w:t>1.3.3基坑内排水</w:t>
      </w:r>
      <w:bookmarkEnd w:id="60"/>
      <w:bookmarkEnd w:id="61"/>
      <w:bookmarkEnd w:id="62"/>
      <w:bookmarkEnd w:id="63"/>
      <w:bookmarkEnd w:id="64"/>
    </w:p>
    <w:p>
      <w:pPr>
        <w:ind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基槽开挖时，槽底两侧同时做好排水边沟，并且每隔</w:t>
      </w:r>
      <w:r>
        <w:rPr>
          <w:rFonts w:ascii="宋体" w:hAnsi="宋体"/>
          <w:sz w:val="28"/>
          <w:szCs w:val="28"/>
        </w:rPr>
        <w:t>60m</w:t>
      </w:r>
      <w:r>
        <w:rPr>
          <w:rFonts w:ascii="宋体" w:hAnsi="宋体" w:hint="eastAsia"/>
          <w:sz w:val="28"/>
          <w:szCs w:val="28"/>
        </w:rPr>
        <w:t>设一个集水井，并安放水泵抽排水。排水沟和集水井设在基础外轮廓线以外50cm，排水沟、集水井随基槽的挖深而加深，并保持基槽的干燥</w:t>
      </w:r>
    </w:p>
    <w:p>
      <w:pPr>
        <w:pStyle w:val="Heading2"/>
        <w:ind w:left="420" w:firstLine="562"/>
        <w:rPr>
          <w:rFonts w:hint="eastAsia"/>
          <w:szCs w:val="28"/>
        </w:rPr>
      </w:pPr>
      <w:bookmarkStart w:id="65" w:name="_Toc257389152"/>
      <w:bookmarkStart w:id="66" w:name="_Toc257388356"/>
      <w:bookmarkStart w:id="67" w:name="_Toc257388691"/>
      <w:r>
        <w:rPr>
          <w:rFonts w:hint="eastAsia"/>
          <w:szCs w:val="28"/>
        </w:rPr>
        <w:t>2.采用钢板桩支护部分</w:t>
      </w:r>
      <w:bookmarkEnd w:id="65"/>
      <w:bookmarkEnd w:id="66"/>
      <w:bookmarkEnd w:id="67"/>
    </w:p>
    <w:p>
      <w:pPr>
        <w:spacing w:line="520" w:lineRule="exact"/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开槽施工中的基坑边坡稳定是工程中的一个重点，施工过程中需保证车辆荷载对路基稳定影响最小，雨季施工应该有必要的防护措施，需采用基坑支护措施。</w:t>
      </w:r>
    </w:p>
    <w:p>
      <w:pPr>
        <w:spacing w:line="520" w:lineRule="exact"/>
        <w:ind w:firstLine="560"/>
        <w:rPr>
          <w:rFonts w:hint="eastAsia"/>
          <w:sz w:val="28"/>
          <w:szCs w:val="28"/>
        </w:rPr>
        <w:sectPr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6" w:h="16838"/>
          <w:pgMar w:top="1418" w:right="1440" w:bottom="1418" w:left="1440" w:header="851" w:footer="992" w:gutter="0"/>
          <w:pgNumType w:start="5"/>
          <w:cols w:space="708"/>
          <w:titlePg w:val="0"/>
          <w:docGrid w:type="lines" w:linePitch="312"/>
        </w:sectPr>
      </w:pPr>
    </w:p>
    <w:p>
      <w:pPr>
        <w:spacing w:line="520" w:lineRule="exact"/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污水管一般采用大开挖埋设，开槽时应根据实际情况采取降水措施，保证干槽施工；为保证沟槽开挖边坡的稳定，拟采用沟槽边预先支护钢板桩的临时加固防护措施，确保沟槽边坡在施工过程中不致垮塌。</w:t>
      </w:r>
    </w:p>
    <w:p>
      <w:pPr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沟槽开挖采用分段开挖方式，长度一般为50m~100m，污水管沟槽开挖前进行测量定位，根据管位、管埋深在地面上定出沟槽开挖边线，而后进行钢板桩支护施工。</w:t>
      </w:r>
    </w:p>
    <w:p>
      <w:pPr>
        <w:pStyle w:val="Heading2"/>
        <w:ind w:left="420" w:firstLine="562"/>
        <w:rPr>
          <w:rFonts w:hint="eastAsia"/>
          <w:kern w:val="0"/>
          <w:szCs w:val="28"/>
        </w:rPr>
      </w:pPr>
      <w:bookmarkStart w:id="68" w:name="_Toc257389153"/>
      <w:bookmarkStart w:id="69" w:name="_Toc257388692"/>
      <w:r>
        <w:rPr>
          <w:rFonts w:hint="eastAsia"/>
          <w:kern w:val="0"/>
          <w:szCs w:val="28"/>
        </w:rPr>
        <w:t>2.1沟槽基坑支护施工顺序</w:t>
      </w:r>
      <w:bookmarkEnd w:id="68"/>
      <w:bookmarkEnd w:id="69"/>
      <w:r>
        <w:rPr>
          <w:rFonts w:hint="eastAsia"/>
          <w:kern w:val="0"/>
          <w:szCs w:val="28"/>
        </w:rPr>
        <w:t xml:space="preserve">    </w:t>
      </w:r>
    </w:p>
    <w:p>
      <w:pPr>
        <w:ind w:left="980" w:firstLine="560"/>
        <w:jc w:val="left"/>
        <w:rPr>
          <w:rFonts w:hint="eastAsia"/>
          <w:sz w:val="28"/>
          <w:szCs w:val="28"/>
        </w:rPr>
      </w:pPr>
      <w:r>
        <w:rPr>
          <w:sz w:val="28"/>
          <w:szCs w:val="28"/>
        </w:rPr>
        <w:pict>
          <v:line id="直线 10" o:spid="_x0000_s1031" style="mso-wrap-style:square;position:absolute;z-index:251666432" from="423pt,44.2pt" to="468pt,44.2pt">
            <v:stroke linestyle="single" endarrow="block"/>
          </v:line>
        </w:pict>
      </w:r>
      <w:r>
        <w:rPr>
          <w:sz w:val="28"/>
          <w:szCs w:val="28"/>
        </w:rPr>
        <w:pict>
          <v:line id="直线 11" o:spid="_x0000_s1032" style="mso-wrap-style:square;position:absolute;z-index:251667456" from="306pt,44.2pt" to="351pt,44.2pt">
            <v:stroke linestyle="single" endarrow="block"/>
          </v:line>
        </w:pict>
      </w:r>
      <w:r>
        <w:rPr>
          <w:sz w:val="28"/>
          <w:szCs w:val="28"/>
        </w:rPr>
        <w:pict>
          <v:line id="直线 13" o:spid="_x0000_s1033" style="mso-wrap-style:square;position:absolute;z-index:251669504" from="198pt,44.2pt" to="243pt,44.2pt">
            <v:stroke linestyle="single" endarrow="block"/>
          </v:line>
        </w:pict>
      </w:r>
      <w:r>
        <w:rPr>
          <w:sz w:val="28"/>
          <w:szCs w:val="28"/>
        </w:rPr>
        <w:pict>
          <v:line id="直线 9" o:spid="_x0000_s1034" style="mso-wrap-style:square;position:absolute;z-index:251665408" from="351pt,14.65pt" to="396pt,14.65pt">
            <v:stroke linestyle="single" endarrow="block"/>
          </v:line>
        </w:pict>
      </w:r>
      <w:r>
        <w:rPr>
          <w:sz w:val="28"/>
          <w:szCs w:val="28"/>
        </w:rPr>
        <w:pict>
          <v:line id="直线 8" o:spid="_x0000_s1035" style="mso-wrap-style:square;position:absolute;z-index:251664384" from="126pt,14.65pt" to="171pt,14.65pt">
            <v:stroke linestyle="single" endarrow="block"/>
          </v:line>
        </w:pict>
      </w:r>
      <w:r>
        <w:rPr>
          <w:sz w:val="28"/>
          <w:szCs w:val="28"/>
        </w:rPr>
        <w:pict>
          <v:line id="直线 16" o:spid="_x0000_s1036" style="mso-wrap-style:square;position:absolute;z-index:251672576" from="107.4pt,47.7pt" to="152.4pt,47.7pt">
            <v:stroke linestyle="single" endarrow="block"/>
          </v:line>
        </w:pict>
      </w:r>
      <w:r>
        <w:rPr>
          <w:sz w:val="28"/>
          <w:szCs w:val="28"/>
        </w:rPr>
        <w:pict>
          <v:line id="直线 15" o:spid="_x0000_s1037" style="mso-wrap-style:square;position:absolute;z-index:251671552" from="2.1pt,46.8pt" to="47.1pt,46.8pt">
            <v:stroke linestyle="single" endarrow="block"/>
          </v:line>
        </w:pict>
      </w:r>
      <w:r>
        <w:rPr>
          <w:sz w:val="28"/>
          <w:szCs w:val="28"/>
        </w:rPr>
        <w:pict>
          <v:line id="直线 12" o:spid="_x0000_s1038" style="mso-wrap-style:square;position:absolute;z-index:251668480" from="653.25pt,15.6pt" to="698.25pt,15.6pt">
            <v:stroke linestyle="single" endarrow="block"/>
          </v:line>
        </w:pict>
      </w:r>
      <w:r>
        <w:rPr>
          <w:rFonts w:hint="eastAsia"/>
          <w:sz w:val="28"/>
          <w:szCs w:val="28"/>
        </w:rPr>
        <w:t xml:space="preserve">施工准备       开挖辅道上部换填土层土方       拉森钢板桩支护         支撑       管基施工       污水管安装  </w:t>
      </w:r>
    </w:p>
    <w:p>
      <w:pPr>
        <w:ind w:firstLine="199" w:firstLineChars="71"/>
        <w:rPr>
          <w:rFonts w:hint="eastAsia"/>
          <w:sz w:val="28"/>
          <w:szCs w:val="28"/>
        </w:rPr>
      </w:pPr>
      <w:r>
        <w:rPr>
          <w:sz w:val="28"/>
          <w:szCs w:val="28"/>
        </w:rPr>
        <w:pict>
          <v:line id="直线 14" o:spid="_x0000_s1039" style="mso-wrap-style:square;position:absolute;z-index:251670528" from="45pt,13pt" to="90pt,13pt">
            <v:stroke linestyle="single" endarrow="block"/>
          </v:line>
        </w:pict>
      </w:r>
      <w:r>
        <w:rPr>
          <w:rFonts w:hint="eastAsia"/>
          <w:sz w:val="28"/>
          <w:szCs w:val="28"/>
        </w:rPr>
        <w:t>回填        拔除支护钢板桩</w:t>
      </w:r>
    </w:p>
    <w:p>
      <w:pPr>
        <w:pStyle w:val="Heading2"/>
        <w:ind w:left="420" w:firstLine="562"/>
        <w:rPr>
          <w:rFonts w:hint="eastAsia"/>
          <w:szCs w:val="28"/>
        </w:rPr>
      </w:pPr>
      <w:bookmarkStart w:id="70" w:name="_Toc257389154"/>
      <w:bookmarkStart w:id="71" w:name="_Toc257388693"/>
      <w:bookmarkStart w:id="72" w:name="_Toc257388357"/>
      <w:r>
        <w:rPr>
          <w:rFonts w:hint="eastAsia"/>
          <w:szCs w:val="28"/>
        </w:rPr>
        <w:t>2.2</w:t>
      </w:r>
      <w:r>
        <w:rPr>
          <w:rFonts w:hint="eastAsia"/>
          <w:bCs w:val="0"/>
          <w:szCs w:val="28"/>
        </w:rPr>
        <w:t>施工准备</w:t>
      </w:r>
      <w:bookmarkEnd w:id="70"/>
      <w:bookmarkEnd w:id="71"/>
      <w:bookmarkEnd w:id="72"/>
    </w:p>
    <w:p>
      <w:pPr>
        <w:ind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1、根据施工图纸测量放线，确定沟槽边线，在边线上每20m设基线桩，然后撒白灰线，作为管沟打支护桩之依据。 </w:t>
      </w:r>
    </w:p>
    <w:p>
      <w:pPr>
        <w:ind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2、做好临建设施和安全、文明措施，作为施工时的用水、用电准备工作。</w:t>
      </w:r>
    </w:p>
    <w:p>
      <w:pPr>
        <w:ind w:firstLine="56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3、作好施工机械及设备的调试运转工作。</w:t>
      </w:r>
    </w:p>
    <w:p>
      <w:pPr>
        <w:pStyle w:val="Heading2"/>
        <w:ind w:left="420" w:firstLine="562"/>
        <w:rPr>
          <w:rFonts w:hint="eastAsia"/>
          <w:szCs w:val="28"/>
        </w:rPr>
      </w:pPr>
      <w:bookmarkStart w:id="73" w:name="_Toc257389155"/>
      <w:bookmarkStart w:id="74" w:name="_Toc257388358"/>
      <w:bookmarkStart w:id="75" w:name="_Toc257388694"/>
      <w:r>
        <w:rPr>
          <w:rFonts w:hint="eastAsia"/>
          <w:bCs w:val="0"/>
          <w:szCs w:val="28"/>
        </w:rPr>
        <w:t>2.3打支护桩</w:t>
      </w:r>
      <w:bookmarkEnd w:id="73"/>
      <w:bookmarkEnd w:id="74"/>
      <w:bookmarkEnd w:id="75"/>
    </w:p>
    <w:p>
      <w:pPr>
        <w:pStyle w:val="BodyTextIndent"/>
        <w:rPr>
          <w:rFonts w:hint="eastAsia"/>
          <w:szCs w:val="28"/>
        </w:rPr>
        <w:sectPr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/>
          <w:pgMar w:top="1418" w:right="1440" w:bottom="1418" w:left="144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hint="eastAsia"/>
          <w:szCs w:val="28"/>
        </w:rPr>
        <w:t>由于受场地限制，且基坑地层以杂质土、淤泥层和粉质粘土层为主，土的摩擦力较小，透水性大，土质稳定性差，基坑开挖较深，不具备自然放坡条件，为确保开挖时基坑内施工作业的安全和对周围建、构筑物及市政设施的正常使用造成影响及危害，该基坑支护结构选择拉森钢板桩，它具有强度高，结合紧密，堵水性好，速度快等特点。</w:t>
      </w:r>
    </w:p>
    <w:p>
      <w:pPr>
        <w:pStyle w:val="Heading2"/>
        <w:ind w:left="420" w:firstLine="562"/>
        <w:rPr>
          <w:rFonts w:hint="eastAsia"/>
          <w:szCs w:val="28"/>
        </w:rPr>
      </w:pPr>
      <w:bookmarkStart w:id="76" w:name="_Toc257388695"/>
      <w:bookmarkStart w:id="77" w:name="_Toc257389156"/>
      <w:bookmarkStart w:id="78" w:name="_Toc257388359"/>
      <w:r>
        <w:rPr>
          <w:rFonts w:hint="eastAsia"/>
          <w:bCs w:val="0"/>
          <w:szCs w:val="28"/>
        </w:rPr>
        <w:t>2.4打桩机械选择</w:t>
      </w:r>
      <w:bookmarkEnd w:id="76"/>
      <w:bookmarkEnd w:id="77"/>
      <w:bookmarkEnd w:id="78"/>
    </w:p>
    <w:p>
      <w:pPr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根据工程规模、土质情况、作业能力，作业环境打拉森式钢板桩，采用振动冲击打桩机械，即采用PC</w:t>
      </w:r>
      <w:r>
        <w:rPr>
          <w:rFonts w:hint="eastAsia"/>
          <w:sz w:val="28"/>
          <w:szCs w:val="28"/>
          <w:lang w:eastAsia="zh-CN"/>
        </w:rPr>
        <w:t>201</w:t>
      </w:r>
      <w:r>
        <w:rPr>
          <w:rFonts w:hint="eastAsia"/>
          <w:sz w:val="28"/>
          <w:szCs w:val="28"/>
        </w:rPr>
        <w:t>履带式挖土机带油压振动锤打桩。</w:t>
      </w:r>
    </w:p>
    <w:p>
      <w:pPr>
        <w:pStyle w:val="Heading2"/>
        <w:ind w:left="420" w:firstLine="562"/>
        <w:rPr>
          <w:rFonts w:hint="eastAsia"/>
          <w:szCs w:val="28"/>
        </w:rPr>
      </w:pPr>
      <w:bookmarkStart w:id="79" w:name="_Toc257389157"/>
      <w:bookmarkStart w:id="80" w:name="_Toc257388696"/>
      <w:bookmarkStart w:id="81" w:name="_Toc257388360"/>
      <w:r>
        <w:rPr>
          <w:rFonts w:hint="eastAsia"/>
          <w:bCs w:val="0"/>
          <w:szCs w:val="28"/>
        </w:rPr>
        <w:t>2.5打桩方式的选择</w:t>
      </w:r>
      <w:bookmarkEnd w:id="79"/>
      <w:bookmarkEnd w:id="80"/>
      <w:bookmarkEnd w:id="81"/>
    </w:p>
    <w:p>
      <w:pPr>
        <w:pStyle w:val="BodyTextIndent2"/>
        <w:ind w:firstLine="560" w:firstLineChars="200"/>
        <w:rPr>
          <w:rFonts w:hint="eastAsia"/>
          <w:szCs w:val="28"/>
        </w:rPr>
      </w:pPr>
      <w:r>
        <w:rPr>
          <w:rFonts w:hint="eastAsia"/>
          <w:szCs w:val="28"/>
        </w:rPr>
        <w:t>打桩方式采用单桩打入法，施工简便、可不停地打、桩机行走路线短、速度快，但是容易倾斜，对此可在一根桩打入后，把它与前一根焊牢，既防止倾斜又避免被后打的桩带入土中。</w:t>
      </w:r>
    </w:p>
    <w:p>
      <w:pPr>
        <w:pStyle w:val="Heading2"/>
        <w:ind w:left="420" w:firstLine="562"/>
        <w:rPr>
          <w:rFonts w:hint="eastAsia"/>
          <w:szCs w:val="28"/>
        </w:rPr>
        <w:sectPr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1418" w:right="1440" w:bottom="1418" w:left="1440" w:header="851" w:footer="992" w:gutter="0"/>
          <w:pgNumType w:start="7"/>
          <w:cols w:space="708"/>
          <w:titlePg w:val="0"/>
          <w:docGrid w:type="lines" w:linePitch="312"/>
        </w:sectPr>
      </w:pPr>
      <w:bookmarkStart w:id="82" w:name="_Toc257388361"/>
      <w:bookmarkStart w:id="83" w:name="_Toc257388697"/>
      <w:bookmarkStart w:id="84" w:name="_Toc257389158"/>
      <w:r>
        <w:rPr>
          <w:rFonts w:hint="eastAsia"/>
          <w:bCs w:val="0"/>
          <w:szCs w:val="28"/>
        </w:rPr>
        <w:t>2.6</w:t>
      </w:r>
      <w:r>
        <w:rPr>
          <w:rFonts w:hint="eastAsia"/>
          <w:szCs w:val="28"/>
        </w:rPr>
        <w:t>打桩施工中常见问题的分析及处理：</w:t>
      </w:r>
      <w:bookmarkEnd w:id="82"/>
      <w:bookmarkEnd w:id="83"/>
      <w:bookmarkEnd w:id="84"/>
    </w:p>
    <w:p>
      <w:pPr>
        <w:pStyle w:val="BodyTextIndent3"/>
        <w:spacing w:line="360" w:lineRule="auto"/>
        <w:ind w:firstLine="549" w:firstLineChars="196"/>
        <w:jc w:val="both"/>
        <w:rPr>
          <w:rFonts w:hint="eastAsia"/>
          <w:sz w:val="28"/>
          <w:szCs w:val="28"/>
        </w:rPr>
      </w:pPr>
      <w:r>
        <w:rPr>
          <w:rFonts w:hint="eastAsia"/>
          <w:b/>
          <w:sz w:val="28"/>
          <w:szCs w:val="28"/>
        </w:rPr>
        <w:t>倾斜：</w:t>
      </w:r>
      <w:r>
        <w:rPr>
          <w:rFonts w:hint="eastAsia"/>
          <w:sz w:val="28"/>
          <w:szCs w:val="28"/>
        </w:rPr>
        <w:t>板桩头部向打桩行进方向倾斜</w:t>
      </w:r>
    </w:p>
    <w:p>
      <w:pPr>
        <w:spacing w:line="360" w:lineRule="auto"/>
        <w:ind w:firstLine="562"/>
        <w:rPr>
          <w:rFonts w:hint="eastAsia"/>
          <w:sz w:val="28"/>
          <w:szCs w:val="28"/>
        </w:rPr>
      </w:pPr>
      <w:r>
        <w:rPr>
          <w:rFonts w:hint="eastAsia"/>
          <w:b/>
          <w:sz w:val="28"/>
          <w:szCs w:val="28"/>
        </w:rPr>
        <w:t>共连：</w:t>
      </w:r>
      <w:r>
        <w:rPr>
          <w:rFonts w:hint="eastAsia"/>
          <w:sz w:val="28"/>
          <w:szCs w:val="28"/>
        </w:rPr>
        <w:t>打板桩时和打入的邻桩一起下沉</w:t>
      </w:r>
    </w:p>
    <w:p>
      <w:pPr>
        <w:spacing w:line="360" w:lineRule="auto"/>
        <w:ind w:left="561" w:firstLine="1" w:leftChars="267" w:firstLineChars="0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原因分析：</w:t>
      </w:r>
      <w:r>
        <w:rPr>
          <w:rFonts w:hint="eastAsia"/>
          <w:sz w:val="28"/>
          <w:szCs w:val="28"/>
        </w:rPr>
        <w:t>打桩行进方向板桩贯入阻力小，钢板桩倾斜弯曲使槽口阻力增加。</w:t>
      </w:r>
    </w:p>
    <w:p>
      <w:pPr>
        <w:spacing w:line="360" w:lineRule="auto"/>
        <w:ind w:firstLine="562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防止措施：</w:t>
      </w:r>
    </w:p>
    <w:p>
      <w:pPr>
        <w:spacing w:line="360" w:lineRule="auto"/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1）施工过程中用仪器随时检查、控制、纠正；</w:t>
      </w:r>
    </w:p>
    <w:p>
      <w:pPr>
        <w:spacing w:line="360" w:lineRule="auto"/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2）发生倾斜时，用钢丝绳拉住桩身，边拉边打，逐步纠正；</w:t>
      </w:r>
    </w:p>
    <w:p>
      <w:pPr>
        <w:spacing w:line="360" w:lineRule="auto"/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1）发生板桩倾斜及时纠正；</w:t>
      </w:r>
    </w:p>
    <w:p>
      <w:pPr>
        <w:spacing w:line="360" w:lineRule="auto"/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2）把发生共连的桩和已打好的桩一块或数块用角铁电焊临时固定。</w:t>
      </w:r>
    </w:p>
    <w:p>
      <w:pPr>
        <w:pStyle w:val="Heading2"/>
        <w:ind w:left="420" w:firstLine="562"/>
        <w:rPr>
          <w:rFonts w:hint="eastAsia"/>
          <w:szCs w:val="28"/>
        </w:rPr>
      </w:pPr>
      <w:bookmarkStart w:id="85" w:name="_Toc257388362"/>
      <w:bookmarkStart w:id="86" w:name="_Toc257388698"/>
      <w:bookmarkStart w:id="87" w:name="_Toc257389159"/>
      <w:r>
        <w:rPr>
          <w:rFonts w:hint="eastAsia"/>
          <w:szCs w:val="28"/>
        </w:rPr>
        <w:t>2.7打桩深度、开挖宽度的确定</w:t>
      </w:r>
      <w:bookmarkEnd w:id="85"/>
      <w:bookmarkEnd w:id="86"/>
      <w:bookmarkEnd w:id="87"/>
    </w:p>
    <w:p>
      <w:pPr>
        <w:spacing w:line="360" w:lineRule="auto"/>
        <w:ind w:firstLine="562"/>
        <w:rPr>
          <w:rFonts w:hint="eastAsia"/>
          <w:sz w:val="28"/>
          <w:szCs w:val="28"/>
        </w:rPr>
        <w:sectPr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continuous"/>
          <w:pgSz w:w="11906" w:h="16838"/>
          <w:pgMar w:top="1418" w:right="1440" w:bottom="1418" w:left="1440" w:header="851" w:footer="992" w:gutter="0"/>
          <w:pgNumType w:start="3"/>
          <w:cols w:space="708"/>
          <w:docGrid w:linePitch="312"/>
        </w:sectPr>
      </w:pPr>
      <w:r>
        <w:rPr>
          <w:rFonts w:hint="eastAsia"/>
          <w:b/>
          <w:sz w:val="28"/>
          <w:szCs w:val="28"/>
        </w:rPr>
        <w:t xml:space="preserve">    </w:t>
      </w:r>
      <w:r>
        <w:rPr>
          <w:rFonts w:ascii="宋体" w:hAnsi="宋体" w:hint="eastAsia"/>
          <w:sz w:val="28"/>
          <w:szCs w:val="28"/>
        </w:rPr>
        <w:t>K0+114.7~K1+034.2</w:t>
      </w:r>
    </w:p>
    <w:p>
      <w:pPr>
        <w:spacing w:line="360" w:lineRule="auto"/>
        <w:ind w:firstLine="562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段污水管埋深基本为7m左右，辅道换填层开挖深度3m多，土方开挖完后的地面距管底为3m~4.5m，根据设计及施工经验暂定打桩深度为7.6m，钢板桩入土深度为3.1m，开挖宽度为2m；施工时可根据具体情况对桩长进行调整，拉森钢板桩选用</w:t>
      </w:r>
      <w:r>
        <w:rPr>
          <w:rFonts w:hint="eastAsia"/>
          <w:sz w:val="28"/>
          <w:szCs w:val="28"/>
        </w:rPr>
        <w:t>Ⅲ</w:t>
      </w:r>
      <w:r>
        <w:rPr>
          <w:rFonts w:hint="eastAsia"/>
          <w:sz w:val="28"/>
          <w:szCs w:val="28"/>
        </w:rPr>
        <w:t>型钢板桩，</w:t>
      </w:r>
      <w:r>
        <w:rPr>
          <w:rFonts w:ascii="宋体" w:hAnsi="宋体" w:hint="eastAsia"/>
          <w:sz w:val="28"/>
          <w:szCs w:val="28"/>
        </w:rPr>
        <w:t>［32c槽钢做顶部支撑，特殊地段采用</w:t>
      </w:r>
      <w:r>
        <w:rPr>
          <w:rFonts w:ascii="宋体" w:hAnsi="宋体" w:hint="eastAsia"/>
          <w:sz w:val="28"/>
          <w:szCs w:val="28"/>
        </w:rPr>
        <w:t>Ⅳ</w:t>
      </w:r>
      <w:r>
        <w:rPr>
          <w:rFonts w:ascii="宋体" w:hAnsi="宋体" w:hint="eastAsia"/>
          <w:sz w:val="28"/>
          <w:szCs w:val="28"/>
        </w:rPr>
        <w:t>型钢板桩，</w:t>
      </w:r>
      <w:r>
        <w:rPr>
          <w:rFonts w:hint="eastAsia"/>
          <w:sz w:val="28"/>
          <w:szCs w:val="28"/>
        </w:rPr>
        <w:t>开挖支护桩断面图如下：</w:t>
      </w:r>
    </w:p>
    <w:p>
      <w:pPr>
        <w:spacing w:line="360" w:lineRule="auto"/>
        <w:ind w:firstLine="560"/>
        <w:rPr>
          <w:rFonts w:hint="eastAsia"/>
          <w:sz w:val="28"/>
          <w:szCs w:val="28"/>
        </w:rPr>
      </w:pPr>
    </w:p>
    <w:p>
      <w:pPr>
        <w:spacing w:line="360" w:lineRule="auto"/>
        <w:ind w:firstLine="560"/>
        <w:rPr>
          <w:sz w:val="28"/>
          <w:szCs w:val="28"/>
        </w:rPr>
      </w:pPr>
      <w:r>
        <w:rPr>
          <w:sz w:val="28"/>
          <w:szCs w:val="28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i1040" type="#_x0000_t75" style="width:467.9pt;height:497.06pt;mso-position-horizontal-relative:page;mso-position-vertical-relative:page;mso-wrap-style:square" o:ole="" o:preferrelative="t" filled="f" stroked="f">
            <v:stroke linestyle="single"/>
            <v:imagedata r:id="rId52" o:title=""/>
            <v:path o:extrusionok="f"/>
            <o:lock v:ext="edit" aspectratio="t"/>
          </v:shape>
          <o:OLEObject Type="Embed" ProgID="AutoCAD.Drawing.16" ShapeID="Object 1" DrawAspect="Content" ObjectID="_1234567890" r:id="rId53"/>
        </w:object>
      </w:r>
    </w:p>
    <w:p>
      <w:pPr>
        <w:ind w:firstLine="560"/>
        <w:rPr>
          <w:sz w:val="28"/>
          <w:szCs w:val="28"/>
        </w:rPr>
      </w:pPr>
    </w:p>
    <w:p>
      <w:pPr>
        <w:ind w:firstLine="560"/>
        <w:rPr>
          <w:sz w:val="28"/>
          <w:szCs w:val="28"/>
        </w:rPr>
      </w:pPr>
    </w:p>
    <w:p>
      <w:pPr>
        <w:ind w:firstLine="560"/>
        <w:rPr>
          <w:rFonts w:hint="eastAsia"/>
          <w:sz w:val="28"/>
          <w:szCs w:val="28"/>
        </w:rPr>
      </w:pPr>
    </w:p>
    <w:p>
      <w:pPr>
        <w:ind w:firstLine="560"/>
        <w:rPr>
          <w:rFonts w:hint="eastAsia"/>
          <w:sz w:val="28"/>
          <w:szCs w:val="28"/>
        </w:rPr>
      </w:pPr>
    </w:p>
    <w:p>
      <w:pPr>
        <w:ind w:firstLine="560"/>
        <w:rPr>
          <w:rFonts w:hint="eastAsia"/>
          <w:sz w:val="28"/>
          <w:szCs w:val="28"/>
        </w:rPr>
      </w:pPr>
    </w:p>
    <w:p>
      <w:pPr>
        <w:ind w:firstLine="560"/>
        <w:rPr>
          <w:rFonts w:hint="eastAsia"/>
          <w:sz w:val="28"/>
          <w:szCs w:val="28"/>
        </w:rPr>
        <w:sectPr>
          <w:headerReference w:type="even" r:id="rId54"/>
          <w:headerReference w:type="default" r:id="rId55"/>
          <w:footerReference w:type="even" r:id="rId56"/>
          <w:footerReference w:type="default" r:id="rId57"/>
          <w:headerReference w:type="first" r:id="rId58"/>
          <w:footerReference w:type="first" r:id="rId59"/>
          <w:type w:val="nextPage"/>
          <w:pgSz w:w="11906" w:h="16838"/>
          <w:pgMar w:top="1418" w:right="1440" w:bottom="1418" w:left="1440" w:header="851" w:footer="992" w:gutter="0"/>
          <w:pgNumType w:start="4"/>
          <w:cols w:space="708"/>
          <w:titlePg w:val="0"/>
          <w:docGrid w:linePitch="312"/>
        </w:sectPr>
      </w:pPr>
    </w:p>
    <w:p>
      <w:pPr>
        <w:ind w:firstLine="560"/>
        <w:rPr>
          <w:rFonts w:hint="eastAsia"/>
          <w:sz w:val="28"/>
          <w:szCs w:val="28"/>
        </w:rPr>
      </w:pPr>
    </w:p>
    <w:p>
      <w:pPr>
        <w:ind w:firstLine="560"/>
        <w:rPr>
          <w:rFonts w:hint="eastAsia"/>
          <w:sz w:val="28"/>
          <w:szCs w:val="28"/>
        </w:rPr>
      </w:pPr>
    </w:p>
    <w:p>
      <w:pPr>
        <w:ind w:firstLine="560"/>
        <w:rPr>
          <w:rFonts w:hint="eastAsia"/>
          <w:sz w:val="28"/>
          <w:szCs w:val="28"/>
        </w:rPr>
      </w:pPr>
    </w:p>
    <w:p>
      <w:pPr>
        <w:ind w:firstLine="560"/>
        <w:rPr>
          <w:rFonts w:hint="eastAsia"/>
          <w:sz w:val="28"/>
          <w:szCs w:val="28"/>
        </w:rPr>
      </w:pPr>
      <w:r>
        <w:rPr>
          <w:sz w:val="28"/>
          <w:szCs w:val="28"/>
        </w:rPr>
        <w:tab/>
      </w:r>
    </w:p>
    <w:p>
      <w:pPr>
        <w:ind w:firstLine="562"/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管径与开挖宽度对应表</w:t>
      </w:r>
    </w:p>
    <w:p>
      <w:pPr>
        <w:ind w:firstLine="560"/>
        <w:rPr>
          <w:rFonts w:hint="eastAsia"/>
          <w:sz w:val="28"/>
          <w:szCs w:val="28"/>
        </w:rPr>
      </w:pPr>
    </w:p>
    <w:tbl>
      <w:tblPr>
        <w:tblStyle w:val="TableNormal"/>
        <w:tblW w:w="50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873"/>
        <w:gridCol w:w="1873"/>
        <w:gridCol w:w="1874"/>
        <w:gridCol w:w="1874"/>
        <w:gridCol w:w="1874"/>
      </w:tblGrid>
      <w:tr>
        <w:tblPrEx>
          <w:tblW w:w="5068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2"/>
        </w:trPr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D（mm）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300~1000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1100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eastAsia="宋体"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  <w:r>
              <w:rPr>
                <w:rFonts w:hint="eastAsia"/>
                <w:sz w:val="28"/>
                <w:szCs w:val="28"/>
                <w:lang w:eastAsia="zh-CN"/>
              </w:rPr>
              <w:t>201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1350</w:t>
            </w:r>
          </w:p>
        </w:tc>
      </w:tr>
      <w:tr>
        <w:tblPrEx>
          <w:tblW w:w="5068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86"/>
        </w:trPr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B（mm）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2.0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2.2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2.3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2.5</w:t>
            </w:r>
          </w:p>
        </w:tc>
      </w:tr>
    </w:tbl>
    <w:p>
      <w:pPr>
        <w:tabs>
          <w:tab w:val="left" w:pos="825"/>
        </w:tabs>
        <w:ind w:firstLine="560"/>
        <w:rPr>
          <w:rFonts w:hint="eastAsia"/>
          <w:sz w:val="28"/>
          <w:szCs w:val="28"/>
        </w:rPr>
      </w:pPr>
    </w:p>
    <w:p>
      <w:pPr>
        <w:spacing w:line="360" w:lineRule="auto"/>
        <w:ind w:firstLine="560"/>
        <w:rPr>
          <w:sz w:val="28"/>
          <w:szCs w:val="28"/>
        </w:rPr>
      </w:pPr>
      <w:r>
        <w:rPr>
          <w:sz w:val="28"/>
          <w:szCs w:val="28"/>
        </w:rPr>
        <w:object>
          <v:shape id="Object 2" o:spid="_x0000_i1041" type="#_x0000_t75" style="width:451.3pt;height:231.7pt;mso-position-horizontal-relative:page;mso-position-vertical-relative:page;mso-wrap-style:square" o:ole="" filled="f" stroked="f">
            <v:stroke linestyle="single"/>
            <v:imagedata r:id="rId60" o:title=""/>
            <v:path o:extrusionok="f"/>
            <o:lock v:ext="edit" aspectratio="t"/>
          </v:shape>
          <o:OLEObject Type="Embed" ProgID="AutoCAD.Drawing.16" ShapeID="Object 2" DrawAspect="Content" ObjectID="_1234567891" r:id="rId61"/>
        </w:object>
      </w:r>
    </w:p>
    <w:p>
      <w:pPr>
        <w:ind w:firstLine="560"/>
        <w:rPr>
          <w:sz w:val="28"/>
          <w:szCs w:val="28"/>
        </w:rPr>
      </w:pPr>
    </w:p>
    <w:p>
      <w:pPr>
        <w:ind w:firstLine="562"/>
        <w:jc w:val="center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钢板桩尺寸（mm）</w:t>
      </w:r>
    </w:p>
    <w:p>
      <w:pPr>
        <w:ind w:firstLine="562"/>
        <w:jc w:val="center"/>
        <w:rPr>
          <w:rFonts w:ascii="宋体" w:hAnsi="宋体" w:hint="eastAsia"/>
          <w:b/>
          <w:sz w:val="28"/>
          <w:szCs w:val="28"/>
        </w:rPr>
      </w:pPr>
    </w:p>
    <w:tbl>
      <w:tblPr>
        <w:tblStyle w:val="TableNormal"/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315"/>
        <w:gridCol w:w="2315"/>
        <w:gridCol w:w="2316"/>
        <w:gridCol w:w="2316"/>
      </w:tblGrid>
      <w:tr>
        <w:tblPrEx>
          <w:tblW w:w="5011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94"/>
        </w:trPr>
        <w:tc>
          <w:tcPr>
            <w:tcW w:w="1250" w:type="pct"/>
            <w:vAlign w:val="center"/>
          </w:tcPr>
          <w:p>
            <w:pPr>
              <w:ind w:firstLine="562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型 号</w:t>
            </w:r>
          </w:p>
        </w:tc>
        <w:tc>
          <w:tcPr>
            <w:tcW w:w="1250" w:type="pct"/>
            <w:vAlign w:val="center"/>
          </w:tcPr>
          <w:p>
            <w:pPr>
              <w:ind w:firstLine="562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b</w:t>
            </w:r>
          </w:p>
        </w:tc>
        <w:tc>
          <w:tcPr>
            <w:tcW w:w="1250" w:type="pct"/>
            <w:vAlign w:val="center"/>
          </w:tcPr>
          <w:p>
            <w:pPr>
              <w:ind w:firstLine="562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h</w:t>
            </w:r>
          </w:p>
        </w:tc>
        <w:tc>
          <w:tcPr>
            <w:tcW w:w="1250" w:type="pct"/>
            <w:vAlign w:val="center"/>
          </w:tcPr>
          <w:p>
            <w:pPr>
              <w:ind w:firstLine="562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t</w:t>
            </w:r>
          </w:p>
        </w:tc>
      </w:tr>
      <w:tr>
        <w:tblPrEx>
          <w:tblW w:w="5011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94"/>
        </w:trPr>
        <w:tc>
          <w:tcPr>
            <w:tcW w:w="1250" w:type="pct"/>
            <w:vAlign w:val="center"/>
          </w:tcPr>
          <w:p>
            <w:pPr>
              <w:ind w:firstLine="562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Ⅳ</w:t>
            </w:r>
          </w:p>
        </w:tc>
        <w:tc>
          <w:tcPr>
            <w:tcW w:w="125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420</w:t>
            </w:r>
          </w:p>
        </w:tc>
        <w:tc>
          <w:tcPr>
            <w:tcW w:w="125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440</w:t>
            </w:r>
          </w:p>
        </w:tc>
        <w:tc>
          <w:tcPr>
            <w:tcW w:w="125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22.0</w:t>
            </w:r>
          </w:p>
        </w:tc>
      </w:tr>
      <w:tr>
        <w:tblPrEx>
          <w:tblW w:w="5011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94"/>
        </w:trPr>
        <w:tc>
          <w:tcPr>
            <w:tcW w:w="1250" w:type="pct"/>
            <w:vAlign w:val="center"/>
          </w:tcPr>
          <w:p>
            <w:pPr>
              <w:ind w:firstLine="562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Ⅲ</w:t>
            </w:r>
          </w:p>
        </w:tc>
        <w:tc>
          <w:tcPr>
            <w:tcW w:w="125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400</w:t>
            </w:r>
          </w:p>
        </w:tc>
        <w:tc>
          <w:tcPr>
            <w:tcW w:w="125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247</w:t>
            </w:r>
          </w:p>
        </w:tc>
        <w:tc>
          <w:tcPr>
            <w:tcW w:w="125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14.5</w:t>
            </w:r>
          </w:p>
        </w:tc>
      </w:tr>
      <w:tr>
        <w:tblPrEx>
          <w:tblW w:w="5011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30"/>
        </w:trPr>
        <w:tc>
          <w:tcPr>
            <w:tcW w:w="1250" w:type="pct"/>
            <w:vAlign w:val="center"/>
          </w:tcPr>
          <w:p>
            <w:pPr>
              <w:ind w:firstLine="562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Ⅱ</w:t>
            </w:r>
          </w:p>
        </w:tc>
        <w:tc>
          <w:tcPr>
            <w:tcW w:w="125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400</w:t>
            </w:r>
          </w:p>
        </w:tc>
        <w:tc>
          <w:tcPr>
            <w:tcW w:w="1250" w:type="pct"/>
            <w:vAlign w:val="center"/>
          </w:tcPr>
          <w:p>
            <w:pPr>
              <w:ind w:firstLine="560"/>
              <w:jc w:val="center"/>
              <w:rPr>
                <w:rFonts w:ascii="宋体" w:eastAsia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  <w:lang w:eastAsia="zh-CN"/>
              </w:rPr>
              <w:t>201</w:t>
            </w:r>
          </w:p>
        </w:tc>
        <w:tc>
          <w:tcPr>
            <w:tcW w:w="125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10.5</w:t>
            </w:r>
          </w:p>
        </w:tc>
      </w:tr>
      <w:tr>
        <w:tblPrEx>
          <w:tblW w:w="5011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94"/>
        </w:trPr>
        <w:tc>
          <w:tcPr>
            <w:tcW w:w="1250" w:type="pct"/>
            <w:vAlign w:val="center"/>
          </w:tcPr>
          <w:p>
            <w:pPr>
              <w:ind w:firstLine="562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Ⅰ</w:t>
            </w:r>
          </w:p>
        </w:tc>
        <w:tc>
          <w:tcPr>
            <w:tcW w:w="125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400</w:t>
            </w:r>
          </w:p>
        </w:tc>
        <w:tc>
          <w:tcPr>
            <w:tcW w:w="125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150</w:t>
            </w:r>
          </w:p>
        </w:tc>
        <w:tc>
          <w:tcPr>
            <w:tcW w:w="125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8.0</w:t>
            </w:r>
          </w:p>
        </w:tc>
      </w:tr>
    </w:tbl>
    <w:p>
      <w:pPr>
        <w:ind w:firstLine="562"/>
        <w:jc w:val="center"/>
        <w:rPr>
          <w:rFonts w:ascii="宋体" w:hAnsi="宋体"/>
          <w:b/>
          <w:sz w:val="28"/>
          <w:szCs w:val="28"/>
        </w:rPr>
      </w:pPr>
    </w:p>
    <w:p>
      <w:pPr>
        <w:ind w:firstLine="562"/>
        <w:jc w:val="center"/>
        <w:rPr>
          <w:rFonts w:hint="eastAsia"/>
          <w:b/>
          <w:sz w:val="28"/>
          <w:szCs w:val="28"/>
        </w:rPr>
        <w:sectPr>
          <w:headerReference w:type="even" r:id="rId62"/>
          <w:headerReference w:type="default" r:id="rId63"/>
          <w:footerReference w:type="even" r:id="rId64"/>
          <w:footerReference w:type="default" r:id="rId65"/>
          <w:headerReference w:type="first" r:id="rId66"/>
          <w:footerReference w:type="first" r:id="rId67"/>
          <w:type w:val="nextPage"/>
          <w:pgSz w:w="11906" w:h="16838"/>
          <w:pgMar w:top="1418" w:right="1440" w:bottom="1418" w:left="1440" w:header="851" w:footer="992" w:gutter="0"/>
          <w:pgNumType w:start="5"/>
          <w:cols w:space="708"/>
          <w:titlePg w:val="0"/>
          <w:docGrid w:linePitch="312"/>
        </w:sectPr>
      </w:pPr>
    </w:p>
    <w:p>
      <w:pPr>
        <w:ind w:firstLine="562"/>
        <w:jc w:val="center"/>
        <w:rPr>
          <w:rFonts w:hint="eastAsia"/>
          <w:b/>
          <w:sz w:val="28"/>
          <w:szCs w:val="28"/>
        </w:rPr>
      </w:pPr>
    </w:p>
    <w:p>
      <w:pPr>
        <w:ind w:firstLine="562"/>
        <w:jc w:val="center"/>
        <w:rPr>
          <w:rFonts w:hint="eastAsia"/>
          <w:b/>
          <w:sz w:val="28"/>
          <w:szCs w:val="28"/>
        </w:rPr>
      </w:pPr>
    </w:p>
    <w:p>
      <w:pPr>
        <w:ind w:firstLine="562"/>
        <w:jc w:val="center"/>
        <w:rPr>
          <w:rFonts w:hint="eastAsia"/>
          <w:b/>
          <w:sz w:val="28"/>
          <w:szCs w:val="28"/>
        </w:rPr>
      </w:pPr>
    </w:p>
    <w:p>
      <w:pPr>
        <w:ind w:firstLine="562"/>
        <w:jc w:val="center"/>
        <w:rPr>
          <w:rFonts w:hint="eastAsia"/>
          <w:b/>
          <w:sz w:val="28"/>
          <w:szCs w:val="28"/>
        </w:rPr>
      </w:pPr>
    </w:p>
    <w:p>
      <w:pPr>
        <w:ind w:firstLine="562"/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挖深H=3~4.5m顶部支撑钢板桩配置表</w:t>
      </w:r>
    </w:p>
    <w:tbl>
      <w:tblPr>
        <w:tblStyle w:val="TableNormal"/>
        <w:tblW w:w="49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831"/>
        <w:gridCol w:w="1831"/>
        <w:gridCol w:w="1831"/>
        <w:gridCol w:w="1832"/>
        <w:gridCol w:w="1832"/>
      </w:tblGrid>
      <w:tr>
        <w:tblPrEx>
          <w:tblW w:w="4954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7"/>
        </w:trPr>
        <w:tc>
          <w:tcPr>
            <w:tcW w:w="1000" w:type="pct"/>
            <w:vAlign w:val="center"/>
          </w:tcPr>
          <w:p>
            <w:pPr>
              <w:ind w:firstLine="562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H（m）</w:t>
            </w:r>
          </w:p>
        </w:tc>
        <w:tc>
          <w:tcPr>
            <w:tcW w:w="1000" w:type="pct"/>
            <w:vAlign w:val="center"/>
          </w:tcPr>
          <w:p>
            <w:pPr>
              <w:ind w:firstLine="562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T（m）</w:t>
            </w:r>
          </w:p>
        </w:tc>
        <w:tc>
          <w:tcPr>
            <w:tcW w:w="1000" w:type="pct"/>
            <w:vAlign w:val="center"/>
          </w:tcPr>
          <w:p>
            <w:pPr>
              <w:ind w:firstLine="562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钢板桩型号</w:t>
            </w:r>
          </w:p>
        </w:tc>
        <w:tc>
          <w:tcPr>
            <w:tcW w:w="1000" w:type="pct"/>
            <w:vAlign w:val="center"/>
          </w:tcPr>
          <w:p>
            <w:pPr>
              <w:ind w:firstLine="562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桩长（m）</w:t>
            </w:r>
          </w:p>
        </w:tc>
        <w:tc>
          <w:tcPr>
            <w:tcW w:w="1000" w:type="pct"/>
            <w:vAlign w:val="center"/>
          </w:tcPr>
          <w:p>
            <w:pPr>
              <w:ind w:firstLine="562"/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槽钢型号</w:t>
            </w:r>
          </w:p>
        </w:tc>
      </w:tr>
      <w:tr>
        <w:tblPrEx>
          <w:tblW w:w="4954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70"/>
        </w:trPr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4.5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3.1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Ⅲ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7.6</w:t>
            </w:r>
          </w:p>
        </w:tc>
        <w:tc>
          <w:tcPr>
            <w:tcW w:w="1000" w:type="pct"/>
            <w:vMerge w:val="restart"/>
            <w:vAlign w:val="center"/>
          </w:tcPr>
          <w:p>
            <w:pPr>
              <w:ind w:firstLine="560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［32c</w:t>
            </w:r>
          </w:p>
        </w:tc>
      </w:tr>
      <w:tr>
        <w:tblPrEx>
          <w:tblW w:w="4954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37"/>
        </w:trPr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4.0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2.8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Ⅱ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6.8</w:t>
            </w:r>
          </w:p>
        </w:tc>
        <w:tc>
          <w:tcPr>
            <w:tcW w:w="1000" w:type="pct"/>
            <w:vMerge/>
            <w:vAlign w:val="center"/>
          </w:tcPr>
          <w:p>
            <w:pPr>
              <w:ind w:firstLine="562"/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>
        <w:tblPrEx>
          <w:tblW w:w="4954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70"/>
        </w:trPr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3.5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2.5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Ⅱ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6.0</w:t>
            </w:r>
          </w:p>
        </w:tc>
        <w:tc>
          <w:tcPr>
            <w:tcW w:w="1000" w:type="pct"/>
            <w:vMerge w:val="restart"/>
            <w:vAlign w:val="center"/>
          </w:tcPr>
          <w:p>
            <w:pPr>
              <w:ind w:firstLine="560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［28c</w:t>
            </w:r>
          </w:p>
        </w:tc>
      </w:tr>
      <w:tr>
        <w:tblPrEx>
          <w:tblW w:w="4954" w:type="pct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70"/>
        </w:trPr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3.0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2.2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Ⅰ</w:t>
            </w:r>
          </w:p>
        </w:tc>
        <w:tc>
          <w:tcPr>
            <w:tcW w:w="1000" w:type="pct"/>
            <w:vAlign w:val="center"/>
          </w:tcPr>
          <w:p>
            <w:pPr>
              <w:ind w:firstLine="56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5.5</w:t>
            </w:r>
          </w:p>
        </w:tc>
        <w:tc>
          <w:tcPr>
            <w:tcW w:w="1000" w:type="pct"/>
            <w:vMerge/>
            <w:vAlign w:val="center"/>
          </w:tcPr>
          <w:p>
            <w:pPr>
              <w:ind w:firstLine="562"/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</w:tbl>
    <w:p>
      <w:pPr>
        <w:spacing w:line="360" w:lineRule="auto"/>
        <w:ind w:firstLine="562"/>
        <w:rPr>
          <w:rFonts w:hint="eastAsia"/>
          <w:b/>
          <w:sz w:val="28"/>
          <w:szCs w:val="28"/>
        </w:rPr>
        <w:sectPr>
          <w:headerReference w:type="even" r:id="rId68"/>
          <w:headerReference w:type="default" r:id="rId69"/>
          <w:footerReference w:type="even" r:id="rId70"/>
          <w:footerReference w:type="default" r:id="rId71"/>
          <w:headerReference w:type="first" r:id="rId72"/>
          <w:footerReference w:type="first" r:id="rId73"/>
          <w:type w:val="nextPage"/>
          <w:pgSz w:w="11906" w:h="16838"/>
          <w:pgMar w:top="1418" w:right="1440" w:bottom="1418" w:left="1440" w:header="851" w:footer="992" w:gutter="0"/>
          <w:pgNumType w:start="6"/>
          <w:cols w:space="708"/>
          <w:titlePg w:val="0"/>
          <w:docGrid w:linePitch="312"/>
        </w:sectPr>
      </w:pPr>
      <w:r>
        <w:rPr>
          <w:rFonts w:hint="eastAsia"/>
          <w:b/>
          <w:sz w:val="28"/>
          <w:szCs w:val="28"/>
        </w:rPr>
        <w:t xml:space="preserve"> </w:t>
      </w:r>
    </w:p>
    <w:p>
      <w:pPr>
        <w:pStyle w:val="Heading1"/>
        <w:spacing w:line="360" w:lineRule="auto"/>
        <w:ind w:firstLine="562"/>
        <w:jc w:val="left"/>
        <w:rPr>
          <w:rFonts w:hint="eastAsia"/>
          <w:kern w:val="0"/>
          <w:sz w:val="28"/>
          <w:szCs w:val="28"/>
        </w:rPr>
      </w:pPr>
      <w:bookmarkStart w:id="88" w:name="_Toc257388363"/>
      <w:bookmarkStart w:id="89" w:name="_Toc257389160"/>
      <w:bookmarkStart w:id="90" w:name="_Toc257388699"/>
      <w:r>
        <w:rPr>
          <w:rFonts w:hint="eastAsia"/>
          <w:bCs w:val="0"/>
          <w:kern w:val="0"/>
          <w:sz w:val="28"/>
          <w:szCs w:val="28"/>
        </w:rPr>
        <w:t>三、基坑支护工程的现场监测</w:t>
      </w:r>
      <w:bookmarkEnd w:id="88"/>
      <w:bookmarkEnd w:id="89"/>
      <w:bookmarkEnd w:id="90"/>
    </w:p>
    <w:p>
      <w:pPr>
        <w:pStyle w:val="Heading2"/>
        <w:ind w:left="420" w:firstLine="562"/>
        <w:rPr>
          <w:rFonts w:hint="eastAsia"/>
          <w:kern w:val="24"/>
          <w:szCs w:val="28"/>
        </w:rPr>
      </w:pPr>
      <w:bookmarkStart w:id="91" w:name="_Toc257389161"/>
      <w:bookmarkStart w:id="92" w:name="_Toc257388700"/>
      <w:bookmarkStart w:id="93" w:name="_Toc257388364"/>
      <w:r>
        <w:rPr>
          <w:rFonts w:hint="eastAsia"/>
          <w:kern w:val="24"/>
          <w:szCs w:val="28"/>
        </w:rPr>
        <w:t>1基坑观测的内容</w:t>
      </w:r>
      <w:bookmarkEnd w:id="91"/>
      <w:bookmarkEnd w:id="92"/>
      <w:bookmarkEnd w:id="93"/>
    </w:p>
    <w:p>
      <w:pPr>
        <w:ind w:firstLine="560"/>
        <w:rPr>
          <w:rFonts w:ascii="宋体" w:hAnsi="宋体" w:hint="eastAsia"/>
          <w:kern w:val="24"/>
          <w:sz w:val="28"/>
          <w:szCs w:val="28"/>
        </w:rPr>
      </w:pPr>
      <w:r>
        <w:rPr>
          <w:rFonts w:ascii="宋体" w:hAnsi="宋体" w:hint="eastAsia"/>
          <w:kern w:val="24"/>
          <w:sz w:val="28"/>
          <w:szCs w:val="28"/>
        </w:rPr>
        <w:t>基坑监测是本工程施工中一个必不可少的环节，施工中应观测基坑的稳定性，周围建筑物的变形等。其中基坑的稳定观测包括基坑外围土体位移、沉降的观测。施工中要进行全面观测，施工前在基坑四周设置观测点，按照设计要求，每隔25m设置一个观测点，边施工边观测，保证基坑施工的安全。</w:t>
      </w:r>
    </w:p>
    <w:p>
      <w:pPr>
        <w:pStyle w:val="Heading2"/>
        <w:ind w:left="420" w:firstLine="562"/>
        <w:rPr>
          <w:rFonts w:hint="eastAsia"/>
          <w:kern w:val="24"/>
          <w:szCs w:val="28"/>
        </w:rPr>
      </w:pPr>
      <w:bookmarkStart w:id="94" w:name="_Toc257388701"/>
      <w:bookmarkStart w:id="95" w:name="_Toc257389162"/>
      <w:bookmarkStart w:id="96" w:name="_Toc257388365"/>
      <w:r>
        <w:rPr>
          <w:rFonts w:hint="eastAsia"/>
          <w:kern w:val="24"/>
          <w:szCs w:val="28"/>
        </w:rPr>
        <w:t>2基坑观测点的布置</w:t>
      </w:r>
      <w:bookmarkEnd w:id="94"/>
      <w:bookmarkEnd w:id="95"/>
      <w:bookmarkEnd w:id="96"/>
    </w:p>
    <w:p>
      <w:pPr>
        <w:ind w:firstLine="560"/>
        <w:rPr>
          <w:rFonts w:ascii="宋体" w:hAnsi="宋体" w:hint="eastAsia"/>
          <w:kern w:val="24"/>
          <w:sz w:val="28"/>
          <w:szCs w:val="28"/>
        </w:rPr>
      </w:pPr>
      <w:r>
        <w:rPr>
          <w:rFonts w:ascii="宋体" w:hAnsi="宋体" w:hint="eastAsia"/>
          <w:kern w:val="24"/>
          <w:sz w:val="28"/>
          <w:szCs w:val="28"/>
        </w:rPr>
        <w:t>按照设计要求每隔约25m设置一个观测点，基坑南、北面各布1个观测点，东、西面各布每隔25m设置一个观测点，每面的观测点成直线布置。在基坑四角各布置2个观测控制点，施工过程中对控制点应加以保护。其他观测点布置根据现场情况而定。观测点的制作要求规范美观，并用水泥砂浆围筑，观测点做好后，必须严加保护，不得碰撞，拟采用砖块围筑，待须观测时再移开砖块。</w:t>
      </w:r>
    </w:p>
    <w:p>
      <w:pPr>
        <w:pStyle w:val="Heading2"/>
        <w:ind w:left="420" w:firstLine="562"/>
        <w:rPr>
          <w:rFonts w:hint="eastAsia"/>
          <w:kern w:val="24"/>
          <w:szCs w:val="28"/>
        </w:rPr>
      </w:pPr>
      <w:bookmarkStart w:id="97" w:name="_Toc257388702"/>
      <w:bookmarkStart w:id="98" w:name="_Toc257388366"/>
      <w:bookmarkStart w:id="99" w:name="_Toc257389163"/>
      <w:r>
        <w:rPr>
          <w:rFonts w:hint="eastAsia"/>
          <w:kern w:val="24"/>
          <w:szCs w:val="28"/>
        </w:rPr>
        <w:t>3监测频率</w:t>
      </w:r>
      <w:bookmarkEnd w:id="97"/>
      <w:bookmarkEnd w:id="98"/>
      <w:bookmarkEnd w:id="99"/>
    </w:p>
    <w:p>
      <w:pPr>
        <w:ind w:firstLine="560"/>
        <w:jc w:val="left"/>
        <w:rPr>
          <w:rFonts w:ascii="宋体" w:hAnsi="宋体" w:hint="eastAsia"/>
          <w:kern w:val="24"/>
          <w:sz w:val="28"/>
          <w:szCs w:val="28"/>
        </w:rPr>
        <w:sectPr>
          <w:headerReference w:type="even" r:id="rId74"/>
          <w:headerReference w:type="default" r:id="rId75"/>
          <w:footerReference w:type="even" r:id="rId76"/>
          <w:footerReference w:type="default" r:id="rId77"/>
          <w:headerReference w:type="first" r:id="rId78"/>
          <w:footerReference w:type="first" r:id="rId79"/>
          <w:pgSz w:w="11906" w:h="16838"/>
          <w:pgMar w:top="1440" w:right="1800" w:bottom="1440" w:left="1800" w:header="851" w:footer="992" w:gutter="0"/>
          <w:pgNumType w:start="7"/>
          <w:cols w:space="708"/>
          <w:docGrid w:type="lines" w:linePitch="312"/>
        </w:sectPr>
      </w:pPr>
    </w:p>
    <w:p>
      <w:pPr>
        <w:ind w:firstLine="560"/>
        <w:jc w:val="left"/>
        <w:rPr>
          <w:rFonts w:ascii="宋体" w:hAnsi="宋体" w:hint="eastAsia"/>
          <w:kern w:val="24"/>
          <w:sz w:val="28"/>
          <w:szCs w:val="28"/>
        </w:rPr>
      </w:pPr>
      <w:r>
        <w:rPr>
          <w:rFonts w:ascii="宋体" w:hAnsi="宋体" w:hint="eastAsia"/>
          <w:kern w:val="24"/>
          <w:sz w:val="28"/>
          <w:szCs w:val="28"/>
        </w:rPr>
        <w:t>基坑监测的频率要随土方开挖进度和基坑变化情况作调整，基坑监测点布设两天后开始读测原始值，且应不少于2次。当基坑开始挖土时，监测次数要增加，开挖以后每天测量一次，当基坑边坡位移出现突变量，增加到一天两次甚至两小时观测一次，当边坡位移趋于稳定时，测量间隔时间可延长至5～10天。基坑的监测时间为从基坑开挖至污水管道安装完成，观测结果务必全面、真实、整洁，并整理成册。</w:t>
      </w:r>
    </w:p>
    <w:p>
      <w:pPr>
        <w:pStyle w:val="Heading2"/>
        <w:ind w:left="420" w:firstLine="562"/>
        <w:rPr>
          <w:rFonts w:hint="eastAsia"/>
          <w:szCs w:val="28"/>
        </w:rPr>
      </w:pPr>
      <w:bookmarkStart w:id="100" w:name="_Toc257388703"/>
      <w:bookmarkStart w:id="101" w:name="_Toc257388367"/>
      <w:bookmarkStart w:id="102" w:name="_Toc257389164"/>
      <w:r>
        <w:rPr>
          <w:rFonts w:hint="eastAsia"/>
          <w:szCs w:val="28"/>
        </w:rPr>
        <w:t>4钢板桩的检验与矫正</w:t>
      </w:r>
      <w:bookmarkEnd w:id="100"/>
      <w:bookmarkEnd w:id="101"/>
      <w:bookmarkEnd w:id="102"/>
    </w:p>
    <w:p>
      <w:pPr>
        <w:pStyle w:val="Heading2"/>
        <w:ind w:left="420" w:firstLine="562"/>
        <w:rPr>
          <w:rFonts w:hint="eastAsia"/>
          <w:szCs w:val="28"/>
        </w:rPr>
      </w:pPr>
      <w:bookmarkStart w:id="103" w:name="_Toc257388704"/>
      <w:bookmarkStart w:id="104" w:name="_Toc257389165"/>
      <w:bookmarkStart w:id="105" w:name="_Toc257388368"/>
      <w:r>
        <w:rPr>
          <w:rFonts w:hint="eastAsia"/>
          <w:szCs w:val="28"/>
        </w:rPr>
        <w:t>4.1钢板桩检验</w:t>
      </w:r>
      <w:bookmarkEnd w:id="103"/>
      <w:bookmarkEnd w:id="104"/>
      <w:bookmarkEnd w:id="105"/>
    </w:p>
    <w:p>
      <w:pPr>
        <w:spacing w:line="520" w:lineRule="exact"/>
        <w:ind w:firstLine="5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用于基坑临时支护的钢板桩，使用前应进行外观检验，包括表面缺陷、长度、宽度、厚度、高度、端头矩形比、平直度和锁口形状等，必须符合钢板桩质量标准表的要求，否则在打桩前应予以矫正。</w:t>
      </w:r>
    </w:p>
    <w:p>
      <w:pPr>
        <w:spacing w:line="520" w:lineRule="exact"/>
        <w:ind w:firstLine="560"/>
        <w:rPr>
          <w:rFonts w:hint="eastAsia"/>
          <w:sz w:val="28"/>
          <w:szCs w:val="28"/>
        </w:rPr>
      </w:pPr>
    </w:p>
    <w:tbl>
      <w:tblPr>
        <w:tblStyle w:val="TableNormal"/>
        <w:tblW w:w="10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593"/>
        <w:gridCol w:w="642"/>
        <w:gridCol w:w="658"/>
        <w:gridCol w:w="680"/>
        <w:gridCol w:w="720"/>
        <w:gridCol w:w="720"/>
        <w:gridCol w:w="753"/>
        <w:gridCol w:w="738"/>
        <w:gridCol w:w="720"/>
        <w:gridCol w:w="720"/>
        <w:gridCol w:w="720"/>
        <w:gridCol w:w="540"/>
        <w:gridCol w:w="1022"/>
        <w:gridCol w:w="721"/>
        <w:gridCol w:w="618"/>
      </w:tblGrid>
      <w:tr>
        <w:tblPrEx>
          <w:tblW w:w="10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59"/>
          <w:jc w:val="center"/>
        </w:trPr>
        <w:tc>
          <w:tcPr>
            <w:tcW w:w="593" w:type="dxa"/>
            <w:vMerge w:val="restart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桩型</w:t>
            </w:r>
          </w:p>
        </w:tc>
        <w:tc>
          <w:tcPr>
            <w:tcW w:w="642" w:type="dxa"/>
            <w:vMerge w:val="restart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有效宽度</w:t>
            </w:r>
            <w:r>
              <w:rPr>
                <w:bCs/>
                <w:sz w:val="28"/>
                <w:szCs w:val="28"/>
              </w:rPr>
              <w:t>b(%)</w:t>
            </w:r>
          </w:p>
        </w:tc>
        <w:tc>
          <w:tcPr>
            <w:tcW w:w="658" w:type="dxa"/>
            <w:vMerge w:val="restart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端头矩形比（</w:t>
            </w:r>
            <w:r>
              <w:rPr>
                <w:bCs/>
                <w:sz w:val="28"/>
                <w:szCs w:val="28"/>
              </w:rPr>
              <w:t>mm</w:t>
            </w:r>
            <w:r>
              <w:rPr>
                <w:rFonts w:hint="eastAsia"/>
                <w:bCs/>
                <w:sz w:val="28"/>
                <w:szCs w:val="28"/>
              </w:rPr>
              <w:t>）</w:t>
            </w:r>
          </w:p>
        </w:tc>
        <w:tc>
          <w:tcPr>
            <w:tcW w:w="2873" w:type="dxa"/>
            <w:gridSpan w:val="4"/>
            <w:vMerge w:val="restart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厚度比（</w:t>
            </w:r>
            <w:r>
              <w:rPr>
                <w:bCs/>
                <w:sz w:val="28"/>
                <w:szCs w:val="28"/>
              </w:rPr>
              <w:t>mm</w:t>
            </w:r>
            <w:r>
              <w:rPr>
                <w:rFonts w:hint="eastAsia"/>
                <w:bCs/>
                <w:sz w:val="28"/>
                <w:szCs w:val="28"/>
              </w:rPr>
              <w:t>）</w:t>
            </w:r>
          </w:p>
        </w:tc>
        <w:tc>
          <w:tcPr>
            <w:tcW w:w="2898" w:type="dxa"/>
            <w:gridSpan w:val="4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平直度（%</w:t>
            </w:r>
            <w:r>
              <w:rPr>
                <w:rFonts w:hint="eastAsia"/>
                <w:bCs/>
                <w:sz w:val="28"/>
                <w:szCs w:val="28"/>
              </w:rPr>
              <w:t>·</w:t>
            </w:r>
            <w:r>
              <w:rPr>
                <w:rFonts w:hint="eastAsia"/>
                <w:bCs/>
                <w:sz w:val="28"/>
                <w:szCs w:val="28"/>
              </w:rPr>
              <w:t>L）</w:t>
            </w:r>
          </w:p>
        </w:tc>
        <w:tc>
          <w:tcPr>
            <w:tcW w:w="540" w:type="dxa"/>
            <w:vMerge w:val="restart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重量（%）</w:t>
            </w:r>
          </w:p>
        </w:tc>
        <w:tc>
          <w:tcPr>
            <w:tcW w:w="1022" w:type="dxa"/>
            <w:vMerge w:val="restart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长度L</w:t>
            </w:r>
          </w:p>
        </w:tc>
        <w:tc>
          <w:tcPr>
            <w:tcW w:w="721" w:type="dxa"/>
            <w:vMerge w:val="restart"/>
            <w:vAlign w:val="center"/>
          </w:tcPr>
          <w:p>
            <w:pPr>
              <w:ind w:firstLine="0" w:firstLineChars="0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表面</w:t>
            </w:r>
          </w:p>
          <w:p>
            <w:pPr>
              <w:ind w:firstLine="0" w:firstLineChars="0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欠陷（%</w:t>
            </w:r>
            <w:r>
              <w:rPr>
                <w:rFonts w:hint="eastAsia"/>
                <w:bCs/>
                <w:sz w:val="28"/>
                <w:szCs w:val="28"/>
              </w:rPr>
              <w:t>·δ</w:t>
            </w:r>
            <w:r>
              <w:rPr>
                <w:rFonts w:hint="eastAsia"/>
                <w:bCs/>
                <w:sz w:val="28"/>
                <w:szCs w:val="28"/>
              </w:rPr>
              <w:t>）</w:t>
            </w:r>
          </w:p>
        </w:tc>
        <w:tc>
          <w:tcPr>
            <w:tcW w:w="618" w:type="dxa"/>
            <w:vMerge w:val="restart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锁口（</w:t>
            </w:r>
            <w:r>
              <w:rPr>
                <w:bCs/>
                <w:sz w:val="28"/>
                <w:szCs w:val="28"/>
              </w:rPr>
              <w:t>mm</w:t>
            </w:r>
            <w:r>
              <w:rPr>
                <w:rFonts w:hint="eastAsia"/>
                <w:bCs/>
                <w:sz w:val="28"/>
                <w:szCs w:val="28"/>
              </w:rPr>
              <w:t>）</w:t>
            </w:r>
          </w:p>
        </w:tc>
      </w:tr>
      <w:tr>
        <w:tblPrEx>
          <w:tblW w:w="10565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287"/>
          <w:jc w:val="center"/>
        </w:trPr>
        <w:tc>
          <w:tcPr>
            <w:tcW w:w="593" w:type="dxa"/>
            <w:vMerge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  <w:tc>
          <w:tcPr>
            <w:tcW w:w="642" w:type="dxa"/>
            <w:vMerge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  <w:tc>
          <w:tcPr>
            <w:tcW w:w="658" w:type="dxa"/>
            <w:vMerge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  <w:tc>
          <w:tcPr>
            <w:tcW w:w="2873" w:type="dxa"/>
            <w:gridSpan w:val="4"/>
            <w:vMerge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58" w:type="dxa"/>
            <w:gridSpan w:val="2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垂直向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平行向</w:t>
            </w:r>
          </w:p>
        </w:tc>
        <w:tc>
          <w:tcPr>
            <w:tcW w:w="540" w:type="dxa"/>
            <w:vMerge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  <w:tc>
          <w:tcPr>
            <w:tcW w:w="1022" w:type="dxa"/>
            <w:vMerge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  <w:tc>
          <w:tcPr>
            <w:tcW w:w="721" w:type="dxa"/>
            <w:vMerge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  <w:tc>
          <w:tcPr>
            <w:tcW w:w="618" w:type="dxa"/>
            <w:vMerge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</w:tr>
      <w:tr>
        <w:tblPrEx>
          <w:tblW w:w="10565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493"/>
          <w:jc w:val="center"/>
        </w:trPr>
        <w:tc>
          <w:tcPr>
            <w:tcW w:w="593" w:type="dxa"/>
            <w:vMerge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  <w:tc>
          <w:tcPr>
            <w:tcW w:w="642" w:type="dxa"/>
            <w:vMerge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  <w:tc>
          <w:tcPr>
            <w:tcW w:w="658" w:type="dxa"/>
            <w:vMerge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&lt;8</w:t>
            </w:r>
            <w:r>
              <w:rPr>
                <w:bCs/>
                <w:sz w:val="28"/>
                <w:szCs w:val="28"/>
              </w:rPr>
              <w:t>m</w:t>
            </w:r>
          </w:p>
        </w:tc>
        <w:tc>
          <w:tcPr>
            <w:tcW w:w="720" w:type="dxa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8</w:t>
            </w:r>
            <w:r>
              <w:rPr>
                <w:bCs/>
                <w:sz w:val="28"/>
                <w:szCs w:val="28"/>
              </w:rPr>
              <w:t>~2m</w:t>
            </w:r>
          </w:p>
        </w:tc>
        <w:tc>
          <w:tcPr>
            <w:tcW w:w="720" w:type="dxa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12~18m</w:t>
            </w:r>
          </w:p>
        </w:tc>
        <w:tc>
          <w:tcPr>
            <w:tcW w:w="753" w:type="dxa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&gt;</w:t>
            </w:r>
            <w:r>
              <w:rPr>
                <w:bCs/>
                <w:sz w:val="28"/>
                <w:szCs w:val="28"/>
              </w:rPr>
              <w:t>18m</w:t>
            </w:r>
          </w:p>
        </w:tc>
        <w:tc>
          <w:tcPr>
            <w:tcW w:w="738" w:type="dxa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  <w:r>
              <w:rPr>
                <w:bCs/>
                <w:sz w:val="28"/>
                <w:szCs w:val="28"/>
              </w:rPr>
              <w:t>10m</w:t>
            </w:r>
          </w:p>
        </w:tc>
        <w:tc>
          <w:tcPr>
            <w:tcW w:w="720" w:type="dxa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&gt;</w:t>
            </w:r>
            <w:r>
              <w:rPr>
                <w:bCs/>
                <w:sz w:val="28"/>
                <w:szCs w:val="28"/>
              </w:rPr>
              <w:t>10m</w:t>
            </w:r>
          </w:p>
        </w:tc>
        <w:tc>
          <w:tcPr>
            <w:tcW w:w="720" w:type="dxa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  <w:r>
              <w:rPr>
                <w:bCs/>
                <w:sz w:val="28"/>
                <w:szCs w:val="28"/>
              </w:rPr>
              <w:t>10m</w:t>
            </w:r>
          </w:p>
        </w:tc>
        <w:tc>
          <w:tcPr>
            <w:tcW w:w="720" w:type="dxa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&gt;</w:t>
            </w:r>
            <w:r>
              <w:rPr>
                <w:bCs/>
                <w:sz w:val="28"/>
                <w:szCs w:val="28"/>
              </w:rPr>
              <w:t>10m</w:t>
            </w:r>
          </w:p>
        </w:tc>
        <w:tc>
          <w:tcPr>
            <w:tcW w:w="540" w:type="dxa"/>
            <w:vMerge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22" w:type="dxa"/>
            <w:vMerge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  <w:tc>
          <w:tcPr>
            <w:tcW w:w="721" w:type="dxa"/>
            <w:vMerge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  <w:tc>
          <w:tcPr>
            <w:tcW w:w="618" w:type="dxa"/>
            <w:vMerge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</w:tr>
      <w:tr>
        <w:tblPrEx>
          <w:tblW w:w="10565" w:type="dxa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559"/>
          <w:jc w:val="center"/>
        </w:trPr>
        <w:tc>
          <w:tcPr>
            <w:tcW w:w="593" w:type="dxa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U</w:t>
            </w:r>
            <w:r>
              <w:rPr>
                <w:rFonts w:hint="eastAsia"/>
                <w:bCs/>
                <w:sz w:val="28"/>
                <w:szCs w:val="28"/>
              </w:rPr>
              <w:t>型</w:t>
            </w:r>
          </w:p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Z型</w:t>
            </w:r>
          </w:p>
          <w:p>
            <w:pPr>
              <w:spacing w:after="0"/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  <w:tc>
          <w:tcPr>
            <w:tcW w:w="642" w:type="dxa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  <w:r>
              <w:rPr>
                <w:rFonts w:hint="eastAsia"/>
                <w:bCs/>
                <w:sz w:val="28"/>
                <w:szCs w:val="28"/>
              </w:rPr>
              <w:t>2</w:t>
            </w:r>
          </w:p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-1~</w:t>
            </w:r>
          </w:p>
          <w:p>
            <w:pPr>
              <w:spacing w:after="0"/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</w:p>
        </w:tc>
        <w:tc>
          <w:tcPr>
            <w:tcW w:w="658" w:type="dxa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</w:p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</w:p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&lt;2</w:t>
            </w:r>
          </w:p>
          <w:p>
            <w:pPr>
              <w:spacing w:after="0"/>
              <w:ind w:firstLine="5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80" w:type="dxa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  <w:r>
              <w:rPr>
                <w:bCs/>
                <w:sz w:val="28"/>
                <w:szCs w:val="28"/>
              </w:rPr>
              <w:t>0.5</w:t>
            </w:r>
          </w:p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  <w:r>
              <w:rPr>
                <w:bCs/>
                <w:sz w:val="28"/>
                <w:szCs w:val="28"/>
              </w:rPr>
              <w:t>0.5</w:t>
            </w:r>
          </w:p>
          <w:p>
            <w:pPr>
              <w:spacing w:after="0"/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</w:p>
        </w:tc>
        <w:tc>
          <w:tcPr>
            <w:tcW w:w="720" w:type="dxa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  <w:r>
              <w:rPr>
                <w:bCs/>
                <w:sz w:val="28"/>
                <w:szCs w:val="28"/>
              </w:rPr>
              <w:t>0.6</w:t>
            </w:r>
          </w:p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  <w:r>
              <w:rPr>
                <w:bCs/>
                <w:sz w:val="28"/>
                <w:szCs w:val="28"/>
              </w:rPr>
              <w:t>0.6</w:t>
            </w:r>
          </w:p>
          <w:p>
            <w:pPr>
              <w:spacing w:after="0"/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</w:p>
        </w:tc>
        <w:tc>
          <w:tcPr>
            <w:tcW w:w="720" w:type="dxa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  <w:r>
              <w:rPr>
                <w:bCs/>
                <w:sz w:val="28"/>
                <w:szCs w:val="28"/>
              </w:rPr>
              <w:t>0.8</w:t>
            </w:r>
          </w:p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  <w:r>
              <w:rPr>
                <w:bCs/>
                <w:sz w:val="28"/>
                <w:szCs w:val="28"/>
              </w:rPr>
              <w:t>0.8</w:t>
            </w:r>
          </w:p>
          <w:p>
            <w:pPr>
              <w:spacing w:after="0"/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</w:p>
        </w:tc>
        <w:tc>
          <w:tcPr>
            <w:tcW w:w="753" w:type="dxa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  <w:r>
              <w:rPr>
                <w:bCs/>
                <w:sz w:val="28"/>
                <w:szCs w:val="28"/>
              </w:rPr>
              <w:t>1.2</w:t>
            </w:r>
          </w:p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  <w:r>
              <w:rPr>
                <w:bCs/>
                <w:sz w:val="28"/>
                <w:szCs w:val="28"/>
              </w:rPr>
              <w:t>1.2</w:t>
            </w:r>
          </w:p>
          <w:p>
            <w:pPr>
              <w:spacing w:after="0"/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</w:p>
        </w:tc>
        <w:tc>
          <w:tcPr>
            <w:tcW w:w="738" w:type="dxa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  <w:r>
              <w:rPr>
                <w:bCs/>
                <w:sz w:val="28"/>
                <w:szCs w:val="28"/>
              </w:rPr>
              <w:t>0.015</w:t>
            </w:r>
          </w:p>
          <w:p>
            <w:pPr>
              <w:spacing w:after="0"/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</w:p>
        </w:tc>
        <w:tc>
          <w:tcPr>
            <w:tcW w:w="720" w:type="dxa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  <w:r>
              <w:rPr>
                <w:bCs/>
                <w:sz w:val="28"/>
                <w:szCs w:val="28"/>
              </w:rPr>
              <w:t>0.12</w:t>
            </w:r>
          </w:p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  <w:r>
              <w:rPr>
                <w:bCs/>
                <w:sz w:val="28"/>
                <w:szCs w:val="28"/>
              </w:rPr>
              <w:t>0.12</w:t>
            </w:r>
          </w:p>
          <w:p>
            <w:pPr>
              <w:spacing w:after="0"/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</w:p>
        </w:tc>
        <w:tc>
          <w:tcPr>
            <w:tcW w:w="720" w:type="dxa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  <w:r>
              <w:rPr>
                <w:bCs/>
                <w:sz w:val="28"/>
                <w:szCs w:val="28"/>
              </w:rPr>
              <w:t>0.15</w:t>
            </w:r>
          </w:p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  <w:r>
              <w:rPr>
                <w:bCs/>
                <w:sz w:val="28"/>
                <w:szCs w:val="28"/>
              </w:rPr>
              <w:t>0.15</w:t>
            </w:r>
          </w:p>
          <w:p>
            <w:pPr>
              <w:spacing w:after="0"/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</w:p>
        </w:tc>
        <w:tc>
          <w:tcPr>
            <w:tcW w:w="720" w:type="dxa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  <w:r>
              <w:rPr>
                <w:bCs/>
                <w:sz w:val="28"/>
                <w:szCs w:val="28"/>
              </w:rPr>
              <w:t>0.12</w:t>
            </w:r>
          </w:p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  <w:r>
              <w:rPr>
                <w:bCs/>
                <w:sz w:val="28"/>
                <w:szCs w:val="28"/>
              </w:rPr>
              <w:t>0.12</w:t>
            </w:r>
          </w:p>
          <w:p>
            <w:pPr>
              <w:spacing w:after="0"/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</w:p>
        </w:tc>
        <w:tc>
          <w:tcPr>
            <w:tcW w:w="540" w:type="dxa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  <w:r>
              <w:rPr>
                <w:bCs/>
                <w:sz w:val="28"/>
                <w:szCs w:val="28"/>
              </w:rPr>
              <w:t>4</w:t>
            </w:r>
          </w:p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  <w:r>
              <w:rPr>
                <w:bCs/>
                <w:sz w:val="28"/>
                <w:szCs w:val="28"/>
              </w:rPr>
              <w:t>4</w:t>
            </w:r>
          </w:p>
          <w:p>
            <w:pPr>
              <w:spacing w:after="0"/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</w:p>
        </w:tc>
        <w:tc>
          <w:tcPr>
            <w:tcW w:w="1022" w:type="dxa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≤±</w:t>
            </w:r>
            <w:r>
              <w:rPr>
                <w:rFonts w:hint="eastAsia"/>
                <w:bCs/>
                <w:sz w:val="28"/>
                <w:szCs w:val="28"/>
                <w:lang w:eastAsia="zh-CN"/>
              </w:rPr>
              <w:t>201</w:t>
            </w:r>
            <w:r>
              <w:rPr>
                <w:bCs/>
                <w:sz w:val="28"/>
                <w:szCs w:val="28"/>
              </w:rPr>
              <w:t>mm</w:t>
            </w:r>
          </w:p>
          <w:p>
            <w:pPr>
              <w:spacing w:after="0"/>
              <w:ind w:firstLine="5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21" w:type="dxa"/>
            <w:vAlign w:val="center"/>
          </w:tcPr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  <w:r>
              <w:rPr>
                <w:bCs/>
                <w:sz w:val="28"/>
                <w:szCs w:val="28"/>
              </w:rPr>
              <w:t>4</w:t>
            </w:r>
          </w:p>
          <w:p>
            <w:pPr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  <w:r>
              <w:rPr>
                <w:bCs/>
                <w:sz w:val="28"/>
                <w:szCs w:val="28"/>
              </w:rPr>
              <w:t>4</w:t>
            </w:r>
          </w:p>
          <w:p>
            <w:pPr>
              <w:spacing w:after="0"/>
              <w:ind w:firstLine="56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&lt;</w:t>
            </w:r>
          </w:p>
        </w:tc>
        <w:tc>
          <w:tcPr>
            <w:tcW w:w="618" w:type="dxa"/>
            <w:vAlign w:val="center"/>
          </w:tcPr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  <w:r>
              <w:rPr>
                <w:bCs/>
                <w:sz w:val="28"/>
                <w:szCs w:val="28"/>
              </w:rPr>
              <w:t>2</w:t>
            </w:r>
          </w:p>
          <w:p>
            <w:pPr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  <w:r>
              <w:rPr>
                <w:bCs/>
                <w:sz w:val="28"/>
                <w:szCs w:val="28"/>
              </w:rPr>
              <w:t>2</w:t>
            </w:r>
          </w:p>
          <w:p>
            <w:pPr>
              <w:spacing w:after="0"/>
              <w:ind w:firstLine="560"/>
              <w:jc w:val="center"/>
              <w:rPr>
                <w:rFonts w:hint="eastAsia"/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±</w:t>
            </w:r>
          </w:p>
        </w:tc>
      </w:tr>
    </w:tbl>
    <w:p>
      <w:r>
        <w:br/>
      </w:r>
      <w:r>
        <w:br/>
      </w:r>
    </w:p>
    <w:p>
      <w:pPr>
        <w:widowControl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https://d.book118.com/517020105101006024</w:t>
        </w:r>
      </w:hyperlink>
    </w:p>
    <w:p/>
    <w:sectPr>
      <w:headerReference w:type="even" r:id="rId81"/>
      <w:headerReference w:type="default" r:id="rId82"/>
      <w:footerReference w:type="even" r:id="rId83"/>
      <w:footerReference w:type="default" r:id="rId84"/>
      <w:headerReference w:type="first" r:id="rId85"/>
      <w:footerReference w:type="first" r:id="rId86"/>
      <w:type w:val="nextPage"/>
      <w:pgSz w:w="11906" w:h="16838"/>
      <w:pgMar w:top="1440" w:right="1800" w:bottom="1440" w:left="1800" w:header="851" w:footer="992" w:gutter="0"/>
      <w:pgNumType w:start="8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汉仪书宋二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  <w:rPr>
        <w:rFonts w:hint="eastAsia"/>
      </w:rPr>
    </w:pP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  <w:rPr>
        <w:rFonts w:hint="eastAsia"/>
      </w:rPr>
    </w:pP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  <w:rPr>
        <w:rFonts w:hint="eastAsia"/>
      </w:rPr>
    </w:pP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  <w:rPr>
        <w:rFonts w:hint="eastAsia"/>
      </w:rPr>
    </w:pP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  <w:rPr>
        <w:rFonts w:hint="eastAsia"/>
      </w:rPr>
    </w:pP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  <w:rPr>
        <w:rFonts w:hint="eastAsia"/>
      </w:rPr>
    </w:pP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  <w:rPr>
        <w:rFonts w:hint="eastAsia"/>
      </w:rPr>
    </w:pP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  <w:rPr>
        <w:rFonts w:hint="eastAsia"/>
      </w:rPr>
    </w:pP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  <w:rPr>
        <w:rFonts w:hint="eastAsia"/>
      </w:rPr>
    </w:pP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  <w:rPr>
        <w:rFonts w:hint="eastAsia"/>
      </w:rPr>
    </w:pP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</w: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right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  <w:rPr>
        <w:rFonts w:hint="eastAsia"/>
      </w:rPr>
    </w:pPr>
    <w:r>
      <w:rPr>
        <w:rFonts w:hint="eastAsia"/>
      </w:rPr>
      <w:t xml:space="preserve">                                                                                                                                                                                               </w: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0" w:firstLineChars="0"/>
      <w:jc w:val="left"/>
      <w:rPr>
        <w:rFonts w:hint="eastAsia"/>
      </w:rPr>
    </w:pPr>
    <w:r>
      <w:rPr>
        <w:rFonts w:ascii="宋体" w:hAnsi="宋体" w:hint="eastAsia"/>
      </w:rPr>
      <w:t>松白路改造工程光明新区段</w:t>
    </w:r>
    <w:r>
      <w:rPr>
        <w:rFonts w:ascii="宋体" w:hAnsi="宋体" w:hint="eastAsia"/>
      </w:rPr>
      <w:t>Ⅱ</w:t>
    </w:r>
    <w:r>
      <w:rPr>
        <w:rFonts w:ascii="宋体" w:hAnsi="宋体" w:hint="eastAsia"/>
      </w:rPr>
      <w:t xml:space="preserve">标               深基坑专项施工方案        </w:t>
    </w:r>
    <w:r>
      <w:rPr>
        <w:rFonts w:hint="eastAsia"/>
      </w:rPr>
      <w:t xml:space="preserve">         深圳市路桥建设集团公司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0" w:firstLineChars="0"/>
      <w:jc w:val="left"/>
      <w:rPr>
        <w:rFonts w:hint="eastAsia"/>
      </w:rPr>
    </w:pPr>
    <w:r>
      <w:rPr>
        <w:rFonts w:ascii="宋体" w:hAnsi="宋体" w:hint="eastAsia"/>
      </w:rPr>
      <w:t>松白路改造工程光明新区段</w:t>
    </w:r>
    <w:r>
      <w:rPr>
        <w:rFonts w:ascii="宋体" w:hAnsi="宋体" w:hint="eastAsia"/>
      </w:rPr>
      <w:t>Ⅱ</w:t>
    </w:r>
    <w:r>
      <w:rPr>
        <w:rFonts w:ascii="宋体" w:hAnsi="宋体" w:hint="eastAsia"/>
      </w:rPr>
      <w:t xml:space="preserve">标               深基坑专项施工方案        </w:t>
    </w:r>
    <w:r>
      <w:rPr>
        <w:rFonts w:hint="eastAsia"/>
      </w:rPr>
      <w:t xml:space="preserve">         深圳市路桥建设集团公司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0" w:firstLineChars="0"/>
      <w:jc w:val="left"/>
      <w:rPr>
        <w:rFonts w:hint="eastAsia"/>
      </w:rPr>
    </w:pPr>
    <w:r>
      <w:rPr>
        <w:rFonts w:ascii="宋体" w:hAnsi="宋体" w:hint="eastAsia"/>
      </w:rPr>
      <w:t>松白路改造工程光明新区段</w:t>
    </w:r>
    <w:r>
      <w:rPr>
        <w:rFonts w:ascii="宋体" w:hAnsi="宋体" w:hint="eastAsia"/>
      </w:rPr>
      <w:t>Ⅱ</w:t>
    </w:r>
    <w:r>
      <w:rPr>
        <w:rFonts w:ascii="宋体" w:hAnsi="宋体" w:hint="eastAsia"/>
      </w:rPr>
      <w:t xml:space="preserve">标               深基坑专项施工方案        </w:t>
    </w:r>
    <w:r>
      <w:rPr>
        <w:rFonts w:hint="eastAsia"/>
      </w:rPr>
      <w:t xml:space="preserve">         深圳市路桥建设集团公司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0" w:firstLineChars="0"/>
      <w:jc w:val="left"/>
      <w:rPr>
        <w:rFonts w:hint="eastAsia"/>
      </w:rPr>
    </w:pPr>
    <w:r>
      <w:rPr>
        <w:rFonts w:ascii="宋体" w:hAnsi="宋体" w:hint="eastAsia"/>
      </w:rPr>
      <w:t>松白路改造工程光明新区段</w:t>
    </w:r>
    <w:r>
      <w:rPr>
        <w:rFonts w:ascii="宋体" w:hAnsi="宋体" w:hint="eastAsia"/>
      </w:rPr>
      <w:t>Ⅱ</w:t>
    </w:r>
    <w:r>
      <w:rPr>
        <w:rFonts w:ascii="宋体" w:hAnsi="宋体" w:hint="eastAsia"/>
      </w:rPr>
      <w:t xml:space="preserve">标               深基坑专项施工方案        </w:t>
    </w:r>
    <w:r>
      <w:rPr>
        <w:rFonts w:hint="eastAsia"/>
      </w:rPr>
      <w:t xml:space="preserve">         深圳市路桥建设集团公司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0" w:firstLineChars="0"/>
      <w:jc w:val="left"/>
      <w:rPr>
        <w:rFonts w:hint="eastAsia"/>
      </w:rPr>
    </w:pPr>
    <w:r>
      <w:rPr>
        <w:rFonts w:ascii="宋体" w:hAnsi="宋体" w:hint="eastAsia"/>
      </w:rPr>
      <w:t>松白路改造工程光明新区段</w:t>
    </w:r>
    <w:r>
      <w:rPr>
        <w:rFonts w:ascii="宋体" w:hAnsi="宋体" w:hint="eastAsia"/>
      </w:rPr>
      <w:t>Ⅱ</w:t>
    </w:r>
    <w:r>
      <w:rPr>
        <w:rFonts w:ascii="宋体" w:hAnsi="宋体" w:hint="eastAsia"/>
      </w:rPr>
      <w:t xml:space="preserve">标               深基坑专项施工方案        </w:t>
    </w:r>
    <w:r>
      <w:rPr>
        <w:rFonts w:hint="eastAsia"/>
      </w:rPr>
      <w:t xml:space="preserve">         深圳市路桥建设集团公司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0" w:firstLineChars="0"/>
      <w:jc w:val="left"/>
      <w:rPr>
        <w:rFonts w:hint="eastAsia"/>
      </w:rPr>
    </w:pPr>
    <w:r>
      <w:rPr>
        <w:rFonts w:ascii="宋体" w:hAnsi="宋体" w:hint="eastAsia"/>
      </w:rPr>
      <w:t>松白路改造工程光明新区段</w:t>
    </w:r>
    <w:r>
      <w:rPr>
        <w:rFonts w:ascii="宋体" w:hAnsi="宋体" w:hint="eastAsia"/>
      </w:rPr>
      <w:t>Ⅱ</w:t>
    </w:r>
    <w:r>
      <w:rPr>
        <w:rFonts w:ascii="宋体" w:hAnsi="宋体" w:hint="eastAsia"/>
      </w:rPr>
      <w:t xml:space="preserve">标               深基坑专项施工方案        </w:t>
    </w:r>
    <w:r>
      <w:rPr>
        <w:rFonts w:hint="eastAsia"/>
      </w:rPr>
      <w:t xml:space="preserve">         深圳市路桥建设集团公司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0" w:firstLineChars="0"/>
      <w:jc w:val="left"/>
      <w:rPr>
        <w:rFonts w:hint="eastAsia"/>
      </w:rPr>
    </w:pPr>
    <w:r>
      <w:rPr>
        <w:rFonts w:ascii="宋体" w:hAnsi="宋体" w:hint="eastAsia"/>
      </w:rPr>
      <w:t>松白路改造工程光明新区段</w:t>
    </w:r>
    <w:r>
      <w:rPr>
        <w:rFonts w:ascii="宋体" w:hAnsi="宋体" w:hint="eastAsia"/>
      </w:rPr>
      <w:t>Ⅱ</w:t>
    </w:r>
    <w:r>
      <w:rPr>
        <w:rFonts w:ascii="宋体" w:hAnsi="宋体" w:hint="eastAsia"/>
      </w:rPr>
      <w:t xml:space="preserve">标               深基坑专项施工方案        </w:t>
    </w:r>
    <w:r>
      <w:rPr>
        <w:rFonts w:hint="eastAsia"/>
      </w:rPr>
      <w:t xml:space="preserve">         深圳市路桥建设集团公司</w: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0" w:firstLineChars="0"/>
      <w:jc w:val="left"/>
      <w:rPr>
        <w:rFonts w:hint="eastAsia"/>
      </w:rPr>
    </w:pPr>
    <w:r>
      <w:rPr>
        <w:rFonts w:ascii="宋体" w:hAnsi="宋体" w:hint="eastAsia"/>
      </w:rPr>
      <w:t>松白路改造工程光明新区段</w:t>
    </w:r>
    <w:r>
      <w:rPr>
        <w:rFonts w:ascii="宋体" w:hAnsi="宋体" w:hint="eastAsia"/>
      </w:rPr>
      <w:t>Ⅱ</w:t>
    </w:r>
    <w:r>
      <w:rPr>
        <w:rFonts w:ascii="宋体" w:hAnsi="宋体" w:hint="eastAsia"/>
      </w:rPr>
      <w:t xml:space="preserve">标               深基坑专项施工方案        </w:t>
    </w:r>
    <w:r>
      <w:rPr>
        <w:rFonts w:hint="eastAsia"/>
      </w:rPr>
      <w:t xml:space="preserve">         深圳市路桥建设集团公司</w: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0" w:firstLineChars="0"/>
      <w:jc w:val="left"/>
      <w:rPr>
        <w:rFonts w:hint="eastAsia"/>
      </w:rPr>
    </w:pPr>
    <w:r>
      <w:rPr>
        <w:rFonts w:ascii="宋体" w:hAnsi="宋体" w:hint="eastAsia"/>
      </w:rPr>
      <w:t>松白路改造工程光明新区段</w:t>
    </w:r>
    <w:r>
      <w:rPr>
        <w:rFonts w:ascii="宋体" w:hAnsi="宋体" w:hint="eastAsia"/>
      </w:rPr>
      <w:t>Ⅱ</w:t>
    </w:r>
    <w:r>
      <w:rPr>
        <w:rFonts w:ascii="宋体" w:hAnsi="宋体" w:hint="eastAsia"/>
      </w:rPr>
      <w:t xml:space="preserve">标               深基坑专项施工方案        </w:t>
    </w:r>
    <w:r>
      <w:rPr>
        <w:rFonts w:hint="eastAsia"/>
      </w:rPr>
      <w:t xml:space="preserve">         深圳市路桥建设集团公司</w: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0" w:firstLineChars="0"/>
      <w:jc w:val="left"/>
      <w:rPr>
        <w:rFonts w:hint="eastAsia"/>
      </w:rPr>
    </w:pPr>
    <w:r>
      <w:rPr>
        <w:rFonts w:ascii="宋体" w:hAnsi="宋体" w:hint="eastAsia"/>
      </w:rPr>
      <w:t>松白路改造工程光明新区段</w:t>
    </w:r>
    <w:r>
      <w:rPr>
        <w:rFonts w:ascii="宋体" w:hAnsi="宋体" w:hint="eastAsia"/>
      </w:rPr>
      <w:t>Ⅱ</w:t>
    </w:r>
    <w:r>
      <w:rPr>
        <w:rFonts w:ascii="宋体" w:hAnsi="宋体" w:hint="eastAsia"/>
      </w:rPr>
      <w:t xml:space="preserve">标               深基坑专项施工方案        </w:t>
    </w:r>
    <w:r>
      <w:rPr>
        <w:rFonts w:hint="eastAsia"/>
      </w:rPr>
      <w:t xml:space="preserve">         深圳市路桥建设集团公司</w: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0" w:firstLineChars="0"/>
      <w:jc w:val="left"/>
      <w:rPr>
        <w:rFonts w:hint="eastAsia"/>
      </w:rPr>
    </w:pPr>
    <w:r>
      <w:rPr>
        <w:rFonts w:ascii="宋体" w:hAnsi="宋体" w:hint="eastAsia"/>
      </w:rPr>
      <w:t>松白路改造工程光明新区段</w:t>
    </w:r>
    <w:r>
      <w:rPr>
        <w:rFonts w:ascii="宋体" w:hAnsi="宋体" w:hint="eastAsia"/>
      </w:rPr>
      <w:t>Ⅱ</w:t>
    </w:r>
    <w:r>
      <w:rPr>
        <w:rFonts w:ascii="宋体" w:hAnsi="宋体" w:hint="eastAsia"/>
      </w:rPr>
      <w:t xml:space="preserve">标               深基坑专项施工方案        </w:t>
    </w:r>
    <w:r>
      <w:rPr>
        <w:rFonts w:hint="eastAsia"/>
      </w:rPr>
      <w:t xml:space="preserve">         深圳市路桥建设集团公司</w: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  <w:ind w:firstLine="360"/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  <w:ind w:firstLine="360"/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27656"/>
    <w:multiLevelType w:val="multilevel"/>
    <w:tmpl w:val="4EE27656"/>
    <w:lvl w:ilvl="0">
      <w:start w:val="1"/>
      <w:numFmt w:val="decimalEnclosedCircle"/>
      <w:lvlText w:val="%1、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3D7B"/>
    <w:rsid w:val="0001707E"/>
    <w:rsid w:val="00021481"/>
    <w:rsid w:val="000331DA"/>
    <w:rsid w:val="00040F21"/>
    <w:rsid w:val="00082E20"/>
    <w:rsid w:val="00092310"/>
    <w:rsid w:val="00095E64"/>
    <w:rsid w:val="00095FA0"/>
    <w:rsid w:val="000A0125"/>
    <w:rsid w:val="000A7934"/>
    <w:rsid w:val="000A7BB4"/>
    <w:rsid w:val="000B297A"/>
    <w:rsid w:val="000C2DAE"/>
    <w:rsid w:val="000C710D"/>
    <w:rsid w:val="000E3860"/>
    <w:rsid w:val="000F51F1"/>
    <w:rsid w:val="00111AD9"/>
    <w:rsid w:val="00116F62"/>
    <w:rsid w:val="00116F69"/>
    <w:rsid w:val="00134156"/>
    <w:rsid w:val="00134623"/>
    <w:rsid w:val="00146CB2"/>
    <w:rsid w:val="001657B5"/>
    <w:rsid w:val="00180611"/>
    <w:rsid w:val="001969D0"/>
    <w:rsid w:val="001A4CD5"/>
    <w:rsid w:val="001A5DD0"/>
    <w:rsid w:val="001A6F0C"/>
    <w:rsid w:val="001B0F90"/>
    <w:rsid w:val="001B16D6"/>
    <w:rsid w:val="001C243E"/>
    <w:rsid w:val="001C727A"/>
    <w:rsid w:val="001D15C3"/>
    <w:rsid w:val="00224ECE"/>
    <w:rsid w:val="002312D3"/>
    <w:rsid w:val="002316EA"/>
    <w:rsid w:val="00234541"/>
    <w:rsid w:val="0024144C"/>
    <w:rsid w:val="00251D71"/>
    <w:rsid w:val="0026089B"/>
    <w:rsid w:val="00264716"/>
    <w:rsid w:val="002660CC"/>
    <w:rsid w:val="00284CE2"/>
    <w:rsid w:val="00296E89"/>
    <w:rsid w:val="002B0116"/>
    <w:rsid w:val="002B58CE"/>
    <w:rsid w:val="002E19E8"/>
    <w:rsid w:val="003074D6"/>
    <w:rsid w:val="00307B58"/>
    <w:rsid w:val="00311975"/>
    <w:rsid w:val="00320DFF"/>
    <w:rsid w:val="003278F5"/>
    <w:rsid w:val="003348E4"/>
    <w:rsid w:val="00340FBB"/>
    <w:rsid w:val="00341769"/>
    <w:rsid w:val="003523BD"/>
    <w:rsid w:val="00354AA8"/>
    <w:rsid w:val="00354C78"/>
    <w:rsid w:val="00371A7C"/>
    <w:rsid w:val="003742AD"/>
    <w:rsid w:val="00381A4A"/>
    <w:rsid w:val="003854A9"/>
    <w:rsid w:val="0039451D"/>
    <w:rsid w:val="0039562B"/>
    <w:rsid w:val="003B15D2"/>
    <w:rsid w:val="003F0C0B"/>
    <w:rsid w:val="003F2691"/>
    <w:rsid w:val="00413A76"/>
    <w:rsid w:val="004258A3"/>
    <w:rsid w:val="0043640A"/>
    <w:rsid w:val="00437A42"/>
    <w:rsid w:val="00460EA7"/>
    <w:rsid w:val="00464B24"/>
    <w:rsid w:val="00472621"/>
    <w:rsid w:val="004976DD"/>
    <w:rsid w:val="004A732D"/>
    <w:rsid w:val="004B6A04"/>
    <w:rsid w:val="004C5381"/>
    <w:rsid w:val="004E6333"/>
    <w:rsid w:val="004E7137"/>
    <w:rsid w:val="00500165"/>
    <w:rsid w:val="005150DD"/>
    <w:rsid w:val="005529E7"/>
    <w:rsid w:val="00554327"/>
    <w:rsid w:val="00554DC0"/>
    <w:rsid w:val="00566A61"/>
    <w:rsid w:val="00580941"/>
    <w:rsid w:val="005958C7"/>
    <w:rsid w:val="005A39B3"/>
    <w:rsid w:val="005A3FB7"/>
    <w:rsid w:val="005A4495"/>
    <w:rsid w:val="005B5199"/>
    <w:rsid w:val="005E3454"/>
    <w:rsid w:val="00607CFB"/>
    <w:rsid w:val="00611DED"/>
    <w:rsid w:val="00612895"/>
    <w:rsid w:val="00622877"/>
    <w:rsid w:val="00622C3F"/>
    <w:rsid w:val="006452BA"/>
    <w:rsid w:val="00647C93"/>
    <w:rsid w:val="00655C95"/>
    <w:rsid w:val="00667E98"/>
    <w:rsid w:val="00670472"/>
    <w:rsid w:val="00670C53"/>
    <w:rsid w:val="00675A0B"/>
    <w:rsid w:val="0068609D"/>
    <w:rsid w:val="006875F8"/>
    <w:rsid w:val="006A07F8"/>
    <w:rsid w:val="006B0B2B"/>
    <w:rsid w:val="006B1B48"/>
    <w:rsid w:val="006C01C9"/>
    <w:rsid w:val="006D7CCA"/>
    <w:rsid w:val="006E32E6"/>
    <w:rsid w:val="006E7B46"/>
    <w:rsid w:val="006F11F1"/>
    <w:rsid w:val="00702765"/>
    <w:rsid w:val="00715A48"/>
    <w:rsid w:val="00731145"/>
    <w:rsid w:val="00737E91"/>
    <w:rsid w:val="007442F3"/>
    <w:rsid w:val="00750901"/>
    <w:rsid w:val="0075632C"/>
    <w:rsid w:val="00760685"/>
    <w:rsid w:val="00761806"/>
    <w:rsid w:val="00775DC8"/>
    <w:rsid w:val="00782C25"/>
    <w:rsid w:val="00795473"/>
    <w:rsid w:val="007A058A"/>
    <w:rsid w:val="007C4EEA"/>
    <w:rsid w:val="007E5AD9"/>
    <w:rsid w:val="00832737"/>
    <w:rsid w:val="0087078F"/>
    <w:rsid w:val="00871685"/>
    <w:rsid w:val="00871C04"/>
    <w:rsid w:val="008749F7"/>
    <w:rsid w:val="008752FB"/>
    <w:rsid w:val="00876F10"/>
    <w:rsid w:val="00884B38"/>
    <w:rsid w:val="00891CFE"/>
    <w:rsid w:val="008A669E"/>
    <w:rsid w:val="008A6848"/>
    <w:rsid w:val="008D6CA4"/>
    <w:rsid w:val="008F158C"/>
    <w:rsid w:val="00901B29"/>
    <w:rsid w:val="00903D8C"/>
    <w:rsid w:val="00920643"/>
    <w:rsid w:val="0092572D"/>
    <w:rsid w:val="0093079D"/>
    <w:rsid w:val="009319F9"/>
    <w:rsid w:val="00961AB4"/>
    <w:rsid w:val="009660CB"/>
    <w:rsid w:val="00972539"/>
    <w:rsid w:val="00973A7E"/>
    <w:rsid w:val="009772B4"/>
    <w:rsid w:val="00986076"/>
    <w:rsid w:val="009B54C8"/>
    <w:rsid w:val="009D0E74"/>
    <w:rsid w:val="009D4B42"/>
    <w:rsid w:val="009E42B9"/>
    <w:rsid w:val="009F1FA3"/>
    <w:rsid w:val="009F5581"/>
    <w:rsid w:val="009F633D"/>
    <w:rsid w:val="00A03DA4"/>
    <w:rsid w:val="00A05F80"/>
    <w:rsid w:val="00A27A75"/>
    <w:rsid w:val="00A60D8A"/>
    <w:rsid w:val="00A63B0E"/>
    <w:rsid w:val="00A65465"/>
    <w:rsid w:val="00A747E5"/>
    <w:rsid w:val="00A76051"/>
    <w:rsid w:val="00A960EB"/>
    <w:rsid w:val="00AA4B92"/>
    <w:rsid w:val="00AC2F88"/>
    <w:rsid w:val="00AD5B9F"/>
    <w:rsid w:val="00AD69DB"/>
    <w:rsid w:val="00AF2AEB"/>
    <w:rsid w:val="00AF7761"/>
    <w:rsid w:val="00B05A23"/>
    <w:rsid w:val="00B11733"/>
    <w:rsid w:val="00B147B7"/>
    <w:rsid w:val="00B24732"/>
    <w:rsid w:val="00B30AD9"/>
    <w:rsid w:val="00B37330"/>
    <w:rsid w:val="00B5368D"/>
    <w:rsid w:val="00B579F6"/>
    <w:rsid w:val="00B67550"/>
    <w:rsid w:val="00B76500"/>
    <w:rsid w:val="00B76DCC"/>
    <w:rsid w:val="00B850EE"/>
    <w:rsid w:val="00B85D10"/>
    <w:rsid w:val="00B95B8B"/>
    <w:rsid w:val="00B96309"/>
    <w:rsid w:val="00BC5A69"/>
    <w:rsid w:val="00BC62C0"/>
    <w:rsid w:val="00BD119C"/>
    <w:rsid w:val="00BE0C87"/>
    <w:rsid w:val="00BF4A4C"/>
    <w:rsid w:val="00C11A54"/>
    <w:rsid w:val="00C3243E"/>
    <w:rsid w:val="00C54C4D"/>
    <w:rsid w:val="00C80E86"/>
    <w:rsid w:val="00C87E8F"/>
    <w:rsid w:val="00CA2F7D"/>
    <w:rsid w:val="00CB1B83"/>
    <w:rsid w:val="00CB1EE0"/>
    <w:rsid w:val="00CC444D"/>
    <w:rsid w:val="00CC4E64"/>
    <w:rsid w:val="00CD6780"/>
    <w:rsid w:val="00D036BF"/>
    <w:rsid w:val="00D1798D"/>
    <w:rsid w:val="00D31451"/>
    <w:rsid w:val="00D46576"/>
    <w:rsid w:val="00D62857"/>
    <w:rsid w:val="00D71A4A"/>
    <w:rsid w:val="00D74320"/>
    <w:rsid w:val="00DC6272"/>
    <w:rsid w:val="00DC7889"/>
    <w:rsid w:val="00DD1A97"/>
    <w:rsid w:val="00E17AAF"/>
    <w:rsid w:val="00E2338E"/>
    <w:rsid w:val="00E34B9D"/>
    <w:rsid w:val="00E36E9A"/>
    <w:rsid w:val="00E42760"/>
    <w:rsid w:val="00E63F2E"/>
    <w:rsid w:val="00E669EE"/>
    <w:rsid w:val="00E765BF"/>
    <w:rsid w:val="00E93460"/>
    <w:rsid w:val="00E96C94"/>
    <w:rsid w:val="00EA1454"/>
    <w:rsid w:val="00EA5F5A"/>
    <w:rsid w:val="00EB3FC3"/>
    <w:rsid w:val="00EE62F1"/>
    <w:rsid w:val="00EF473D"/>
    <w:rsid w:val="00F148EE"/>
    <w:rsid w:val="00F16B9E"/>
    <w:rsid w:val="00F2750C"/>
    <w:rsid w:val="00F31EB5"/>
    <w:rsid w:val="00F4113F"/>
    <w:rsid w:val="00F44406"/>
    <w:rsid w:val="00F51176"/>
    <w:rsid w:val="00F539EC"/>
    <w:rsid w:val="00F53D7B"/>
    <w:rsid w:val="00F67CD2"/>
    <w:rsid w:val="00F87E56"/>
    <w:rsid w:val="00F959A8"/>
    <w:rsid w:val="00FB28A4"/>
    <w:rsid w:val="00FB3310"/>
    <w:rsid w:val="00FC4C46"/>
    <w:rsid w:val="00FD1969"/>
    <w:rsid w:val="00FD265D"/>
    <w:rsid w:val="00FD57E4"/>
    <w:rsid w:val="00FE3AEA"/>
    <w:rsid w:val="00FE4607"/>
    <w:rsid w:val="00FE4CED"/>
    <w:rsid w:val="00FF4191"/>
    <w:rsid w:val="0D4B280C"/>
    <w:rsid w:val="0E330C5D"/>
    <w:rsid w:val="15BE1AC7"/>
    <w:rsid w:val="18700554"/>
    <w:rsid w:val="18DB2CF7"/>
    <w:rsid w:val="19715FB5"/>
    <w:rsid w:val="1B1D2E24"/>
    <w:rsid w:val="25BE71D5"/>
    <w:rsid w:val="29417969"/>
    <w:rsid w:val="2B7038A0"/>
    <w:rsid w:val="31243230"/>
    <w:rsid w:val="3F70041E"/>
    <w:rsid w:val="3FD84540"/>
    <w:rsid w:val="47ED3310"/>
    <w:rsid w:val="5F9630BC"/>
    <w:rsid w:val="636E262F"/>
    <w:rsid w:val="708A08EB"/>
    <w:rsid w:val="74D80B53"/>
    <w:rsid w:val="7C9712F4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semiHidden="0" w:uiPriority="0" w:unhideWhenUsed="0"/>
    <w:lsdException w:name="heading 3" w:semiHidden="0" w:uiPriority="0" w:unhideWhenUsed="0"/>
    <w:lsdException w:name="heading 4" w:semiHidden="0" w:uiPriority="0" w:unhideWhenUsed="0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iPriority="0" w:unhideWhenUsed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/>
    <w:lsdException w:name="Emphasis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pPr>
      <w:widowControl w:val="0"/>
      <w:ind w:firstLine="200" w:firstLineChars="20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pPr>
      <w:keepNext/>
      <w:keepLines/>
      <w:spacing w:before="340" w:after="330" w:line="578" w:lineRule="auto"/>
      <w:jc w:val="center"/>
      <w:outlineLvl w:val="0"/>
    </w:pPr>
    <w:rPr>
      <w:rFonts w:ascii="宋体" w:hAnsi="宋体"/>
      <w:b/>
      <w:bCs/>
      <w:kern w:val="44"/>
      <w:sz w:val="32"/>
      <w:szCs w:val="44"/>
    </w:rPr>
  </w:style>
  <w:style w:type="paragraph" w:styleId="Heading2">
    <w:name w:val="heading 2"/>
    <w:basedOn w:val="Normal"/>
    <w:next w:val="Normal"/>
    <w:pPr>
      <w:keepNext/>
      <w:keepLines/>
      <w:spacing w:before="260" w:after="260" w:line="415" w:lineRule="auto"/>
      <w:ind w:left="200" w:leftChars="200"/>
      <w:jc w:val="left"/>
      <w:outlineLvl w:val="1"/>
    </w:pPr>
    <w:rPr>
      <w:rFonts w:ascii="宋体" w:hAnsi="宋体"/>
      <w:b/>
      <w:bCs/>
      <w:sz w:val="28"/>
      <w:szCs w:val="32"/>
    </w:rPr>
  </w:style>
  <w:style w:type="paragraph" w:styleId="Heading4">
    <w:name w:val="heading 4"/>
    <w:basedOn w:val="Normal"/>
    <w:next w:val="Normal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DefaultParagraphFont">
    <w:name w:val="Default Paragraph Font"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pPr>
      <w:shd w:val="clear" w:color="auto" w:fill="000080"/>
      <w:ind w:firstLine="0" w:firstLineChars="0"/>
    </w:pPr>
    <w:rPr>
      <w:rFonts w:ascii="Times New Roman" w:eastAsia="宋体" w:hAnsi="Times New Roman" w:cs="Times New Roman"/>
      <w:szCs w:val="20"/>
    </w:rPr>
  </w:style>
  <w:style w:type="paragraph" w:styleId="BodyText3">
    <w:name w:val="Body Text 3"/>
    <w:basedOn w:val="Normal"/>
    <w:pPr>
      <w:spacing w:line="240" w:lineRule="atLeast"/>
      <w:ind w:firstLine="0" w:firstLineChars="0"/>
    </w:pPr>
    <w:rPr>
      <w:rFonts w:ascii="Times New Roman" w:eastAsia="楷体" w:hAnsi="Times New Roman" w:cs="Times New Roman"/>
      <w:bCs/>
      <w:sz w:val="24"/>
      <w:szCs w:val="20"/>
    </w:rPr>
  </w:style>
  <w:style w:type="paragraph" w:styleId="BodyText">
    <w:name w:val="Body Text"/>
    <w:basedOn w:val="Normal"/>
    <w:pPr>
      <w:ind w:firstLine="0" w:firstLineChars="0"/>
      <w:jc w:val="center"/>
    </w:pPr>
    <w:rPr>
      <w:rFonts w:ascii="宋体" w:eastAsia="宋体" w:hAnsi="宋体" w:cs="Times New Roman"/>
      <w:szCs w:val="20"/>
    </w:rPr>
  </w:style>
  <w:style w:type="paragraph" w:styleId="BodyTextIndent">
    <w:name w:val="Body Text Indent"/>
    <w:basedOn w:val="Normal"/>
    <w:pPr>
      <w:ind w:firstLine="510" w:firstLineChars="0"/>
    </w:pPr>
    <w:rPr>
      <w:sz w:val="28"/>
      <w:szCs w:val="24"/>
    </w:rPr>
  </w:style>
  <w:style w:type="paragraph" w:styleId="PlainText">
    <w:name w:val="Plain Text"/>
    <w:basedOn w:val="Normal"/>
    <w:pPr>
      <w:ind w:firstLine="0" w:firstLineChars="0"/>
    </w:pPr>
    <w:rPr>
      <w:rFonts w:ascii="宋体" w:eastAsia="宋体" w:hAnsi="Courier New" w:cs="Courier New"/>
      <w:szCs w:val="21"/>
    </w:rPr>
  </w:style>
  <w:style w:type="paragraph" w:styleId="BodyTextIndent2">
    <w:name w:val="Body Text Indent 2"/>
    <w:basedOn w:val="Normal"/>
    <w:pPr>
      <w:ind w:firstLine="964" w:firstLineChars="0"/>
    </w:pPr>
    <w:rPr>
      <w:sz w:val="28"/>
      <w:szCs w:val="24"/>
    </w:rPr>
  </w:style>
  <w:style w:type="paragraph" w:styleId="BalloonText">
    <w:name w:val="Balloon Text"/>
    <w:basedOn w:val="Normal"/>
    <w:pPr>
      <w:ind w:firstLine="0" w:firstLineChars="0"/>
    </w:pPr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</w:style>
  <w:style w:type="paragraph" w:styleId="BodyTextIndent3">
    <w:name w:val="Body Text Indent 3"/>
    <w:basedOn w:val="Normal"/>
    <w:pPr>
      <w:ind w:firstLine="490" w:firstLineChars="0"/>
      <w:jc w:val="left"/>
    </w:pPr>
    <w:rPr>
      <w:szCs w:val="24"/>
    </w:rPr>
  </w:style>
  <w:style w:type="paragraph" w:styleId="TOC2">
    <w:name w:val="toc 2"/>
    <w:basedOn w:val="Normal"/>
    <w:next w:val="Normal"/>
    <w:pPr>
      <w:ind w:left="420" w:leftChars="200"/>
    </w:pPr>
  </w:style>
  <w:style w:type="paragraph" w:styleId="BodyText2">
    <w:name w:val="Body Text 2"/>
    <w:basedOn w:val="Normal"/>
    <w:pPr>
      <w:ind w:firstLine="0" w:firstLineChars="0"/>
      <w:jc w:val="center"/>
    </w:pPr>
    <w:rPr>
      <w:rFonts w:ascii="宋体" w:eastAsia="宋体" w:hAnsi="宋体" w:cs="Times New Roman"/>
      <w:sz w:val="18"/>
      <w:szCs w:val="20"/>
    </w:rPr>
  </w:style>
  <w:style w:type="paragraph" w:styleId="NormalWeb">
    <w:name w:val="Normal (Web)"/>
    <w:basedOn w:val="Normal"/>
    <w:pPr>
      <w:widowControl/>
      <w:spacing w:before="150" w:line="360" w:lineRule="auto"/>
      <w:ind w:firstLine="0" w:firstLineChars="0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Style26">
    <w:name w:val="_Style 26"/>
    <w:basedOn w:val="Normal"/>
    <w:next w:val="PlainText"/>
    <w:pPr>
      <w:ind w:firstLine="0" w:firstLineChars="0"/>
    </w:pPr>
    <w:rPr>
      <w:rFonts w:ascii="宋体" w:eastAsia="宋体" w:hAnsi="Courier New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image" Target="media/image1.wmf" /><Relationship Id="rId53" Type="http://schemas.openxmlformats.org/officeDocument/2006/relationships/oleObject" Target="embeddings/oleObject1.bin" /><Relationship Id="rId54" Type="http://schemas.openxmlformats.org/officeDocument/2006/relationships/header" Target="header25.xml" /><Relationship Id="rId55" Type="http://schemas.openxmlformats.org/officeDocument/2006/relationships/header" Target="header26.xml" /><Relationship Id="rId56" Type="http://schemas.openxmlformats.org/officeDocument/2006/relationships/footer" Target="footer25.xml" /><Relationship Id="rId57" Type="http://schemas.openxmlformats.org/officeDocument/2006/relationships/footer" Target="footer26.xml" /><Relationship Id="rId58" Type="http://schemas.openxmlformats.org/officeDocument/2006/relationships/header" Target="header27.xml" /><Relationship Id="rId59" Type="http://schemas.openxmlformats.org/officeDocument/2006/relationships/footer" Target="footer27.xml" /><Relationship Id="rId6" Type="http://schemas.openxmlformats.org/officeDocument/2006/relationships/footer" Target="footer1.xml" /><Relationship Id="rId60" Type="http://schemas.openxmlformats.org/officeDocument/2006/relationships/image" Target="media/image2.wmf" /><Relationship Id="rId61" Type="http://schemas.openxmlformats.org/officeDocument/2006/relationships/oleObject" Target="embeddings/oleObject2.bin" /><Relationship Id="rId62" Type="http://schemas.openxmlformats.org/officeDocument/2006/relationships/header" Target="header28.xml" /><Relationship Id="rId63" Type="http://schemas.openxmlformats.org/officeDocument/2006/relationships/header" Target="header29.xml" /><Relationship Id="rId64" Type="http://schemas.openxmlformats.org/officeDocument/2006/relationships/footer" Target="footer28.xml" /><Relationship Id="rId65" Type="http://schemas.openxmlformats.org/officeDocument/2006/relationships/footer" Target="footer29.xml" /><Relationship Id="rId66" Type="http://schemas.openxmlformats.org/officeDocument/2006/relationships/header" Target="header30.xml" /><Relationship Id="rId67" Type="http://schemas.openxmlformats.org/officeDocument/2006/relationships/footer" Target="footer30.xml" /><Relationship Id="rId68" Type="http://schemas.openxmlformats.org/officeDocument/2006/relationships/header" Target="header31.xml" /><Relationship Id="rId69" Type="http://schemas.openxmlformats.org/officeDocument/2006/relationships/header" Target="header32.xml" /><Relationship Id="rId7" Type="http://schemas.openxmlformats.org/officeDocument/2006/relationships/footer" Target="footer2.xml" /><Relationship Id="rId70" Type="http://schemas.openxmlformats.org/officeDocument/2006/relationships/footer" Target="footer31.xml" /><Relationship Id="rId71" Type="http://schemas.openxmlformats.org/officeDocument/2006/relationships/footer" Target="footer32.xml" /><Relationship Id="rId72" Type="http://schemas.openxmlformats.org/officeDocument/2006/relationships/header" Target="header33.xml" /><Relationship Id="rId73" Type="http://schemas.openxmlformats.org/officeDocument/2006/relationships/footer" Target="footer33.xml" /><Relationship Id="rId74" Type="http://schemas.openxmlformats.org/officeDocument/2006/relationships/header" Target="header34.xml" /><Relationship Id="rId75" Type="http://schemas.openxmlformats.org/officeDocument/2006/relationships/header" Target="header35.xml" /><Relationship Id="rId76" Type="http://schemas.openxmlformats.org/officeDocument/2006/relationships/footer" Target="footer34.xml" /><Relationship Id="rId77" Type="http://schemas.openxmlformats.org/officeDocument/2006/relationships/footer" Target="footer35.xml" /><Relationship Id="rId78" Type="http://schemas.openxmlformats.org/officeDocument/2006/relationships/header" Target="header36.xml" /><Relationship Id="rId79" Type="http://schemas.openxmlformats.org/officeDocument/2006/relationships/footer" Target="footer36.xml" /><Relationship Id="rId8" Type="http://schemas.openxmlformats.org/officeDocument/2006/relationships/header" Target="header3.xml" /><Relationship Id="rId80" Type="http://schemas.openxmlformats.org/officeDocument/2006/relationships/hyperlink" Target="https://d.book118.com/517020105101006024" TargetMode="External" /><Relationship Id="rId81" Type="http://schemas.openxmlformats.org/officeDocument/2006/relationships/header" Target="header37.xml" /><Relationship Id="rId82" Type="http://schemas.openxmlformats.org/officeDocument/2006/relationships/header" Target="header38.xml" /><Relationship Id="rId83" Type="http://schemas.openxmlformats.org/officeDocument/2006/relationships/footer" Target="footer37.xml" /><Relationship Id="rId84" Type="http://schemas.openxmlformats.org/officeDocument/2006/relationships/footer" Target="footer38.xml" /><Relationship Id="rId85" Type="http://schemas.openxmlformats.org/officeDocument/2006/relationships/header" Target="header39.xml" /><Relationship Id="rId86" Type="http://schemas.openxmlformats.org/officeDocument/2006/relationships/footer" Target="footer39.xml" /><Relationship Id="rId87" Type="http://schemas.openxmlformats.org/officeDocument/2006/relationships/theme" Target="theme/theme1.xml" /><Relationship Id="rId88" Type="http://schemas.openxmlformats.org/officeDocument/2006/relationships/numbering" Target="numbering.xml" /><Relationship Id="rId89" Type="http://schemas.openxmlformats.org/officeDocument/2006/relationships/styles" Target="styles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1742</Words>
  <Characters>9935</Characters>
  <Application>Microsoft Office Word</Application>
  <DocSecurity>0</DocSecurity>
  <Lines>82</Lines>
  <Paragraphs>23</Paragraphs>
  <ScaleCrop>false</ScaleCrop>
  <Company>微软中国</Company>
  <LinksUpToDate>false</LinksUpToDate>
  <CharactersWithSpaces>11654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 新;袁晶;微软用户</dc:creator>
  <cp:lastModifiedBy>张新</cp:lastModifiedBy>
  <cp:revision>30</cp:revision>
  <cp:lastPrinted>2019-07-11T11:56:00Z</cp:lastPrinted>
  <dcterms:created xsi:type="dcterms:W3CDTF">2010-03-26T08:54:00Z</dcterms:created>
  <dcterms:modified xsi:type="dcterms:W3CDTF">2023-12-23T06:03:33Z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D06D96F48E8841EE8117609D51432472_13</vt:lpwstr>
  </property>
  <property fmtid="{D5CDD505-2E9C-101B-9397-08002B2CF9AE}" pid="3" name="KSOProductBuildVer">
    <vt:lpwstr>2052-12.1.0.16120</vt:lpwstr>
  </property>
</Properties>
</file>