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四川绵阳南山中学双语学校物理八年级下册期末考试综合训练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7"/>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8"/>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9"/>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0"/>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1"/>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12"/>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如图，将一边长为10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cm的正方体木块放入装有某液体的圆柱形容器中、木块静止时露出液面的高度为2</w:t>
      </w:r>
      <w:r>
        <w:rPr>
          <w:rFonts w:ascii="宋体" w:eastAsia="宋体" w:hAnsi="宋体" w:cs="宋体" w:hint="eastAsia"/>
          <w:color w:val="000000" w:themeColor="text1"/>
          <w:sz w:val="22"/>
          <w14:textFill>
            <w14:solidFill>
              <w14:schemeClr w14:val="tx1"/>
            </w14:solidFill>
          </w14:textFill>
        </w:rPr>
        <w:t xml:space="preserve"> cm，液面比放入前升高1</w:t>
      </w:r>
      <w:r>
        <w:rPr>
          <w:rFonts w:ascii="宋体" w:eastAsia="宋体" w:hAnsi="宋体" w:cs="宋体" w:hint="eastAsia"/>
          <w:color w:val="000000" w:themeColor="text1"/>
          <w:sz w:val="22"/>
          <w14:textFill>
            <w14:solidFill>
              <w14:schemeClr w14:val="tx1"/>
            </w14:solidFill>
          </w14:textFill>
        </w:rPr>
        <w:t xml:space="preserve"> cm，容器底部受到液体的压强变化了80</w:t>
      </w:r>
      <w:r>
        <w:rPr>
          <w:rFonts w:ascii="宋体" w:eastAsia="宋体" w:hAnsi="宋体" w:cs="宋体" w:hint="eastAsia"/>
          <w:color w:val="000000" w:themeColor="text1"/>
          <w:sz w:val="22"/>
          <w14:textFill>
            <w14:solidFill>
              <w14:schemeClr w14:val="tx1"/>
            </w14:solidFill>
          </w14:textFill>
        </w:rPr>
        <w:t xml:space="preserve">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13"/>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14"/>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5"/>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6"/>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17"/>
                    <a:stretch>
                      <a:fillRect/>
                    </a:stretch>
                  </pic:blipFill>
                  <pic:spPr>
                    <a:xfrm>
                      <a:off x="0" y="0"/>
                      <a:ext cx="1117600" cy="677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为了倡导绿色出行，城区投放了大量的公共自行车。小明骑着公共自行车出行，在水平路面上匀速骑行900m，所用时间为3min。已知人与车总质量为60kg，每个轮胎与地面接触面积为100cm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2192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8"/>
                    <a:stretch>
                      <a:fillRect/>
                    </a:stretch>
                  </pic:blipFill>
                  <pic:spPr>
                    <a:xfrm>
                      <a:off x="0" y="0"/>
                      <a:ext cx="1676400" cy="1219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（1）自行车行驶的速度为多少m/s?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（2）人和自行车受到的总重力是多少？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（3）骑行时，自行车对路面的压强为多大？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19"/>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20"/>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2082800"/>
            <wp:effectExtent l="0" t="0" r="17145" b="1270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xmlns:r="http://schemas.openxmlformats.org/officeDocument/2006/relationships" r:embed="rId21"/>
                    <a:stretch>
                      <a:fillRect/>
                    </a:stretch>
                  </pic:blipFill>
                  <pic:spPr>
                    <a:xfrm>
                      <a:off x="0" y="0"/>
                      <a:ext cx="3031067" cy="20828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70"/>
        <w:gridCol w:w="1275"/>
        <w:gridCol w:w="1794"/>
        <w:gridCol w:w="1562"/>
        <w:gridCol w:w="2082"/>
        <w:gridCol w:w="12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重G/N</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的高度h/m</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示数F/N</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移动距离s/m</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效率η</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（1）在实验中，应竖直向上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拉动弹簧测力计时读出拉力。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（2）第2次实验中测力计示数如图乙所示，拉力大小为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（3）分析表中数据可知：第4次实验是用图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（选填“甲”、“乙”或“丙”）所示装置完成的。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（4）分析第1、2次实验数据可知：使用同一滑轮组，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，滑轮组的机械效率越高；分析第1、3次实验数据可知：使用不同的滑轮组，提升相同的重物，动滑轮个数越多（即动滑轮总重越重），滑轮组的机械效率越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https://d.book118.com/517020132122006035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7979AC"/>
    <w:rsid w:val="25797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hyperlink" Target="https://d.book118.com/517020132122006035"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2023-11-16T13:27:23Z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000D80F2EF0A4E38A7D9575D794CF76A_11</vt:lpwstr>
  </property>
  <property fmtid="{D5CDD505-2E9C-101B-9397-08002B2CF9AE}" pid="3" name="KSOProductBuildVer">
    <vt:lpwstr>2052-11.1.0.14309</vt:lpwstr>
  </property>
</Properties>
</file>