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2018-2023年钦州幼儿师范高等专科学校高职单招（数学／语文／英语）历年常考试题库含答案解析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下列各句中，同时采用了对偶、夸张的是（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A.恨相见得迟，怨归去得疾。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B.泪添九曲黄河溢，恨压三峰华岳低。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C.晓镜但愁云鬓改，夜吟应觉月光寒。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D.忽如一夜春风来，千树万树梨花开。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陶渊明《饮酒》中，最富有哲理意味的诗句是（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A.飞鸟相与还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B.结庐在人境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C.悠然见南山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D.心远地自偏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在《报刘一丈书》中，所揭示的权贵者的性格特征是（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A.狐假虎威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B.奴颜婢膝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C.贪婪虚伪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D.趋炎附势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“呕出一颗心来，——在我心里!”此诗句出自（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A.郭沫若《炉中煤》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B.艾青《我爱这土地》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C.闻一多《发现》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D.徐志摩《再别康桥》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李白《行路难》中运用行为细节描写揭示内心悲愤的诗句是（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A.金樽清酒斗十千，玉盘珍羞直万钱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B.停杯投箸不能食，拔剑四顾心茫然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C.行路难，行路难，多歧路，今安在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D.闲来垂钓碧溪上，忽复乘舟梦日边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欧阳修的《五代史伶官传序》是一篇（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A.史论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B.奏疏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D.辞赋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冰心的《往事（一之十四）》是一篇（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B.记叙文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C.托物言志的写景散文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D.议论文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贯串《爱尔克的灯光》全文的线索是（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A.故居的变迁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B.亡姐的不幸遭遇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C.三种灯光的依次闪现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D.“我的心灵的灯”的引导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《张中丞传后叙》写张巡“就戮”时，“颜色不乱，阳阳如平常”，这种人物描写方法是（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B.行为描写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C.言语描写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“日薄西山，气息奄奄”出自（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从内容上说，《氓》是一首（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A.战争诗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B.劳动诗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C.祭祀诗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D.弃妇诗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从表现方法上说，《氓》是一首（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A.抒情诗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B.叙事诗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C.哲理诗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D.寓言诗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孟子和孔子同属（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A.儒家学派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B.道家学派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D.名家学派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曹操《短歌行》（其一）的主旨是（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C.感叹知音难觅，忧从中来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https://d.book118.com/517031025156006044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517031025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