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增敏化学发光免疫分析仪项目规划设计纲要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91" w:history="1">
        <w:r>
          <w:rPr>
            <w:rFonts w:ascii="仿宋" w:eastAsia="仿宋" w:hAnsi="仿宋" w:cs="仿宋" w:hint="eastAsia"/>
            <w:lang w:eastAsia="zh-CN"/>
          </w:rPr>
          <w:t>概论</w:t>
        </w:r>
        <w:r>
          <w:tab/>
        </w:r>
        <w:r>
          <w:fldChar w:fldCharType="begin"/>
        </w:r>
        <w:r>
          <w:instrText xml:space="preserve"> PAGEREF _Toc7991 \h </w:instrText>
        </w:r>
        <w:r>
          <w:fldChar w:fldCharType="separate"/>
        </w:r>
        <w:r>
          <w:t>3</w:t>
        </w:r>
        <w:r>
          <w:fldChar w:fldCharType="end"/>
        </w:r>
      </w:hyperlink>
    </w:p>
    <w:p>
      <w:pPr>
        <w:pStyle w:val="TOC1"/>
        <w:tabs>
          <w:tab w:val="right" w:leader="dot" w:pos="8306"/>
        </w:tabs>
      </w:pPr>
      <w:hyperlink w:anchor="_Toc18779" w:history="1">
        <w:r>
          <w:rPr>
            <w:rFonts w:ascii="仿宋" w:eastAsia="仿宋" w:hAnsi="仿宋" w:cs="仿宋" w:hint="eastAsia"/>
            <w:lang w:eastAsia="zh-CN"/>
          </w:rPr>
          <w:t>一、增敏化学发光免疫分析仪项目文档管理</w:t>
        </w:r>
        <w:r>
          <w:tab/>
        </w:r>
        <w:r>
          <w:fldChar w:fldCharType="begin"/>
        </w:r>
        <w:r>
          <w:instrText xml:space="preserve"> PAGEREF _Toc18779 \h </w:instrText>
        </w:r>
        <w:r>
          <w:fldChar w:fldCharType="separate"/>
        </w:r>
        <w:r>
          <w:t>3</w:t>
        </w:r>
        <w:r>
          <w:fldChar w:fldCharType="end"/>
        </w:r>
      </w:hyperlink>
    </w:p>
    <w:p>
      <w:pPr>
        <w:pStyle w:val="TOC2"/>
        <w:tabs>
          <w:tab w:val="right" w:leader="dot" w:pos="8306"/>
        </w:tabs>
      </w:pPr>
      <w:hyperlink w:anchor="_Toc18506" w:history="1">
        <w:r>
          <w:rPr>
            <w:rFonts w:ascii="仿宋" w:eastAsia="仿宋" w:hAnsi="仿宋" w:cs="仿宋" w:hint="eastAsia"/>
            <w:lang w:eastAsia="zh-CN"/>
          </w:rPr>
          <w:t>(一)、文档编制与审查</w:t>
        </w:r>
        <w:r>
          <w:tab/>
        </w:r>
        <w:r>
          <w:fldChar w:fldCharType="begin"/>
        </w:r>
        <w:r>
          <w:instrText xml:space="preserve"> PAGEREF _Toc18506 \h </w:instrText>
        </w:r>
        <w:r>
          <w:fldChar w:fldCharType="separate"/>
        </w:r>
        <w:r>
          <w:t>3</w:t>
        </w:r>
        <w:r>
          <w:fldChar w:fldCharType="end"/>
        </w:r>
      </w:hyperlink>
    </w:p>
    <w:p>
      <w:pPr>
        <w:pStyle w:val="TOC2"/>
        <w:tabs>
          <w:tab w:val="right" w:leader="dot" w:pos="8306"/>
        </w:tabs>
      </w:pPr>
      <w:hyperlink w:anchor="_Toc5211" w:history="1">
        <w:r>
          <w:rPr>
            <w:rFonts w:ascii="仿宋" w:eastAsia="仿宋" w:hAnsi="仿宋" w:cs="仿宋" w:hint="eastAsia"/>
            <w:lang w:eastAsia="zh-CN"/>
          </w:rPr>
          <w:t>(二)、文档发布与分发</w:t>
        </w:r>
        <w:r>
          <w:tab/>
        </w:r>
        <w:r>
          <w:fldChar w:fldCharType="begin"/>
        </w:r>
        <w:r>
          <w:instrText xml:space="preserve"> PAGEREF _Toc5211 \h </w:instrText>
        </w:r>
        <w:r>
          <w:fldChar w:fldCharType="separate"/>
        </w:r>
        <w:r>
          <w:t>4</w:t>
        </w:r>
        <w:r>
          <w:fldChar w:fldCharType="end"/>
        </w:r>
      </w:hyperlink>
    </w:p>
    <w:p>
      <w:pPr>
        <w:pStyle w:val="TOC2"/>
        <w:tabs>
          <w:tab w:val="right" w:leader="dot" w:pos="8306"/>
        </w:tabs>
      </w:pPr>
      <w:hyperlink w:anchor="_Toc21182" w:history="1">
        <w:r>
          <w:rPr>
            <w:rFonts w:ascii="仿宋" w:eastAsia="仿宋" w:hAnsi="仿宋" w:cs="仿宋" w:hint="eastAsia"/>
            <w:lang w:eastAsia="zh-CN"/>
          </w:rPr>
          <w:t>(三)、文档存档与归档</w:t>
        </w:r>
        <w:r>
          <w:tab/>
        </w:r>
        <w:r>
          <w:fldChar w:fldCharType="begin"/>
        </w:r>
        <w:r>
          <w:instrText xml:space="preserve"> PAGEREF _Toc21182 \h </w:instrText>
        </w:r>
        <w:r>
          <w:fldChar w:fldCharType="separate"/>
        </w:r>
        <w:r>
          <w:t>5</w:t>
        </w:r>
        <w:r>
          <w:fldChar w:fldCharType="end"/>
        </w:r>
      </w:hyperlink>
    </w:p>
    <w:p>
      <w:pPr>
        <w:pStyle w:val="TOC1"/>
        <w:tabs>
          <w:tab w:val="right" w:leader="dot" w:pos="8306"/>
        </w:tabs>
      </w:pPr>
      <w:hyperlink w:anchor="_Toc30784" w:history="1">
        <w:r>
          <w:rPr>
            <w:rFonts w:ascii="仿宋" w:eastAsia="仿宋" w:hAnsi="仿宋" w:cs="仿宋" w:hint="eastAsia"/>
            <w:lang w:eastAsia="zh-CN"/>
          </w:rPr>
          <w:t>二、产品规划分析</w:t>
        </w:r>
        <w:r>
          <w:tab/>
        </w:r>
        <w:r>
          <w:fldChar w:fldCharType="begin"/>
        </w:r>
        <w:r>
          <w:instrText xml:space="preserve"> PAGEREF _Toc30784 \h </w:instrText>
        </w:r>
        <w:r>
          <w:fldChar w:fldCharType="separate"/>
        </w:r>
        <w:r>
          <w:t>7</w:t>
        </w:r>
        <w:r>
          <w:fldChar w:fldCharType="end"/>
        </w:r>
      </w:hyperlink>
    </w:p>
    <w:p>
      <w:pPr>
        <w:pStyle w:val="TOC2"/>
        <w:tabs>
          <w:tab w:val="right" w:leader="dot" w:pos="8306"/>
        </w:tabs>
      </w:pPr>
      <w:hyperlink w:anchor="_Toc19563" w:history="1">
        <w:r>
          <w:rPr>
            <w:rFonts w:ascii="仿宋" w:eastAsia="仿宋" w:hAnsi="仿宋" w:cs="仿宋" w:hint="eastAsia"/>
            <w:lang w:eastAsia="zh-CN"/>
          </w:rPr>
          <w:t>(一)、产品规划</w:t>
        </w:r>
        <w:r>
          <w:tab/>
        </w:r>
        <w:r>
          <w:fldChar w:fldCharType="begin"/>
        </w:r>
        <w:r>
          <w:instrText xml:space="preserve"> PAGEREF _Toc19563 \h </w:instrText>
        </w:r>
        <w:r>
          <w:fldChar w:fldCharType="separate"/>
        </w:r>
        <w:r>
          <w:t>7</w:t>
        </w:r>
        <w:r>
          <w:fldChar w:fldCharType="end"/>
        </w:r>
      </w:hyperlink>
    </w:p>
    <w:p>
      <w:pPr>
        <w:pStyle w:val="TOC2"/>
        <w:tabs>
          <w:tab w:val="right" w:leader="dot" w:pos="8306"/>
        </w:tabs>
      </w:pPr>
      <w:hyperlink w:anchor="_Toc3525" w:history="1">
        <w:r>
          <w:rPr>
            <w:rFonts w:ascii="仿宋" w:eastAsia="仿宋" w:hAnsi="仿宋" w:cs="仿宋" w:hint="eastAsia"/>
            <w:lang w:eastAsia="zh-CN"/>
          </w:rPr>
          <w:t>(二)、建设规模</w:t>
        </w:r>
        <w:r>
          <w:tab/>
        </w:r>
        <w:r>
          <w:fldChar w:fldCharType="begin"/>
        </w:r>
        <w:r>
          <w:instrText xml:space="preserve"> PAGEREF _Toc3525 \h </w:instrText>
        </w:r>
        <w:r>
          <w:fldChar w:fldCharType="separate"/>
        </w:r>
        <w:r>
          <w:t>7</w:t>
        </w:r>
        <w:r>
          <w:fldChar w:fldCharType="end"/>
        </w:r>
      </w:hyperlink>
    </w:p>
    <w:p>
      <w:pPr>
        <w:pStyle w:val="TOC1"/>
        <w:tabs>
          <w:tab w:val="right" w:leader="dot" w:pos="8306"/>
        </w:tabs>
      </w:pPr>
      <w:hyperlink w:anchor="_Toc11353" w:history="1">
        <w:r>
          <w:rPr>
            <w:rFonts w:ascii="仿宋" w:eastAsia="仿宋" w:hAnsi="仿宋" w:cs="仿宋" w:hint="eastAsia"/>
            <w:lang w:eastAsia="zh-CN"/>
          </w:rPr>
          <w:t>三、增敏化学发光免疫分析仪项目绩效评估</w:t>
        </w:r>
        <w:r>
          <w:tab/>
        </w:r>
        <w:r>
          <w:fldChar w:fldCharType="begin"/>
        </w:r>
        <w:r>
          <w:instrText xml:space="preserve"> PAGEREF _Toc11353 \h </w:instrText>
        </w:r>
        <w:r>
          <w:fldChar w:fldCharType="separate"/>
        </w:r>
        <w:r>
          <w:t>9</w:t>
        </w:r>
        <w:r>
          <w:fldChar w:fldCharType="end"/>
        </w:r>
      </w:hyperlink>
    </w:p>
    <w:p>
      <w:pPr>
        <w:pStyle w:val="TOC2"/>
        <w:tabs>
          <w:tab w:val="right" w:leader="dot" w:pos="8306"/>
        </w:tabs>
      </w:pPr>
      <w:hyperlink w:anchor="_Toc5153" w:history="1">
        <w:r>
          <w:rPr>
            <w:rFonts w:ascii="仿宋" w:eastAsia="仿宋" w:hAnsi="仿宋" w:cs="仿宋" w:hint="eastAsia"/>
            <w:lang w:eastAsia="zh-CN"/>
          </w:rPr>
          <w:t>(一)、绩效评估指标</w:t>
        </w:r>
        <w:r>
          <w:tab/>
        </w:r>
        <w:r>
          <w:fldChar w:fldCharType="begin"/>
        </w:r>
        <w:r>
          <w:instrText xml:space="preserve"> PAGEREF _Toc5153 \h </w:instrText>
        </w:r>
        <w:r>
          <w:fldChar w:fldCharType="separate"/>
        </w:r>
        <w:r>
          <w:t>9</w:t>
        </w:r>
        <w:r>
          <w:fldChar w:fldCharType="end"/>
        </w:r>
      </w:hyperlink>
    </w:p>
    <w:p>
      <w:pPr>
        <w:pStyle w:val="TOC2"/>
        <w:tabs>
          <w:tab w:val="right" w:leader="dot" w:pos="8306"/>
        </w:tabs>
      </w:pPr>
      <w:hyperlink w:anchor="_Toc4078" w:history="1">
        <w:r>
          <w:rPr>
            <w:rFonts w:ascii="仿宋" w:eastAsia="仿宋" w:hAnsi="仿宋" w:cs="仿宋" w:hint="eastAsia"/>
            <w:lang w:eastAsia="zh-CN"/>
          </w:rPr>
          <w:t>(二)、绩效评估方法</w:t>
        </w:r>
        <w:r>
          <w:tab/>
        </w:r>
        <w:r>
          <w:fldChar w:fldCharType="begin"/>
        </w:r>
        <w:r>
          <w:instrText xml:space="preserve"> PAGEREF _Toc4078 \h </w:instrText>
        </w:r>
        <w:r>
          <w:fldChar w:fldCharType="separate"/>
        </w:r>
        <w:r>
          <w:t>10</w:t>
        </w:r>
        <w:r>
          <w:fldChar w:fldCharType="end"/>
        </w:r>
      </w:hyperlink>
    </w:p>
    <w:p>
      <w:pPr>
        <w:pStyle w:val="TOC2"/>
        <w:tabs>
          <w:tab w:val="right" w:leader="dot" w:pos="8306"/>
        </w:tabs>
      </w:pPr>
      <w:hyperlink w:anchor="_Toc18953" w:history="1">
        <w:r>
          <w:rPr>
            <w:rFonts w:ascii="仿宋" w:eastAsia="仿宋" w:hAnsi="仿宋" w:cs="仿宋" w:hint="eastAsia"/>
            <w:lang w:eastAsia="zh-CN"/>
          </w:rPr>
          <w:t>(三)、绩效评估周期</w:t>
        </w:r>
        <w:r>
          <w:tab/>
        </w:r>
        <w:r>
          <w:fldChar w:fldCharType="begin"/>
        </w:r>
        <w:r>
          <w:instrText xml:space="preserve"> PAGEREF _Toc18953 \h </w:instrText>
        </w:r>
        <w:r>
          <w:fldChar w:fldCharType="separate"/>
        </w:r>
        <w:r>
          <w:t>11</w:t>
        </w:r>
        <w:r>
          <w:fldChar w:fldCharType="end"/>
        </w:r>
      </w:hyperlink>
    </w:p>
    <w:p>
      <w:pPr>
        <w:pStyle w:val="TOC1"/>
        <w:tabs>
          <w:tab w:val="right" w:leader="dot" w:pos="8306"/>
        </w:tabs>
      </w:pPr>
      <w:hyperlink w:anchor="_Toc32355" w:history="1">
        <w:r>
          <w:rPr>
            <w:rFonts w:ascii="仿宋" w:eastAsia="仿宋" w:hAnsi="仿宋" w:cs="仿宋" w:hint="eastAsia"/>
            <w:lang w:eastAsia="zh-CN"/>
          </w:rPr>
          <w:t>四、增敏化学发光免疫分析仪项目危机管理</w:t>
        </w:r>
        <w:r>
          <w:tab/>
        </w:r>
        <w:r>
          <w:fldChar w:fldCharType="begin"/>
        </w:r>
        <w:r>
          <w:instrText xml:space="preserve"> PAGEREF _Toc32355 \h </w:instrText>
        </w:r>
        <w:r>
          <w:fldChar w:fldCharType="separate"/>
        </w:r>
        <w:r>
          <w:t>12</w:t>
        </w:r>
        <w:r>
          <w:fldChar w:fldCharType="end"/>
        </w:r>
      </w:hyperlink>
    </w:p>
    <w:p>
      <w:pPr>
        <w:pStyle w:val="TOC2"/>
        <w:tabs>
          <w:tab w:val="right" w:leader="dot" w:pos="8306"/>
        </w:tabs>
      </w:pPr>
      <w:hyperlink w:anchor="_Toc14271" w:history="1">
        <w:r>
          <w:rPr>
            <w:rFonts w:ascii="仿宋" w:eastAsia="仿宋" w:hAnsi="仿宋" w:cs="仿宋" w:hint="eastAsia"/>
            <w:lang w:eastAsia="zh-CN"/>
          </w:rPr>
          <w:t>(一)、危机预警与识别</w:t>
        </w:r>
        <w:r>
          <w:tab/>
        </w:r>
        <w:r>
          <w:fldChar w:fldCharType="begin"/>
        </w:r>
        <w:r>
          <w:instrText xml:space="preserve"> PAGEREF _Toc14271 \h </w:instrText>
        </w:r>
        <w:r>
          <w:fldChar w:fldCharType="separate"/>
        </w:r>
        <w:r>
          <w:t>12</w:t>
        </w:r>
        <w:r>
          <w:fldChar w:fldCharType="end"/>
        </w:r>
      </w:hyperlink>
    </w:p>
    <w:p>
      <w:pPr>
        <w:pStyle w:val="TOC2"/>
        <w:tabs>
          <w:tab w:val="right" w:leader="dot" w:pos="8306"/>
        </w:tabs>
      </w:pPr>
      <w:hyperlink w:anchor="_Toc19743" w:history="1">
        <w:r>
          <w:rPr>
            <w:rFonts w:ascii="仿宋" w:eastAsia="仿宋" w:hAnsi="仿宋" w:cs="仿宋" w:hint="eastAsia"/>
            <w:lang w:eastAsia="zh-CN"/>
          </w:rPr>
          <w:t>(二)、危机应对与恢复</w:t>
        </w:r>
        <w:r>
          <w:tab/>
        </w:r>
        <w:r>
          <w:fldChar w:fldCharType="begin"/>
        </w:r>
        <w:r>
          <w:instrText xml:space="preserve"> PAGEREF _Toc19743 \h </w:instrText>
        </w:r>
        <w:r>
          <w:fldChar w:fldCharType="separate"/>
        </w:r>
        <w:r>
          <w:t>13</w:t>
        </w:r>
        <w:r>
          <w:fldChar w:fldCharType="end"/>
        </w:r>
      </w:hyperlink>
    </w:p>
    <w:p>
      <w:pPr>
        <w:pStyle w:val="TOC1"/>
        <w:tabs>
          <w:tab w:val="right" w:leader="dot" w:pos="8306"/>
        </w:tabs>
      </w:pPr>
      <w:hyperlink w:anchor="_Toc14996" w:history="1">
        <w:r>
          <w:rPr>
            <w:rFonts w:ascii="仿宋" w:eastAsia="仿宋" w:hAnsi="仿宋" w:cs="仿宋" w:hint="eastAsia"/>
            <w:lang w:eastAsia="zh-CN"/>
          </w:rPr>
          <w:t>五、增敏化学发光免疫分析仪项目选址可行性分析</w:t>
        </w:r>
        <w:r>
          <w:tab/>
        </w:r>
        <w:r>
          <w:fldChar w:fldCharType="begin"/>
        </w:r>
        <w:r>
          <w:instrText xml:space="preserve"> PAGEREF _Toc14996 \h </w:instrText>
        </w:r>
        <w:r>
          <w:fldChar w:fldCharType="separate"/>
        </w:r>
        <w:r>
          <w:t>15</w:t>
        </w:r>
        <w:r>
          <w:fldChar w:fldCharType="end"/>
        </w:r>
      </w:hyperlink>
    </w:p>
    <w:p>
      <w:pPr>
        <w:pStyle w:val="TOC2"/>
        <w:tabs>
          <w:tab w:val="right" w:leader="dot" w:pos="8306"/>
        </w:tabs>
      </w:pPr>
      <w:hyperlink w:anchor="_Toc21415" w:history="1">
        <w:r>
          <w:rPr>
            <w:rFonts w:ascii="仿宋" w:eastAsia="仿宋" w:hAnsi="仿宋" w:cs="仿宋" w:hint="eastAsia"/>
            <w:lang w:eastAsia="zh-CN"/>
          </w:rPr>
          <w:t>(一)、增敏化学发光免疫分析仪项目选址</w:t>
        </w:r>
        <w:r>
          <w:tab/>
        </w:r>
        <w:r>
          <w:fldChar w:fldCharType="begin"/>
        </w:r>
        <w:r>
          <w:instrText xml:space="preserve"> PAGEREF _Toc21415 \h </w:instrText>
        </w:r>
        <w:r>
          <w:fldChar w:fldCharType="separate"/>
        </w:r>
        <w:r>
          <w:t>15</w:t>
        </w:r>
        <w:r>
          <w:fldChar w:fldCharType="end"/>
        </w:r>
      </w:hyperlink>
    </w:p>
    <w:p>
      <w:pPr>
        <w:pStyle w:val="TOC2"/>
        <w:tabs>
          <w:tab w:val="right" w:leader="dot" w:pos="8306"/>
        </w:tabs>
      </w:pPr>
      <w:hyperlink w:anchor="_Toc25995" w:history="1">
        <w:r>
          <w:rPr>
            <w:rFonts w:ascii="仿宋" w:eastAsia="仿宋" w:hAnsi="仿宋" w:cs="仿宋" w:hint="eastAsia"/>
            <w:lang w:eastAsia="zh-CN"/>
          </w:rPr>
          <w:t>(二)、用地控制指标</w:t>
        </w:r>
        <w:r>
          <w:tab/>
        </w:r>
        <w:r>
          <w:fldChar w:fldCharType="begin"/>
        </w:r>
        <w:r>
          <w:instrText xml:space="preserve"> PAGEREF _Toc25995 \h </w:instrText>
        </w:r>
        <w:r>
          <w:fldChar w:fldCharType="separate"/>
        </w:r>
        <w:r>
          <w:t>15</w:t>
        </w:r>
        <w:r>
          <w:fldChar w:fldCharType="end"/>
        </w:r>
      </w:hyperlink>
    </w:p>
    <w:p>
      <w:pPr>
        <w:pStyle w:val="TOC2"/>
        <w:tabs>
          <w:tab w:val="right" w:leader="dot" w:pos="8306"/>
        </w:tabs>
      </w:pPr>
      <w:hyperlink w:anchor="_Toc21565" w:history="1">
        <w:r>
          <w:rPr>
            <w:rFonts w:ascii="仿宋" w:eastAsia="仿宋" w:hAnsi="仿宋" w:cs="仿宋" w:hint="eastAsia"/>
            <w:lang w:eastAsia="zh-CN"/>
          </w:rPr>
          <w:t>(三)、节约用地措施</w:t>
        </w:r>
        <w:r>
          <w:tab/>
        </w:r>
        <w:r>
          <w:fldChar w:fldCharType="begin"/>
        </w:r>
        <w:r>
          <w:instrText xml:space="preserve"> PAGEREF _Toc21565 \h </w:instrText>
        </w:r>
        <w:r>
          <w:fldChar w:fldCharType="separate"/>
        </w:r>
        <w:r>
          <w:t>17</w:t>
        </w:r>
        <w:r>
          <w:fldChar w:fldCharType="end"/>
        </w:r>
      </w:hyperlink>
    </w:p>
    <w:p>
      <w:pPr>
        <w:pStyle w:val="TOC2"/>
        <w:tabs>
          <w:tab w:val="right" w:leader="dot" w:pos="8306"/>
        </w:tabs>
      </w:pPr>
      <w:hyperlink w:anchor="_Toc10235" w:history="1">
        <w:r>
          <w:rPr>
            <w:rFonts w:ascii="仿宋" w:eastAsia="仿宋" w:hAnsi="仿宋" w:cs="仿宋" w:hint="eastAsia"/>
            <w:lang w:eastAsia="zh-CN"/>
          </w:rPr>
          <w:t>(四)、总图布置方案</w:t>
        </w:r>
        <w:r>
          <w:tab/>
        </w:r>
        <w:r>
          <w:fldChar w:fldCharType="begin"/>
        </w:r>
        <w:r>
          <w:instrText xml:space="preserve"> PAGEREF _Toc10235 \h </w:instrText>
        </w:r>
        <w:r>
          <w:fldChar w:fldCharType="separate"/>
        </w:r>
        <w:r>
          <w:t>18</w:t>
        </w:r>
        <w:r>
          <w:fldChar w:fldCharType="end"/>
        </w:r>
      </w:hyperlink>
    </w:p>
    <w:p>
      <w:pPr>
        <w:pStyle w:val="TOC2"/>
        <w:tabs>
          <w:tab w:val="right" w:leader="dot" w:pos="8306"/>
        </w:tabs>
      </w:pPr>
      <w:hyperlink w:anchor="_Toc26226" w:history="1">
        <w:r>
          <w:rPr>
            <w:rFonts w:ascii="仿宋" w:eastAsia="仿宋" w:hAnsi="仿宋" w:cs="仿宋" w:hint="eastAsia"/>
            <w:lang w:eastAsia="zh-CN"/>
          </w:rPr>
          <w:t>(五)、选址综合评价</w:t>
        </w:r>
        <w:r>
          <w:tab/>
        </w:r>
        <w:r>
          <w:fldChar w:fldCharType="begin"/>
        </w:r>
        <w:r>
          <w:instrText xml:space="preserve"> PAGEREF _Toc26226 \h </w:instrText>
        </w:r>
        <w:r>
          <w:fldChar w:fldCharType="separate"/>
        </w:r>
        <w:r>
          <w:t>19</w:t>
        </w:r>
        <w:r>
          <w:fldChar w:fldCharType="end"/>
        </w:r>
      </w:hyperlink>
    </w:p>
    <w:p>
      <w:pPr>
        <w:pStyle w:val="TOC1"/>
        <w:tabs>
          <w:tab w:val="right" w:leader="dot" w:pos="8306"/>
        </w:tabs>
      </w:pPr>
      <w:hyperlink w:anchor="_Toc29288" w:history="1">
        <w:r>
          <w:rPr>
            <w:rFonts w:ascii="仿宋" w:eastAsia="仿宋" w:hAnsi="仿宋" w:cs="仿宋" w:hint="eastAsia"/>
            <w:lang w:eastAsia="zh-CN"/>
          </w:rPr>
          <w:t>六、增敏化学发光免疫分析仪项目建设单位说明</w:t>
        </w:r>
        <w:r>
          <w:tab/>
        </w:r>
        <w:r>
          <w:fldChar w:fldCharType="begin"/>
        </w:r>
        <w:r>
          <w:instrText xml:space="preserve"> PAGEREF _Toc29288 \h </w:instrText>
        </w:r>
        <w:r>
          <w:fldChar w:fldCharType="separate"/>
        </w:r>
        <w:r>
          <w:t>21</w:t>
        </w:r>
        <w:r>
          <w:fldChar w:fldCharType="end"/>
        </w:r>
      </w:hyperlink>
    </w:p>
    <w:p>
      <w:pPr>
        <w:pStyle w:val="TOC2"/>
        <w:tabs>
          <w:tab w:val="right" w:leader="dot" w:pos="8306"/>
        </w:tabs>
      </w:pPr>
      <w:hyperlink w:anchor="_Toc23339" w:history="1">
        <w:r>
          <w:rPr>
            <w:rFonts w:ascii="仿宋" w:eastAsia="仿宋" w:hAnsi="仿宋" w:cs="仿宋" w:hint="eastAsia"/>
            <w:lang w:eastAsia="zh-CN"/>
          </w:rPr>
          <w:t>(一)、增敏化学发光免疫分析仪项目承办单位基本情况</w:t>
        </w:r>
        <w:r>
          <w:tab/>
        </w:r>
        <w:r>
          <w:fldChar w:fldCharType="begin"/>
        </w:r>
        <w:r>
          <w:instrText xml:space="preserve"> PAGEREF _Toc23339 \h </w:instrText>
        </w:r>
        <w:r>
          <w:fldChar w:fldCharType="separate"/>
        </w:r>
        <w:r>
          <w:t>21</w:t>
        </w:r>
        <w:r>
          <w:fldChar w:fldCharType="end"/>
        </w:r>
      </w:hyperlink>
    </w:p>
    <w:p>
      <w:pPr>
        <w:pStyle w:val="TOC2"/>
        <w:tabs>
          <w:tab w:val="right" w:leader="dot" w:pos="8306"/>
        </w:tabs>
      </w:pPr>
      <w:hyperlink w:anchor="_Toc4834" w:history="1">
        <w:r>
          <w:rPr>
            <w:rFonts w:ascii="仿宋" w:eastAsia="仿宋" w:hAnsi="仿宋" w:cs="仿宋" w:hint="eastAsia"/>
            <w:lang w:eastAsia="zh-CN"/>
          </w:rPr>
          <w:t>(二)、公司经济效益分析</w:t>
        </w:r>
        <w:r>
          <w:tab/>
        </w:r>
        <w:r>
          <w:fldChar w:fldCharType="begin"/>
        </w:r>
        <w:r>
          <w:instrText xml:space="preserve"> PAGEREF _Toc4834 \h </w:instrText>
        </w:r>
        <w:r>
          <w:fldChar w:fldCharType="separate"/>
        </w:r>
        <w:r>
          <w:t>21</w:t>
        </w:r>
        <w:r>
          <w:fldChar w:fldCharType="end"/>
        </w:r>
      </w:hyperlink>
    </w:p>
    <w:p>
      <w:pPr>
        <w:pStyle w:val="TOC1"/>
        <w:tabs>
          <w:tab w:val="right" w:leader="dot" w:pos="8306"/>
        </w:tabs>
      </w:pPr>
      <w:hyperlink w:anchor="_Toc3564" w:history="1">
        <w:r>
          <w:rPr>
            <w:rFonts w:ascii="仿宋" w:eastAsia="仿宋" w:hAnsi="仿宋" w:cs="仿宋" w:hint="eastAsia"/>
            <w:lang w:eastAsia="zh-CN"/>
          </w:rPr>
          <w:t>七、增敏化学发光免疫分析仪项目技术管理</w:t>
        </w:r>
        <w:r>
          <w:tab/>
        </w:r>
        <w:r>
          <w:fldChar w:fldCharType="begin"/>
        </w:r>
        <w:r>
          <w:instrText xml:space="preserve"> PAGEREF _Toc3564 \h </w:instrText>
        </w:r>
        <w:r>
          <w:fldChar w:fldCharType="separate"/>
        </w:r>
        <w:r>
          <w:t>22</w:t>
        </w:r>
        <w:r>
          <w:fldChar w:fldCharType="end"/>
        </w:r>
      </w:hyperlink>
    </w:p>
    <w:p>
      <w:pPr>
        <w:pStyle w:val="TOC2"/>
        <w:tabs>
          <w:tab w:val="right" w:leader="dot" w:pos="8306"/>
        </w:tabs>
      </w:pPr>
      <w:hyperlink w:anchor="_Toc3505" w:history="1">
        <w:r>
          <w:rPr>
            <w:rFonts w:ascii="仿宋" w:eastAsia="仿宋" w:hAnsi="仿宋" w:cs="仿宋" w:hint="eastAsia"/>
            <w:lang w:eastAsia="zh-CN"/>
          </w:rPr>
          <w:t>(一)、技术方案选用方向</w:t>
        </w:r>
        <w:r>
          <w:tab/>
        </w:r>
        <w:r>
          <w:fldChar w:fldCharType="begin"/>
        </w:r>
        <w:r>
          <w:instrText xml:space="preserve"> PAGEREF _Toc3505 \h </w:instrText>
        </w:r>
        <w:r>
          <w:fldChar w:fldCharType="separate"/>
        </w:r>
        <w:r>
          <w:t>22</w:t>
        </w:r>
        <w:r>
          <w:fldChar w:fldCharType="end"/>
        </w:r>
      </w:hyperlink>
    </w:p>
    <w:p>
      <w:pPr>
        <w:pStyle w:val="TOC2"/>
        <w:tabs>
          <w:tab w:val="right" w:leader="dot" w:pos="8306"/>
        </w:tabs>
      </w:pPr>
      <w:hyperlink w:anchor="_Toc30056" w:history="1">
        <w:r>
          <w:rPr>
            <w:rFonts w:ascii="仿宋" w:eastAsia="仿宋" w:hAnsi="仿宋" w:cs="仿宋" w:hint="eastAsia"/>
            <w:lang w:eastAsia="zh-CN"/>
          </w:rPr>
          <w:t>(二)、工艺技术方案选用原则</w:t>
        </w:r>
        <w:r>
          <w:tab/>
        </w:r>
        <w:r>
          <w:fldChar w:fldCharType="begin"/>
        </w:r>
        <w:r>
          <w:instrText xml:space="preserve"> PAGEREF _Toc30056 \h </w:instrText>
        </w:r>
        <w:r>
          <w:fldChar w:fldCharType="separate"/>
        </w:r>
        <w:r>
          <w:t>24</w:t>
        </w:r>
        <w:r>
          <w:fldChar w:fldCharType="end"/>
        </w:r>
      </w:hyperlink>
    </w:p>
    <w:p>
      <w:pPr>
        <w:pStyle w:val="TOC2"/>
        <w:tabs>
          <w:tab w:val="right" w:leader="dot" w:pos="8306"/>
        </w:tabs>
      </w:pPr>
      <w:hyperlink w:anchor="_Toc7196" w:history="1">
        <w:r>
          <w:rPr>
            <w:rFonts w:ascii="仿宋" w:eastAsia="仿宋" w:hAnsi="仿宋" w:cs="仿宋" w:hint="eastAsia"/>
            <w:lang w:eastAsia="zh-CN"/>
          </w:rPr>
          <w:t>(三)、工艺技术方案要求</w:t>
        </w:r>
        <w:r>
          <w:tab/>
        </w:r>
        <w:r>
          <w:fldChar w:fldCharType="begin"/>
        </w:r>
        <w:r>
          <w:instrText xml:space="preserve"> PAGEREF _Toc7196 \h </w:instrText>
        </w:r>
        <w:r>
          <w:fldChar w:fldCharType="separate"/>
        </w:r>
        <w:r>
          <w:t>26</w:t>
        </w:r>
        <w:r>
          <w:fldChar w:fldCharType="end"/>
        </w:r>
      </w:hyperlink>
    </w:p>
    <w:p>
      <w:pPr>
        <w:pStyle w:val="TOC1"/>
        <w:tabs>
          <w:tab w:val="right" w:leader="dot" w:pos="8306"/>
        </w:tabs>
      </w:pPr>
      <w:hyperlink w:anchor="_Toc5543" w:history="1">
        <w:r>
          <w:rPr>
            <w:rFonts w:ascii="仿宋" w:eastAsia="仿宋" w:hAnsi="仿宋" w:cs="仿宋" w:hint="eastAsia"/>
            <w:lang w:eastAsia="zh-CN"/>
          </w:rPr>
          <w:t>八、增敏化学发光免疫分析仪项目社会影响</w:t>
        </w:r>
        <w:r>
          <w:tab/>
        </w:r>
        <w:r>
          <w:fldChar w:fldCharType="begin"/>
        </w:r>
        <w:r>
          <w:instrText xml:space="preserve"> PAGEREF _Toc5543 \h </w:instrText>
        </w:r>
        <w:r>
          <w:fldChar w:fldCharType="separate"/>
        </w:r>
        <w:r>
          <w:t>29</w:t>
        </w:r>
        <w:r>
          <w:fldChar w:fldCharType="end"/>
        </w:r>
      </w:hyperlink>
    </w:p>
    <w:p>
      <w:pPr>
        <w:pStyle w:val="TOC2"/>
        <w:tabs>
          <w:tab w:val="right" w:leader="dot" w:pos="8306"/>
        </w:tabs>
      </w:pPr>
      <w:hyperlink w:anchor="_Toc2686" w:history="1">
        <w:r>
          <w:rPr>
            <w:rFonts w:ascii="仿宋" w:eastAsia="仿宋" w:hAnsi="仿宋" w:cs="仿宋" w:hint="eastAsia"/>
            <w:lang w:eastAsia="zh-CN"/>
          </w:rPr>
          <w:t>(一)、社会责任与义务</w:t>
        </w:r>
        <w:r>
          <w:tab/>
        </w:r>
        <w:r>
          <w:fldChar w:fldCharType="begin"/>
        </w:r>
        <w:r>
          <w:instrText xml:space="preserve"> PAGEREF _Toc2686 \h </w:instrText>
        </w:r>
        <w:r>
          <w:fldChar w:fldCharType="separate"/>
        </w:r>
        <w:r>
          <w:t>29</w:t>
        </w:r>
        <w:r>
          <w:fldChar w:fldCharType="end"/>
        </w:r>
      </w:hyperlink>
    </w:p>
    <w:p>
      <w:pPr>
        <w:pStyle w:val="TOC2"/>
        <w:tabs>
          <w:tab w:val="right" w:leader="dot" w:pos="8306"/>
        </w:tabs>
      </w:pPr>
      <w:hyperlink w:anchor="_Toc18497" w:history="1">
        <w:r>
          <w:rPr>
            <w:rFonts w:ascii="仿宋" w:eastAsia="仿宋" w:hAnsi="仿宋" w:cs="仿宋" w:hint="eastAsia"/>
            <w:lang w:eastAsia="zh-CN"/>
          </w:rPr>
          <w:t>(二)、社会参与与沟通</w:t>
        </w:r>
        <w:r>
          <w:tab/>
        </w:r>
        <w:r>
          <w:fldChar w:fldCharType="begin"/>
        </w:r>
        <w:r>
          <w:instrText xml:space="preserve"> PAGEREF _Toc18497 \h </w:instrText>
        </w:r>
        <w:r>
          <w:fldChar w:fldCharType="separate"/>
        </w:r>
        <w:r>
          <w:t>29</w:t>
        </w:r>
        <w:r>
          <w:fldChar w:fldCharType="end"/>
        </w:r>
      </w:hyperlink>
    </w:p>
    <w:p>
      <w:pPr>
        <w:pStyle w:val="TOC1"/>
        <w:tabs>
          <w:tab w:val="right" w:leader="dot" w:pos="8306"/>
        </w:tabs>
      </w:pPr>
      <w:hyperlink w:anchor="_Toc14356" w:history="1">
        <w:r>
          <w:rPr>
            <w:rFonts w:ascii="仿宋" w:eastAsia="仿宋" w:hAnsi="仿宋" w:cs="仿宋" w:hint="eastAsia"/>
            <w:lang w:eastAsia="zh-CN"/>
          </w:rPr>
          <w:t>九、增敏化学发光免疫分析仪项目风险管理</w:t>
        </w:r>
        <w:r>
          <w:tab/>
        </w:r>
        <w:r>
          <w:fldChar w:fldCharType="begin"/>
        </w:r>
        <w:r>
          <w:instrText xml:space="preserve"> PAGEREF _Toc14356 \h </w:instrText>
        </w:r>
        <w:r>
          <w:fldChar w:fldCharType="separate"/>
        </w:r>
        <w:r>
          <w:t>30</w:t>
        </w:r>
        <w:r>
          <w:fldChar w:fldCharType="end"/>
        </w:r>
      </w:hyperlink>
    </w:p>
    <w:p>
      <w:pPr>
        <w:pStyle w:val="TOC2"/>
        <w:tabs>
          <w:tab w:val="right" w:leader="dot" w:pos="8306"/>
        </w:tabs>
      </w:pPr>
      <w:hyperlink w:anchor="_Toc13177" w:history="1">
        <w:r>
          <w:rPr>
            <w:rFonts w:ascii="仿宋" w:eastAsia="仿宋" w:hAnsi="仿宋" w:cs="仿宋" w:hint="eastAsia"/>
            <w:lang w:eastAsia="zh-CN"/>
          </w:rPr>
          <w:t>(一)、风险识别与评估</w:t>
        </w:r>
        <w:r>
          <w:tab/>
        </w:r>
        <w:r>
          <w:fldChar w:fldCharType="begin"/>
        </w:r>
        <w:r>
          <w:instrText xml:space="preserve"> PAGEREF _Toc13177 \h </w:instrText>
        </w:r>
        <w:r>
          <w:fldChar w:fldCharType="separate"/>
        </w:r>
        <w:r>
          <w:t>30</w:t>
        </w:r>
        <w:r>
          <w:fldChar w:fldCharType="end"/>
        </w:r>
      </w:hyperlink>
    </w:p>
    <w:p>
      <w:pPr>
        <w:pStyle w:val="TOC2"/>
        <w:tabs>
          <w:tab w:val="right" w:leader="dot" w:pos="8306"/>
        </w:tabs>
      </w:pPr>
      <w:hyperlink w:anchor="_Toc20003" w:history="1">
        <w:r>
          <w:rPr>
            <w:rFonts w:ascii="仿宋" w:eastAsia="仿宋" w:hAnsi="仿宋" w:cs="仿宋" w:hint="eastAsia"/>
            <w:lang w:eastAsia="zh-CN"/>
          </w:rPr>
          <w:t>(二)、风险应对策略</w:t>
        </w:r>
        <w:r>
          <w:tab/>
        </w:r>
        <w:r>
          <w:fldChar w:fldCharType="begin"/>
        </w:r>
        <w:r>
          <w:instrText xml:space="preserve"> PAGEREF _Toc20003 \h </w:instrText>
        </w:r>
        <w:r>
          <w:fldChar w:fldCharType="separate"/>
        </w:r>
        <w:r>
          <w:t>32</w:t>
        </w:r>
        <w:r>
          <w:fldChar w:fldCharType="end"/>
        </w:r>
      </w:hyperlink>
    </w:p>
    <w:p>
      <w:pPr>
        <w:pStyle w:val="TOC2"/>
        <w:tabs>
          <w:tab w:val="right" w:leader="dot" w:pos="8306"/>
        </w:tabs>
      </w:pPr>
      <w:hyperlink w:anchor="_Toc20293" w:history="1">
        <w:r>
          <w:rPr>
            <w:rFonts w:ascii="仿宋" w:eastAsia="仿宋" w:hAnsi="仿宋" w:cs="仿宋" w:hint="eastAsia"/>
            <w:lang w:eastAsia="zh-CN"/>
          </w:rPr>
          <w:t>(三)、风险监控与控制</w:t>
        </w:r>
        <w:r>
          <w:tab/>
        </w:r>
        <w:r>
          <w:fldChar w:fldCharType="begin"/>
        </w:r>
        <w:r>
          <w:instrText xml:space="preserve"> PAGEREF _Toc20293 \h </w:instrText>
        </w:r>
        <w:r>
          <w:fldChar w:fldCharType="separate"/>
        </w:r>
        <w:r>
          <w:t>33</w:t>
        </w:r>
        <w:r>
          <w:fldChar w:fldCharType="end"/>
        </w:r>
      </w:hyperlink>
    </w:p>
    <w:p>
      <w:pPr>
        <w:pStyle w:val="TOC1"/>
        <w:tabs>
          <w:tab w:val="right" w:leader="dot" w:pos="8306"/>
        </w:tabs>
      </w:pPr>
      <w:hyperlink w:anchor="_Toc12651" w:history="1">
        <w:r>
          <w:rPr>
            <w:rFonts w:ascii="仿宋" w:eastAsia="仿宋" w:hAnsi="仿宋" w:cs="仿宋" w:hint="eastAsia"/>
            <w:lang w:eastAsia="zh-CN"/>
          </w:rPr>
          <w:t>十、增敏化学发光免疫分析仪项目环境影响分析</w:t>
        </w:r>
        <w:r>
          <w:tab/>
        </w:r>
        <w:r>
          <w:fldChar w:fldCharType="begin"/>
        </w:r>
        <w:r>
          <w:instrText xml:space="preserve"> PAGEREF _Toc12651 \h </w:instrText>
        </w:r>
        <w:r>
          <w:fldChar w:fldCharType="separate"/>
        </w:r>
        <w:r>
          <w:t>35</w:t>
        </w:r>
        <w:r>
          <w:fldChar w:fldCharType="end"/>
        </w:r>
      </w:hyperlink>
    </w:p>
    <w:p>
      <w:pPr>
        <w:pStyle w:val="TOC2"/>
        <w:tabs>
          <w:tab w:val="right" w:leader="dot" w:pos="8306"/>
        </w:tabs>
      </w:pPr>
      <w:hyperlink w:anchor="_Toc3975" w:history="1">
        <w:r>
          <w:rPr>
            <w:rFonts w:ascii="仿宋" w:eastAsia="仿宋" w:hAnsi="仿宋" w:cs="仿宋" w:hint="eastAsia"/>
            <w:lang w:eastAsia="zh-CN"/>
          </w:rPr>
          <w:t>(一)、建设区域环境质量现状</w:t>
        </w:r>
        <w:r>
          <w:tab/>
        </w:r>
        <w:r>
          <w:fldChar w:fldCharType="begin"/>
        </w:r>
        <w:r>
          <w:instrText xml:space="preserve"> PAGEREF _Toc3975 \h </w:instrText>
        </w:r>
        <w:r>
          <w:fldChar w:fldCharType="separate"/>
        </w:r>
        <w:r>
          <w:t>35</w:t>
        </w:r>
        <w:r>
          <w:fldChar w:fldCharType="end"/>
        </w:r>
      </w:hyperlink>
    </w:p>
    <w:p>
      <w:pPr>
        <w:pStyle w:val="TOC2"/>
        <w:tabs>
          <w:tab w:val="right" w:leader="dot" w:pos="8306"/>
        </w:tabs>
      </w:pPr>
      <w:hyperlink w:anchor="_Toc2042" w:history="1">
        <w:r>
          <w:rPr>
            <w:rFonts w:ascii="仿宋" w:eastAsia="仿宋" w:hAnsi="仿宋" w:cs="仿宋" w:hint="eastAsia"/>
            <w:lang w:eastAsia="zh-CN"/>
          </w:rPr>
          <w:t>(二)、建设期环境保护</w:t>
        </w:r>
        <w:r>
          <w:tab/>
        </w:r>
        <w:r>
          <w:fldChar w:fldCharType="begin"/>
        </w:r>
        <w:r>
          <w:instrText xml:space="preserve"> PAGEREF _Toc2042 \h </w:instrText>
        </w:r>
        <w:r>
          <w:fldChar w:fldCharType="separate"/>
        </w:r>
        <w:r>
          <w:t>36</w:t>
        </w:r>
        <w:r>
          <w:fldChar w:fldCharType="end"/>
        </w:r>
      </w:hyperlink>
    </w:p>
    <w:p>
      <w:pPr>
        <w:pStyle w:val="TOC2"/>
        <w:tabs>
          <w:tab w:val="right" w:leader="dot" w:pos="8306"/>
        </w:tabs>
      </w:pPr>
      <w:hyperlink w:anchor="_Toc17658" w:history="1">
        <w:r>
          <w:rPr>
            <w:rFonts w:ascii="仿宋" w:eastAsia="仿宋" w:hAnsi="仿宋" w:cs="仿宋" w:hint="eastAsia"/>
            <w:lang w:eastAsia="zh-CN"/>
          </w:rPr>
          <w:t>(三)、运营期环境保护</w:t>
        </w:r>
        <w:r>
          <w:tab/>
        </w:r>
        <w:r>
          <w:fldChar w:fldCharType="begin"/>
        </w:r>
        <w:r>
          <w:instrText xml:space="preserve"> PAGEREF _Toc17658 \h </w:instrText>
        </w:r>
        <w:r>
          <w:fldChar w:fldCharType="separate"/>
        </w:r>
        <w:r>
          <w:t>38</w:t>
        </w:r>
        <w:r>
          <w:fldChar w:fldCharType="end"/>
        </w:r>
      </w:hyperlink>
    </w:p>
    <w:p>
      <w:pPr>
        <w:pStyle w:val="TOC2"/>
        <w:tabs>
          <w:tab w:val="right" w:leader="dot" w:pos="8306"/>
        </w:tabs>
      </w:pPr>
      <w:hyperlink w:anchor="_Toc16098" w:history="1">
        <w:r>
          <w:rPr>
            <w:rFonts w:ascii="仿宋" w:eastAsia="仿宋" w:hAnsi="仿宋" w:cs="仿宋" w:hint="eastAsia"/>
            <w:lang w:eastAsia="zh-CN"/>
          </w:rPr>
          <w:t>(四)、增敏化学发光免疫分析仪项目建设对区域经济的影响</w:t>
        </w:r>
        <w:r>
          <w:tab/>
        </w:r>
        <w:r>
          <w:fldChar w:fldCharType="begin"/>
        </w:r>
        <w:r>
          <w:instrText xml:space="preserve"> PAGEREF _Toc16098 \h </w:instrText>
        </w:r>
        <w:r>
          <w:fldChar w:fldCharType="separate"/>
        </w:r>
        <w:r>
          <w:t>39</w:t>
        </w:r>
        <w:r>
          <w:fldChar w:fldCharType="end"/>
        </w:r>
      </w:hyperlink>
    </w:p>
    <w:p>
      <w:pPr>
        <w:pStyle w:val="TOC2"/>
        <w:tabs>
          <w:tab w:val="right" w:leader="dot" w:pos="8306"/>
        </w:tabs>
      </w:pPr>
      <w:hyperlink w:anchor="_Toc4771" w:history="1">
        <w:r>
          <w:rPr>
            <w:rFonts w:ascii="仿宋" w:eastAsia="仿宋" w:hAnsi="仿宋" w:cs="仿宋" w:hint="eastAsia"/>
            <w:lang w:eastAsia="zh-CN"/>
          </w:rPr>
          <w:t>(五)、废弃物处理</w:t>
        </w:r>
        <w:r>
          <w:tab/>
        </w:r>
        <w:r>
          <w:fldChar w:fldCharType="begin"/>
        </w:r>
        <w:r>
          <w:instrText xml:space="preserve"> PAGEREF _Toc4771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31" w:history="1">
        <w:r>
          <w:rPr>
            <w:rFonts w:ascii="仿宋" w:eastAsia="仿宋" w:hAnsi="仿宋" w:cs="仿宋" w:hint="eastAsia"/>
            <w:lang w:eastAsia="zh-CN"/>
          </w:rPr>
          <w:t>(六)、特殊环境影响分析</w:t>
        </w:r>
        <w:r>
          <w:tab/>
        </w:r>
        <w:r>
          <w:fldChar w:fldCharType="begin"/>
        </w:r>
        <w:r>
          <w:instrText xml:space="preserve"> PAGEREF _Toc5731 \h </w:instrText>
        </w:r>
        <w:r>
          <w:fldChar w:fldCharType="separate"/>
        </w:r>
        <w:r>
          <w:t>42</w:t>
        </w:r>
        <w:r>
          <w:fldChar w:fldCharType="end"/>
        </w:r>
      </w:hyperlink>
    </w:p>
    <w:p>
      <w:pPr>
        <w:pStyle w:val="TOC2"/>
        <w:tabs>
          <w:tab w:val="right" w:leader="dot" w:pos="8306"/>
        </w:tabs>
      </w:pPr>
      <w:hyperlink w:anchor="_Toc974" w:history="1">
        <w:r>
          <w:rPr>
            <w:rFonts w:ascii="仿宋" w:eastAsia="仿宋" w:hAnsi="仿宋" w:cs="仿宋" w:hint="eastAsia"/>
            <w:lang w:eastAsia="zh-CN"/>
          </w:rPr>
          <w:t>(七)、清洁生产</w:t>
        </w:r>
        <w:r>
          <w:tab/>
        </w:r>
        <w:r>
          <w:fldChar w:fldCharType="begin"/>
        </w:r>
        <w:r>
          <w:instrText xml:space="preserve"> PAGEREF _Toc974 \h </w:instrText>
        </w:r>
        <w:r>
          <w:fldChar w:fldCharType="separate"/>
        </w:r>
        <w:r>
          <w:t>43</w:t>
        </w:r>
        <w:r>
          <w:fldChar w:fldCharType="end"/>
        </w:r>
      </w:hyperlink>
    </w:p>
    <w:p>
      <w:pPr>
        <w:pStyle w:val="TOC2"/>
        <w:tabs>
          <w:tab w:val="right" w:leader="dot" w:pos="8306"/>
        </w:tabs>
      </w:pPr>
      <w:hyperlink w:anchor="_Toc12411" w:history="1">
        <w:r>
          <w:rPr>
            <w:rFonts w:ascii="仿宋" w:eastAsia="仿宋" w:hAnsi="仿宋" w:cs="仿宋" w:hint="eastAsia"/>
            <w:lang w:eastAsia="zh-CN"/>
          </w:rPr>
          <w:t>(八)、环境保护综合评价</w:t>
        </w:r>
        <w:r>
          <w:tab/>
        </w:r>
        <w:r>
          <w:fldChar w:fldCharType="begin"/>
        </w:r>
        <w:r>
          <w:instrText xml:space="preserve"> PAGEREF _Toc12411 \h </w:instrText>
        </w:r>
        <w:r>
          <w:fldChar w:fldCharType="separate"/>
        </w:r>
        <w:r>
          <w:t>45</w:t>
        </w:r>
        <w:r>
          <w:fldChar w:fldCharType="end"/>
        </w:r>
      </w:hyperlink>
    </w:p>
    <w:p>
      <w:pPr>
        <w:pStyle w:val="TOC1"/>
        <w:tabs>
          <w:tab w:val="right" w:leader="dot" w:pos="8306"/>
        </w:tabs>
      </w:pPr>
      <w:hyperlink w:anchor="_Toc28376" w:history="1">
        <w:r>
          <w:rPr>
            <w:rFonts w:ascii="仿宋" w:eastAsia="仿宋" w:hAnsi="仿宋" w:cs="仿宋" w:hint="eastAsia"/>
            <w:lang w:eastAsia="zh-CN"/>
          </w:rPr>
          <w:t>十一、增敏化学发光免疫分析仪项目创新与研发</w:t>
        </w:r>
        <w:r>
          <w:tab/>
        </w:r>
        <w:r>
          <w:fldChar w:fldCharType="begin"/>
        </w:r>
        <w:r>
          <w:instrText xml:space="preserve"> PAGEREF _Toc28376 \h </w:instrText>
        </w:r>
        <w:r>
          <w:fldChar w:fldCharType="separate"/>
        </w:r>
        <w:r>
          <w:t>46</w:t>
        </w:r>
        <w:r>
          <w:fldChar w:fldCharType="end"/>
        </w:r>
      </w:hyperlink>
    </w:p>
    <w:p>
      <w:pPr>
        <w:pStyle w:val="TOC2"/>
        <w:tabs>
          <w:tab w:val="right" w:leader="dot" w:pos="8306"/>
        </w:tabs>
      </w:pPr>
      <w:hyperlink w:anchor="_Toc15624" w:history="1">
        <w:r>
          <w:rPr>
            <w:rFonts w:ascii="仿宋" w:eastAsia="仿宋" w:hAnsi="仿宋" w:cs="仿宋" w:hint="eastAsia"/>
            <w:lang w:eastAsia="zh-CN"/>
          </w:rPr>
          <w:t>(一)、创新策略与方向</w:t>
        </w:r>
        <w:r>
          <w:tab/>
        </w:r>
        <w:r>
          <w:fldChar w:fldCharType="begin"/>
        </w:r>
        <w:r>
          <w:instrText xml:space="preserve"> PAGEREF _Toc15624 \h </w:instrText>
        </w:r>
        <w:r>
          <w:fldChar w:fldCharType="separate"/>
        </w:r>
        <w:r>
          <w:t>46</w:t>
        </w:r>
        <w:r>
          <w:fldChar w:fldCharType="end"/>
        </w:r>
      </w:hyperlink>
    </w:p>
    <w:p>
      <w:pPr>
        <w:pStyle w:val="TOC2"/>
        <w:tabs>
          <w:tab w:val="right" w:leader="dot" w:pos="8306"/>
        </w:tabs>
      </w:pPr>
      <w:hyperlink w:anchor="_Toc29520" w:history="1">
        <w:r>
          <w:rPr>
            <w:rFonts w:ascii="仿宋" w:eastAsia="仿宋" w:hAnsi="仿宋" w:cs="仿宋" w:hint="eastAsia"/>
            <w:lang w:eastAsia="zh-CN"/>
          </w:rPr>
          <w:t>(二)、研发规划与投入</w:t>
        </w:r>
        <w:r>
          <w:tab/>
        </w:r>
        <w:r>
          <w:fldChar w:fldCharType="begin"/>
        </w:r>
        <w:r>
          <w:instrText xml:space="preserve"> PAGEREF _Toc29520 \h </w:instrText>
        </w:r>
        <w:r>
          <w:fldChar w:fldCharType="separate"/>
        </w:r>
        <w:r>
          <w:t>48</w:t>
        </w:r>
        <w:r>
          <w:fldChar w:fldCharType="end"/>
        </w:r>
      </w:hyperlink>
    </w:p>
    <w:p>
      <w:pPr>
        <w:pStyle w:val="TOC1"/>
        <w:tabs>
          <w:tab w:val="right" w:leader="dot" w:pos="8306"/>
        </w:tabs>
      </w:pPr>
      <w:hyperlink w:anchor="_Toc30683" w:history="1">
        <w:r>
          <w:rPr>
            <w:rFonts w:ascii="仿宋" w:eastAsia="仿宋" w:hAnsi="仿宋" w:cs="仿宋" w:hint="eastAsia"/>
            <w:lang w:eastAsia="zh-CN"/>
          </w:rPr>
          <w:t>十二、增敏化学发光免疫分析仪项目人力资源培养与发展</w:t>
        </w:r>
        <w:r>
          <w:tab/>
        </w:r>
        <w:r>
          <w:fldChar w:fldCharType="begin"/>
        </w:r>
        <w:r>
          <w:instrText xml:space="preserve"> PAGEREF _Toc30683 \h </w:instrText>
        </w:r>
        <w:r>
          <w:fldChar w:fldCharType="separate"/>
        </w:r>
        <w:r>
          <w:t>49</w:t>
        </w:r>
        <w:r>
          <w:fldChar w:fldCharType="end"/>
        </w:r>
      </w:hyperlink>
    </w:p>
    <w:p>
      <w:pPr>
        <w:pStyle w:val="TOC2"/>
        <w:tabs>
          <w:tab w:val="right" w:leader="dot" w:pos="8306"/>
        </w:tabs>
      </w:pPr>
      <w:hyperlink w:anchor="_Toc5698" w:history="1">
        <w:r>
          <w:rPr>
            <w:rFonts w:ascii="仿宋" w:eastAsia="仿宋" w:hAnsi="仿宋" w:cs="仿宋" w:hint="eastAsia"/>
            <w:lang w:eastAsia="zh-CN"/>
          </w:rPr>
          <w:t>(一)、人才需求与规划</w:t>
        </w:r>
        <w:r>
          <w:tab/>
        </w:r>
        <w:r>
          <w:fldChar w:fldCharType="begin"/>
        </w:r>
        <w:r>
          <w:instrText xml:space="preserve"> PAGEREF _Toc5698 \h </w:instrText>
        </w:r>
        <w:r>
          <w:fldChar w:fldCharType="separate"/>
        </w:r>
        <w:r>
          <w:t>49</w:t>
        </w:r>
        <w:r>
          <w:fldChar w:fldCharType="end"/>
        </w:r>
      </w:hyperlink>
    </w:p>
    <w:p>
      <w:pPr>
        <w:pStyle w:val="TOC2"/>
        <w:tabs>
          <w:tab w:val="right" w:leader="dot" w:pos="8306"/>
        </w:tabs>
      </w:pPr>
      <w:hyperlink w:anchor="_Toc4198" w:history="1">
        <w:r>
          <w:rPr>
            <w:rFonts w:ascii="仿宋" w:eastAsia="仿宋" w:hAnsi="仿宋" w:cs="仿宋" w:hint="eastAsia"/>
            <w:lang w:eastAsia="zh-CN"/>
          </w:rPr>
          <w:t>(二)、培训与发展计划</w:t>
        </w:r>
        <w:r>
          <w:tab/>
        </w:r>
        <w:r>
          <w:fldChar w:fldCharType="begin"/>
        </w:r>
        <w:r>
          <w:instrText xml:space="preserve"> PAGEREF _Toc4198 \h </w:instrText>
        </w:r>
        <w:r>
          <w:fldChar w:fldCharType="separate"/>
        </w:r>
        <w:r>
          <w:t>50</w:t>
        </w:r>
        <w:r>
          <w:fldChar w:fldCharType="end"/>
        </w:r>
      </w:hyperlink>
    </w:p>
    <w:p>
      <w:pPr>
        <w:pStyle w:val="TOC1"/>
        <w:tabs>
          <w:tab w:val="right" w:leader="dot" w:pos="8306"/>
        </w:tabs>
      </w:pPr>
      <w:hyperlink w:anchor="_Toc21920" w:history="1">
        <w:r>
          <w:rPr>
            <w:rFonts w:ascii="仿宋" w:eastAsia="仿宋" w:hAnsi="仿宋" w:cs="仿宋" w:hint="eastAsia"/>
            <w:lang w:eastAsia="zh-CN"/>
          </w:rPr>
          <w:t>十三、质量管理体系</w:t>
        </w:r>
        <w:r>
          <w:tab/>
        </w:r>
        <w:r>
          <w:fldChar w:fldCharType="begin"/>
        </w:r>
        <w:r>
          <w:instrText xml:space="preserve"> PAGEREF _Toc21920 \h </w:instrText>
        </w:r>
        <w:r>
          <w:fldChar w:fldCharType="separate"/>
        </w:r>
        <w:r>
          <w:t>50</w:t>
        </w:r>
        <w:r>
          <w:fldChar w:fldCharType="end"/>
        </w:r>
      </w:hyperlink>
    </w:p>
    <w:p>
      <w:pPr>
        <w:pStyle w:val="TOC2"/>
        <w:tabs>
          <w:tab w:val="right" w:leader="dot" w:pos="8306"/>
        </w:tabs>
      </w:pPr>
      <w:hyperlink w:anchor="_Toc4083" w:history="1">
        <w:r>
          <w:rPr>
            <w:rFonts w:ascii="仿宋" w:eastAsia="仿宋" w:hAnsi="仿宋" w:cs="仿宋" w:hint="eastAsia"/>
            <w:lang w:eastAsia="zh-CN"/>
          </w:rPr>
          <w:t>(一)、质量目标与方针</w:t>
        </w:r>
        <w:r>
          <w:tab/>
        </w:r>
        <w:r>
          <w:fldChar w:fldCharType="begin"/>
        </w:r>
        <w:r>
          <w:instrText xml:space="preserve"> PAGEREF _Toc4083 \h </w:instrText>
        </w:r>
        <w:r>
          <w:fldChar w:fldCharType="separate"/>
        </w:r>
        <w:r>
          <w:t>50</w:t>
        </w:r>
        <w:r>
          <w:fldChar w:fldCharType="end"/>
        </w:r>
      </w:hyperlink>
    </w:p>
    <w:p>
      <w:pPr>
        <w:pStyle w:val="TOC2"/>
        <w:tabs>
          <w:tab w:val="right" w:leader="dot" w:pos="8306"/>
        </w:tabs>
      </w:pPr>
      <w:hyperlink w:anchor="_Toc5155" w:history="1">
        <w:r>
          <w:rPr>
            <w:rFonts w:ascii="仿宋" w:eastAsia="仿宋" w:hAnsi="仿宋" w:cs="仿宋" w:hint="eastAsia"/>
            <w:lang w:eastAsia="zh-CN"/>
          </w:rPr>
          <w:t>(二)、质量管理责任</w:t>
        </w:r>
        <w:r>
          <w:tab/>
        </w:r>
        <w:r>
          <w:fldChar w:fldCharType="begin"/>
        </w:r>
        <w:r>
          <w:instrText xml:space="preserve"> PAGEREF _Toc5155 \h </w:instrText>
        </w:r>
        <w:r>
          <w:fldChar w:fldCharType="separate"/>
        </w:r>
        <w:r>
          <w:t>52</w:t>
        </w:r>
        <w:r>
          <w:fldChar w:fldCharType="end"/>
        </w:r>
      </w:hyperlink>
    </w:p>
    <w:p>
      <w:pPr>
        <w:pStyle w:val="TOC2"/>
        <w:tabs>
          <w:tab w:val="right" w:leader="dot" w:pos="8306"/>
        </w:tabs>
      </w:pPr>
      <w:hyperlink w:anchor="_Toc14985" w:history="1">
        <w:r>
          <w:rPr>
            <w:rFonts w:ascii="仿宋" w:eastAsia="仿宋" w:hAnsi="仿宋" w:cs="仿宋" w:hint="eastAsia"/>
            <w:lang w:eastAsia="zh-CN"/>
          </w:rPr>
          <w:t>(三)、质量管理体系文件</w:t>
        </w:r>
        <w:r>
          <w:tab/>
        </w:r>
        <w:r>
          <w:fldChar w:fldCharType="begin"/>
        </w:r>
        <w:r>
          <w:instrText xml:space="preserve"> PAGEREF _Toc14985 \h </w:instrText>
        </w:r>
        <w:r>
          <w:fldChar w:fldCharType="separate"/>
        </w:r>
        <w:r>
          <w:t>53</w:t>
        </w:r>
        <w:r>
          <w:fldChar w:fldCharType="end"/>
        </w:r>
      </w:hyperlink>
    </w:p>
    <w:p>
      <w:pPr>
        <w:pStyle w:val="TOC2"/>
        <w:tabs>
          <w:tab w:val="right" w:leader="dot" w:pos="8306"/>
        </w:tabs>
      </w:pPr>
      <w:hyperlink w:anchor="_Toc2340" w:history="1">
        <w:r>
          <w:rPr>
            <w:rFonts w:ascii="仿宋" w:eastAsia="仿宋" w:hAnsi="仿宋" w:cs="仿宋" w:hint="eastAsia"/>
            <w:lang w:eastAsia="zh-CN"/>
          </w:rPr>
          <w:t>(四)、质量培训与教育</w:t>
        </w:r>
        <w:r>
          <w:tab/>
        </w:r>
        <w:r>
          <w:fldChar w:fldCharType="begin"/>
        </w:r>
        <w:r>
          <w:instrText xml:space="preserve"> PAGEREF _Toc2340 \h </w:instrText>
        </w:r>
        <w:r>
          <w:fldChar w:fldCharType="separate"/>
        </w:r>
        <w:r>
          <w:t>55</w:t>
        </w:r>
        <w:r>
          <w:fldChar w:fldCharType="end"/>
        </w:r>
      </w:hyperlink>
    </w:p>
    <w:p>
      <w:pPr>
        <w:pStyle w:val="TOC2"/>
        <w:tabs>
          <w:tab w:val="right" w:leader="dot" w:pos="8306"/>
        </w:tabs>
      </w:pPr>
      <w:hyperlink w:anchor="_Toc2015" w:history="1">
        <w:r>
          <w:rPr>
            <w:rFonts w:ascii="仿宋" w:eastAsia="仿宋" w:hAnsi="仿宋" w:cs="仿宋" w:hint="eastAsia"/>
            <w:lang w:eastAsia="zh-CN"/>
          </w:rPr>
          <w:t>(五)、质量审核与评价</w:t>
        </w:r>
        <w:r>
          <w:tab/>
        </w:r>
        <w:r>
          <w:fldChar w:fldCharType="begin"/>
        </w:r>
        <w:r>
          <w:instrText xml:space="preserve"> PAGEREF _Toc2015 \h </w:instrText>
        </w:r>
        <w:r>
          <w:fldChar w:fldCharType="separate"/>
        </w:r>
        <w:r>
          <w:t>56</w:t>
        </w:r>
        <w:r>
          <w:fldChar w:fldCharType="end"/>
        </w:r>
      </w:hyperlink>
    </w:p>
    <w:p>
      <w:pPr>
        <w:pStyle w:val="TOC2"/>
        <w:tabs>
          <w:tab w:val="right" w:leader="dot" w:pos="8306"/>
        </w:tabs>
      </w:pPr>
      <w:hyperlink w:anchor="_Toc31796" w:history="1">
        <w:r>
          <w:rPr>
            <w:rFonts w:ascii="仿宋" w:eastAsia="仿宋" w:hAnsi="仿宋" w:cs="仿宋" w:hint="eastAsia"/>
            <w:lang w:eastAsia="zh-CN"/>
          </w:rPr>
          <w:t>(六)、不符合与纠正措施</w:t>
        </w:r>
        <w:r>
          <w:tab/>
        </w:r>
        <w:r>
          <w:fldChar w:fldCharType="begin"/>
        </w:r>
        <w:r>
          <w:instrText xml:space="preserve"> PAGEREF _Toc31796 \h </w:instrText>
        </w:r>
        <w:r>
          <w:fldChar w:fldCharType="separate"/>
        </w:r>
        <w:r>
          <w:t>58</w:t>
        </w:r>
        <w:r>
          <w:fldChar w:fldCharType="end"/>
        </w:r>
      </w:hyperlink>
    </w:p>
    <w:p>
      <w:pPr>
        <w:pStyle w:val="TOC1"/>
        <w:tabs>
          <w:tab w:val="right" w:leader="dot" w:pos="8306"/>
        </w:tabs>
      </w:pPr>
      <w:hyperlink w:anchor="_Toc32022" w:history="1">
        <w:r>
          <w:rPr>
            <w:rFonts w:ascii="仿宋" w:eastAsia="仿宋" w:hAnsi="仿宋" w:cs="仿宋" w:hint="eastAsia"/>
            <w:lang w:eastAsia="zh-CN"/>
          </w:rPr>
          <w:t>十四、营销与推广策略</w:t>
        </w:r>
        <w:r>
          <w:tab/>
        </w:r>
        <w:r>
          <w:fldChar w:fldCharType="begin"/>
        </w:r>
        <w:r>
          <w:instrText xml:space="preserve"> PAGEREF _Toc32022 \h </w:instrText>
        </w:r>
        <w:r>
          <w:fldChar w:fldCharType="separate"/>
        </w:r>
        <w:r>
          <w:t>59</w:t>
        </w:r>
        <w:r>
          <w:fldChar w:fldCharType="end"/>
        </w:r>
      </w:hyperlink>
    </w:p>
    <w:p>
      <w:pPr>
        <w:pStyle w:val="TOC2"/>
        <w:tabs>
          <w:tab w:val="right" w:leader="dot" w:pos="8306"/>
        </w:tabs>
      </w:pPr>
      <w:hyperlink w:anchor="_Toc4733" w:history="1">
        <w:r>
          <w:rPr>
            <w:rFonts w:ascii="仿宋" w:eastAsia="仿宋" w:hAnsi="仿宋" w:cs="仿宋" w:hint="eastAsia"/>
            <w:lang w:eastAsia="zh-CN"/>
          </w:rPr>
          <w:t>(一)、产品/服务定位与特点</w:t>
        </w:r>
        <w:r>
          <w:tab/>
        </w:r>
        <w:r>
          <w:fldChar w:fldCharType="begin"/>
        </w:r>
        <w:r>
          <w:instrText xml:space="preserve"> PAGEREF _Toc4733 \h </w:instrText>
        </w:r>
        <w:r>
          <w:fldChar w:fldCharType="separate"/>
        </w:r>
        <w:r>
          <w:t>59</w:t>
        </w:r>
        <w:r>
          <w:fldChar w:fldCharType="end"/>
        </w:r>
      </w:hyperlink>
    </w:p>
    <w:p>
      <w:pPr>
        <w:pStyle w:val="TOC2"/>
        <w:tabs>
          <w:tab w:val="right" w:leader="dot" w:pos="8306"/>
        </w:tabs>
      </w:pPr>
      <w:hyperlink w:anchor="_Toc13582" w:history="1">
        <w:r>
          <w:rPr>
            <w:rFonts w:ascii="仿宋" w:eastAsia="仿宋" w:hAnsi="仿宋" w:cs="仿宋" w:hint="eastAsia"/>
            <w:lang w:eastAsia="zh-CN"/>
          </w:rPr>
          <w:t>(二)、市场定位与竞争分析</w:t>
        </w:r>
        <w:r>
          <w:tab/>
        </w:r>
        <w:r>
          <w:fldChar w:fldCharType="begin"/>
        </w:r>
        <w:r>
          <w:instrText xml:space="preserve"> PAGEREF _Toc13582 \h </w:instrText>
        </w:r>
        <w:r>
          <w:fldChar w:fldCharType="separate"/>
        </w:r>
        <w:r>
          <w:t>60</w:t>
        </w:r>
        <w:r>
          <w:fldChar w:fldCharType="end"/>
        </w:r>
      </w:hyperlink>
    </w:p>
    <w:p>
      <w:pPr>
        <w:pStyle w:val="TOC2"/>
        <w:tabs>
          <w:tab w:val="right" w:leader="dot" w:pos="8306"/>
        </w:tabs>
      </w:pPr>
      <w:hyperlink w:anchor="_Toc25657" w:history="1">
        <w:r>
          <w:rPr>
            <w:rFonts w:ascii="仿宋" w:eastAsia="仿宋" w:hAnsi="仿宋" w:cs="仿宋" w:hint="eastAsia"/>
            <w:lang w:eastAsia="zh-CN"/>
          </w:rPr>
          <w:t>(三)、营销渠道与策略</w:t>
        </w:r>
        <w:r>
          <w:tab/>
        </w:r>
        <w:r>
          <w:fldChar w:fldCharType="begin"/>
        </w:r>
        <w:r>
          <w:instrText xml:space="preserve"> PAGEREF _Toc25657 \h </w:instrText>
        </w:r>
        <w:r>
          <w:fldChar w:fldCharType="separate"/>
        </w:r>
        <w:r>
          <w:t>62</w:t>
        </w:r>
        <w:r>
          <w:fldChar w:fldCharType="end"/>
        </w:r>
      </w:hyperlink>
    </w:p>
    <w:p>
      <w:pPr>
        <w:pStyle w:val="TOC2"/>
        <w:tabs>
          <w:tab w:val="right" w:leader="dot" w:pos="8306"/>
        </w:tabs>
      </w:pPr>
      <w:hyperlink w:anchor="_Toc5263" w:history="1">
        <w:r>
          <w:rPr>
            <w:rFonts w:ascii="仿宋" w:eastAsia="仿宋" w:hAnsi="仿宋" w:cs="仿宋" w:hint="eastAsia"/>
            <w:lang w:eastAsia="zh-CN"/>
          </w:rPr>
          <w:t>(四)、推广与宣传活动</w:t>
        </w:r>
        <w:r>
          <w:tab/>
        </w:r>
        <w:r>
          <w:fldChar w:fldCharType="begin"/>
        </w:r>
        <w:r>
          <w:instrText xml:space="preserve"> PAGEREF _Toc5263 \h </w:instrText>
        </w:r>
        <w:r>
          <w:fldChar w:fldCharType="separate"/>
        </w:r>
        <w:r>
          <w:t>63</w:t>
        </w:r>
        <w:r>
          <w:fldChar w:fldCharType="end"/>
        </w:r>
      </w:hyperlink>
    </w:p>
    <w:p>
      <w:pPr>
        <w:pStyle w:val="TOC1"/>
        <w:tabs>
          <w:tab w:val="right" w:leader="dot" w:pos="8306"/>
        </w:tabs>
      </w:pPr>
      <w:hyperlink w:anchor="_Toc698" w:history="1">
        <w:r>
          <w:rPr>
            <w:rFonts w:ascii="仿宋" w:eastAsia="仿宋" w:hAnsi="仿宋" w:cs="仿宋" w:hint="eastAsia"/>
            <w:lang w:eastAsia="zh-CN"/>
          </w:rPr>
          <w:t>十五、增敏化学发光免疫分析仪项目变更管理</w:t>
        </w:r>
        <w:r>
          <w:tab/>
        </w:r>
        <w:r>
          <w:fldChar w:fldCharType="begin"/>
        </w:r>
        <w:r>
          <w:instrText xml:space="preserve"> PAGEREF _Toc698 \h </w:instrText>
        </w:r>
        <w:r>
          <w:fldChar w:fldCharType="separate"/>
        </w:r>
        <w:r>
          <w:t>68</w:t>
        </w:r>
        <w:r>
          <w:fldChar w:fldCharType="end"/>
        </w:r>
      </w:hyperlink>
    </w:p>
    <w:p>
      <w:pPr>
        <w:pStyle w:val="TOC2"/>
        <w:tabs>
          <w:tab w:val="right" w:leader="dot" w:pos="8306"/>
        </w:tabs>
      </w:pPr>
      <w:hyperlink w:anchor="_Toc20644" w:history="1">
        <w:r>
          <w:rPr>
            <w:rFonts w:ascii="仿宋" w:eastAsia="仿宋" w:hAnsi="仿宋" w:cs="仿宋" w:hint="eastAsia"/>
            <w:lang w:eastAsia="zh-CN"/>
          </w:rPr>
          <w:t>(一)、变更申请与评估</w:t>
        </w:r>
        <w:r>
          <w:tab/>
        </w:r>
        <w:r>
          <w:fldChar w:fldCharType="begin"/>
        </w:r>
        <w:r>
          <w:instrText xml:space="preserve"> PAGEREF _Toc20644 \h </w:instrText>
        </w:r>
        <w:r>
          <w:fldChar w:fldCharType="separate"/>
        </w:r>
        <w:r>
          <w:t>68</w:t>
        </w:r>
        <w:r>
          <w:fldChar w:fldCharType="end"/>
        </w:r>
      </w:hyperlink>
    </w:p>
    <w:p>
      <w:pPr>
        <w:pStyle w:val="TOC2"/>
        <w:tabs>
          <w:tab w:val="right" w:leader="dot" w:pos="8306"/>
        </w:tabs>
      </w:pPr>
      <w:hyperlink w:anchor="_Toc7128" w:history="1">
        <w:r>
          <w:rPr>
            <w:rFonts w:ascii="仿宋" w:eastAsia="仿宋" w:hAnsi="仿宋" w:cs="仿宋" w:hint="eastAsia"/>
            <w:lang w:eastAsia="zh-CN"/>
          </w:rPr>
          <w:t>(二)、变更实施与控制</w:t>
        </w:r>
        <w:r>
          <w:tab/>
        </w:r>
        <w:r>
          <w:fldChar w:fldCharType="begin"/>
        </w:r>
        <w:r>
          <w:instrText xml:space="preserve"> PAGEREF _Toc7128 \h </w:instrText>
        </w:r>
        <w:r>
          <w:fldChar w:fldCharType="separate"/>
        </w:r>
        <w:r>
          <w:t>68</w:t>
        </w:r>
        <w:r>
          <w:fldChar w:fldCharType="end"/>
        </w:r>
      </w:hyperlink>
    </w:p>
    <w:p>
      <w:pPr>
        <w:pStyle w:val="TOC1"/>
        <w:tabs>
          <w:tab w:val="right" w:leader="dot" w:pos="8306"/>
        </w:tabs>
      </w:pPr>
      <w:hyperlink w:anchor="_Toc24787" w:history="1">
        <w:r>
          <w:rPr>
            <w:rFonts w:ascii="仿宋" w:eastAsia="仿宋" w:hAnsi="仿宋" w:cs="仿宋" w:hint="eastAsia"/>
            <w:lang w:eastAsia="zh-CN"/>
          </w:rPr>
          <w:t>十六、增敏化学发光免疫分析仪项目实施保障措施</w:t>
        </w:r>
        <w:r>
          <w:tab/>
        </w:r>
        <w:r>
          <w:fldChar w:fldCharType="begin"/>
        </w:r>
        <w:r>
          <w:instrText xml:space="preserve"> PAGEREF _Toc24787 \h </w:instrText>
        </w:r>
        <w:r>
          <w:fldChar w:fldCharType="separate"/>
        </w:r>
        <w:r>
          <w:t>69</w:t>
        </w:r>
        <w:r>
          <w:fldChar w:fldCharType="end"/>
        </w:r>
      </w:hyperlink>
    </w:p>
    <w:p>
      <w:pPr>
        <w:pStyle w:val="TOC2"/>
        <w:tabs>
          <w:tab w:val="right" w:leader="dot" w:pos="8306"/>
        </w:tabs>
      </w:pPr>
      <w:hyperlink w:anchor="_Toc3531" w:history="1">
        <w:r>
          <w:rPr>
            <w:rFonts w:ascii="仿宋" w:eastAsia="仿宋" w:hAnsi="仿宋" w:cs="仿宋" w:hint="eastAsia"/>
            <w:lang w:eastAsia="zh-CN"/>
          </w:rPr>
          <w:t>(一)、增敏化学发光免疫分析仪项目实施保障机制</w:t>
        </w:r>
        <w:r>
          <w:tab/>
        </w:r>
        <w:r>
          <w:fldChar w:fldCharType="begin"/>
        </w:r>
        <w:r>
          <w:instrText xml:space="preserve"> PAGEREF _Toc3531 \h </w:instrText>
        </w:r>
        <w:r>
          <w:fldChar w:fldCharType="separate"/>
        </w:r>
        <w:r>
          <w:t>69</w:t>
        </w:r>
        <w:r>
          <w:fldChar w:fldCharType="end"/>
        </w:r>
      </w:hyperlink>
    </w:p>
    <w:p>
      <w:pPr>
        <w:pStyle w:val="TOC2"/>
        <w:tabs>
          <w:tab w:val="right" w:leader="dot" w:pos="8306"/>
        </w:tabs>
      </w:pPr>
      <w:hyperlink w:anchor="_Toc1052" w:history="1">
        <w:r>
          <w:rPr>
            <w:rFonts w:ascii="仿宋" w:eastAsia="仿宋" w:hAnsi="仿宋" w:cs="仿宋" w:hint="eastAsia"/>
            <w:lang w:eastAsia="zh-CN"/>
          </w:rPr>
          <w:t>(二)、增敏化学发光免疫分析仪项目法律合规要求</w:t>
        </w:r>
        <w:r>
          <w:tab/>
        </w:r>
        <w:r>
          <w:fldChar w:fldCharType="begin"/>
        </w:r>
        <w:r>
          <w:instrText xml:space="preserve"> PAGEREF _Toc1052 \h </w:instrText>
        </w:r>
        <w:r>
          <w:fldChar w:fldCharType="separate"/>
        </w:r>
        <w:r>
          <w:t>73</w:t>
        </w:r>
        <w:r>
          <w:fldChar w:fldCharType="end"/>
        </w:r>
      </w:hyperlink>
    </w:p>
    <w:p>
      <w:pPr>
        <w:pStyle w:val="TOC2"/>
        <w:tabs>
          <w:tab w:val="right" w:leader="dot" w:pos="8306"/>
        </w:tabs>
      </w:pPr>
      <w:hyperlink w:anchor="_Toc5803" w:history="1">
        <w:r>
          <w:rPr>
            <w:rFonts w:ascii="仿宋" w:eastAsia="仿宋" w:hAnsi="仿宋" w:cs="仿宋" w:hint="eastAsia"/>
            <w:lang w:eastAsia="zh-CN"/>
          </w:rPr>
          <w:t>(三)、增敏化学发光免疫分析仪项目合同管理与法律事务</w:t>
        </w:r>
        <w:r>
          <w:tab/>
        </w:r>
        <w:r>
          <w:fldChar w:fldCharType="begin"/>
        </w:r>
        <w:r>
          <w:instrText xml:space="preserve"> PAGEREF _Toc5803 \h </w:instrText>
        </w:r>
        <w:r>
          <w:fldChar w:fldCharType="separate"/>
        </w:r>
        <w:r>
          <w:t>78</w:t>
        </w:r>
        <w:r>
          <w:fldChar w:fldCharType="end"/>
        </w:r>
      </w:hyperlink>
    </w:p>
    <w:p>
      <w:pPr>
        <w:pStyle w:val="TOC2"/>
        <w:tabs>
          <w:tab w:val="right" w:leader="dot" w:pos="8306"/>
        </w:tabs>
      </w:pPr>
      <w:hyperlink w:anchor="_Toc30436" w:history="1">
        <w:r>
          <w:rPr>
            <w:rFonts w:ascii="仿宋" w:eastAsia="仿宋" w:hAnsi="仿宋" w:cs="仿宋" w:hint="eastAsia"/>
            <w:lang w:eastAsia="zh-CN"/>
          </w:rPr>
          <w:t>(四)、增敏化学发光免疫分析仪项目知识产权保护策略</w:t>
        </w:r>
        <w:r>
          <w:tab/>
        </w:r>
        <w:r>
          <w:fldChar w:fldCharType="begin"/>
        </w:r>
        <w:r>
          <w:instrText xml:space="preserve"> PAGEREF _Toc30436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779"/>
      <w:r>
        <w:rPr>
          <w:rFonts w:ascii="仿宋" w:eastAsia="仿宋" w:hAnsi="仿宋" w:cs="仿宋" w:hint="eastAsia"/>
          <w:sz w:val="28"/>
          <w:lang w:eastAsia="zh-CN"/>
        </w:rPr>
        <w:t>一、增敏化学发光免疫分析仪项目文档管理</w:t>
      </w:r>
      <w:bookmarkEnd w:id="2"/>
    </w:p>
    <w:p>
      <w:pPr>
        <w:pStyle w:val="Heading2"/>
        <w:rPr>
          <w:rFonts w:ascii="仿宋" w:eastAsia="仿宋" w:hAnsi="仿宋" w:cs="仿宋" w:hint="eastAsia"/>
          <w:lang w:eastAsia="zh-CN"/>
        </w:rPr>
      </w:pPr>
      <w:bookmarkStart w:id="3" w:name="_Toc1850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增敏化学发光免疫分析仪项目高度重视文档的质量和准确性，以支持增敏化学发光免疫分析仪项目的各项活动和决策。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文档的编制始于增敏化学发光免疫分析仪项目计划的初期，我们制定了详细的文档编制计划，明确了每个文档的内容、格式和编写责任人。在增敏化学发光免疫分析仪项目启动阶段，我们首先编制了增敏化学发光免疫分析仪项目章程，明确定义了增敏化学发光免疫分析仪项目的目标、范围、风险等关键要素。随后，增敏化学发光免疫分析仪项目团队根据计划陆续编制了需求文档、设计文档、测试文档等各类文档，确保增敏化学发光免疫分析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增敏化学发光免疫分析仪项目管理中的重要环节，旨在确保增敏化学发光免疫分析仪项目文档符合质量标准和增敏化学发光免疫分析仪项目需求。在增敏化学发光免疫分析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增敏化学发光免疫分析仪项目相关利益方和专业领域的专家对文档进行独立审查。这有助于获取更全面、客观的反馈，确保增敏化学发光免疫分析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在文档编制与审查方面建立了严格的管理机制，通过规范的流程和多维度的审查，确保增敏化学发光免疫分析仪项目文档的质量、准确性和可靠性，为增敏化学发光免疫分析仪项目的顺利推进提供了有力支持。</w:t>
      </w:r>
    </w:p>
    <w:p>
      <w:pPr>
        <w:pStyle w:val="Heading2"/>
        <w:ind w:firstLine="560" w:firstLineChars="200"/>
        <w:rPr>
          <w:rFonts w:ascii="仿宋" w:eastAsia="仿宋" w:hAnsi="仿宋" w:cs="仿宋" w:hint="eastAsia"/>
          <w:sz w:val="28"/>
          <w:lang w:eastAsia="zh-CN"/>
        </w:rPr>
      </w:pPr>
      <w:bookmarkStart w:id="4" w:name="_Toc52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在增敏化学发光免疫分析仪项目中，我们致力于优化文档发布与分发过程，以确保信息的高效传递和团队间协作的顺畅进行。以下是我们采取的关键优化策略：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我们通过多渠道发布文档，包括电子邮件、增敏化学发光免疫分析仪项目管理平台、内部网站等，以满足不同团队成员的偏好和需求。多渠道发布确保了信息的全面覆盖。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我们采用了精细的权限控制，确保只有授权人员可以访问敏感信息。这种安全措施保护了增敏化学发光免疫分析仪项目文档的机密性，防止了未经授权的信息泄露。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18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增敏化学发光免疫分析仪项目生命周期中一个至关重要的环节，直接关系到增敏化学发光免疫分析仪项目信息的长期保存和历史记录的完整性。在增敏化学发光免疫分析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78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956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增敏化学发光免疫分析仪项目的主要产品是XXXX，预计年产值为XXX万元。这一产品在市场中占据着重要的地位，其广泛的应用范围使得该增敏化学发光免疫分析仪项目的市场前景非常广阔。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增敏化学发光免疫分析仪项目的xxx产品作为重要的原材料之一，将在多个领域发挥关键作用。其在建筑、交通、能源等方面的广泛应用将为整个产业链提供强大的支持，形成产业协同效应。增敏化学发光免疫分析仪项目的年产值XXX万XXX万XXX万万元不仅反映了其在市场上的巨大潜力，更预示着它对国民经济的积极贡献。这种关联度高、涉及面广的产业关系，使得该增敏化学发光免疫分析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52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总征地面积为XXXX平方米，相当于约XX.XX亩，其中净用地面积为XXXX平方米，红线范围内相当于约XX.XX亩。这一用地规模充分考虑了增敏化学发光免疫分析仪项目的建设需求，保障了增敏化学发光免疫分析仪项目在合适的空间内得以充分发展。增敏化学发光免疫分析仪项目规划的总建筑面积为XXXX平方米，其中主体工程建设占XXXX平方米，计容建筑面积达XXXX平方米。预计建筑工程的投资将达到XXXX万元，为增敏化学发光免疫分析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计划购置的设备共计XXXX台（套），设备购置费用为XXXX万元。这一设备购置计划充分考虑到增敏化学发光免疫分析仪项目的生产需求和技术要求，确保了增敏化学发光免疫分析仪项目在生产运营中具备先进的技术装备和高效的生产能力。设备的合理配置将为增敏化学发光免疫分析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计划总投资为XXXX万元，预计年实现营业收入为XXXX万元。这一产能规模的设定旨在确保增敏化学发光免疫分析仪项目能够在投资与回报之间取得平衡，实现长期可持续的发展。增敏化学发光免疫分析仪项目的总投资充分考虑到各个方面的需求，包括用地建设、设备购置等多个环节，以确保增敏化学发光免疫分析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1353"/>
      <w:r>
        <w:rPr>
          <w:rFonts w:ascii="仿宋" w:eastAsia="仿宋" w:hAnsi="仿宋" w:cs="仿宋" w:hint="eastAsia"/>
          <w:sz w:val="28"/>
          <w:lang w:eastAsia="zh-CN"/>
        </w:rPr>
        <w:t>三、增敏化学发光免疫分析仪项目绩效评估</w:t>
      </w:r>
      <w:bookmarkEnd w:id="9"/>
    </w:p>
    <w:p>
      <w:pPr>
        <w:pStyle w:val="Heading2"/>
        <w:rPr>
          <w:rFonts w:ascii="仿宋" w:eastAsia="仿宋" w:hAnsi="仿宋" w:cs="仿宋" w:hint="eastAsia"/>
          <w:lang w:eastAsia="zh-CN"/>
        </w:rPr>
      </w:pPr>
      <w:bookmarkStart w:id="10" w:name="_Toc515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增敏化学发光免疫分析仪项目中，我们设计了一套全面的绩效评估指标，以确保增敏化学发光免疫分析仪项目的可控和成功交付。这些指标跨足增敏化学发光免疫分析仪项目目标、成本、进度和质量等多个维度，为我们提供了全面洞察增敏化学发光免疫分析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目标达成率是我们关注的首要指标。我们设定了明确的目标，并通过定期监测和评估，迅速发现并应对潜在的目标偏差。这为增敏化学发光免疫分析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成本绩效是另一个核心关注点。通过实际成本与预算成本的对比分析，我们深入了解成本差异的原因，及时调整资源分配，保持增敏化学发光免疫分析仪项目在经济效益方面的合理水平。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增敏化学发光免疫分析仪项目进度作为关键的绩效指标之一，得到了精心的关注。我们制定了详细的增敏化学发光免疫分析仪项目进度计划，并设立了进度符合度指标，确保实际进度与计划进度保持一致。这使我们能够快速发现和解决潜在的进度问题，保持增敏化学发光免疫分析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增敏化学发光免疫分析仪项目绩效的不可或缺的一环。我们引入了一系列的质量标准和客户满意度指标，以确保增敏化学发光免疫分析仪项目交付的成果在质量上达到或超越预期水平。通过持续监测这些指标，我们努力提升增敏化学发光免疫分析仪项目整体质量水平，为增敏化学发光免疫分析仪项目的成功交付提供有力保障。通过这些科学且全面的绩效评估，我们能够更好地引导增敏化学发光免疫分析仪项目的持续改进，确保增敏化学发光免疫分析仪项目目标的顺利达成。</w:t>
      </w:r>
    </w:p>
    <w:p>
      <w:pPr>
        <w:pStyle w:val="Heading2"/>
        <w:ind w:firstLine="560" w:firstLineChars="200"/>
        <w:rPr>
          <w:rFonts w:ascii="仿宋" w:eastAsia="仿宋" w:hAnsi="仿宋" w:cs="仿宋" w:hint="eastAsia"/>
          <w:sz w:val="28"/>
          <w:lang w:eastAsia="zh-CN"/>
        </w:rPr>
      </w:pPr>
      <w:bookmarkStart w:id="11" w:name="_Toc407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绩效评估是增敏化学发光免疫分析仪项目中的关键环节，为确保增敏化学发光免疫分析仪项目达到预期目标，我们采用了多层次、多维度的绩效评估方法。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增敏化学发光免疫分析仪项目的战略目标对齐，确保每个决策和行动都与增敏化学发光免疫分析仪项目整体目标保持一致。团队会定期召开战略对齐会议，审视当前工作与增敏化学发光免疫分析仪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增敏化学发光免疫分析仪项目进度、质量、成本和风险等方面。这些指标通过数据收集和分析，为增敏化学发光免疫分析仪项目管理团队提供了客观的评估依据。例如，我们通过增敏化学发光免疫分析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增敏化学发光免疫分析仪项目内部，还考虑了增敏化学发光免疫分析仪项目对外部环境的影响。我们定期进行干系人满意度调查，以了解各利益相关方对增敏化学发光免疫分析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这种多层次、多角度的绩效评估方法，使得我们能够全面了解增敏化学发光免疫分析仪项目的运行状态，及时做出调整，确保增敏化学发光免疫分析仪项目在不断变化的环境中保持稳健前行。</w:t>
      </w:r>
    </w:p>
    <w:p>
      <w:pPr>
        <w:pStyle w:val="Heading2"/>
        <w:ind w:firstLine="560" w:firstLineChars="200"/>
        <w:rPr>
          <w:rFonts w:ascii="仿宋" w:eastAsia="仿宋" w:hAnsi="仿宋" w:cs="仿宋" w:hint="eastAsia"/>
          <w:sz w:val="28"/>
          <w:lang w:eastAsia="zh-CN"/>
        </w:rPr>
      </w:pPr>
      <w:bookmarkStart w:id="12" w:name="_Toc1895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为了确保增敏化学发光免疫分析仪项目的有效管理和不断优化，我们采用了精心设计的绩效评估周期。这个周期旨在实现灵活、实时和全面的评估，以适应增敏化学发光免疫分析仪项目执行中的各种挑战。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增敏化学发光免疫分析仪项目的不同需求，分为短期、中期和长期。短期评估关注每个迭代或工作周期，以及时发现和解决当前任务中的问题。中期评估涵盖几个迭代，深入了解整体增敏化学发光免疫分析仪项目的趋势和性能。长期评估则着眼于整个增敏化学发光免疫分析仪项目阶段，确保增敏化学发光免疫分析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增敏化学发光免疫分析仪项目管理工具和协作平台，团队成员能够随时更新和分享增敏化学发光免疫分析仪项目数据。这种实时性的反馈机制使我们能够及时察觉潜在问题，快速调整，保持增敏化学发光免疫分析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增敏化学发光免疫分析仪项目的决策制定密不可分。每个周期的增敏化学发光免疫分析仪项目回顾会议成为集体总结经验、识别问题深层次原因并找到创新解决方案的平台。这种定期的反思与调整机制使增敏化学发光免疫分析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2355"/>
      <w:r>
        <w:rPr>
          <w:rFonts w:ascii="仿宋" w:eastAsia="仿宋" w:hAnsi="仿宋" w:cs="仿宋" w:hint="eastAsia"/>
          <w:sz w:val="28"/>
          <w:lang w:eastAsia="zh-CN"/>
        </w:rPr>
        <w:t>四、增敏化学发光免疫分析仪项目危机管理</w:t>
      </w:r>
      <w:bookmarkEnd w:id="13"/>
    </w:p>
    <w:p>
      <w:pPr>
        <w:pStyle w:val="Heading2"/>
        <w:rPr>
          <w:rFonts w:ascii="仿宋" w:eastAsia="仿宋" w:hAnsi="仿宋" w:cs="仿宋" w:hint="eastAsia"/>
          <w:lang w:eastAsia="zh-CN"/>
        </w:rPr>
      </w:pPr>
      <w:bookmarkStart w:id="14" w:name="_Toc1427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增敏化学发光免疫分析仪项目危机管理中，危机预警与识别是确保增敏化学发光免疫分析仪项目稳健运行的核心步骤。通过建立全面的监测机制，增敏化学发光免疫分析仪项目团队旨在及时发现和理解潜在的风险和危机因素，以便采取及时的预防和应对措施，确保增敏化学发光免疫分析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增敏化学发光免疫分析仪项目团队全面分析了整个增敏化学发光免疫分析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增敏化学发光免疫分析仪项目团队着重于明确定义增敏化学发光免疫分析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增敏化学发光免疫分析仪项目进展的持续监控，团队能够及时发现潜在问题并作出迅速反应。增敏化学发光免疫分析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增敏化学发光免疫分析仪项目得以更有序、可控地推进。</w:t>
      </w:r>
    </w:p>
    <w:p>
      <w:pPr>
        <w:pStyle w:val="Heading2"/>
        <w:ind w:firstLine="560" w:firstLineChars="200"/>
        <w:rPr>
          <w:rFonts w:ascii="仿宋" w:eastAsia="仿宋" w:hAnsi="仿宋" w:cs="仿宋" w:hint="eastAsia"/>
          <w:sz w:val="28"/>
          <w:lang w:eastAsia="zh-CN"/>
        </w:rPr>
      </w:pPr>
      <w:bookmarkStart w:id="15" w:name="_Toc1974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在危机发生时，增敏化学发光免疫分析仪项目团队立即行动，成立了应急小组。该小组的任务是迅速制定并实施紧急应对措施，以最小化潜在损失。以下是采取的主要措施：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暂停增敏化学发光免疫分析仪项目进度：为遏制危机蔓延，增敏化学发光免疫分析仪项目暂时停止进行，以便全面评估当前状况。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资源重新分配：重新评估增敏化学发光免疫分析仪项目资源的分配，确保最大限度地减小损失。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实时沟通：与关键利益相关者建立实时沟通机制，向他们传递增敏化学发光免疫分析仪项目危机的实际状况，保障增敏化学发光免疫分析仪项目核心利益。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在紧急应对的同时，增敏化学发光免疫分析仪项目团队强调了团队协作和有效沟通的重要性。以下是团队协作的关键举措：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信息共享机制：建立了信息共享平台，确保团队成员能够及时获取增敏化学发光免疫分析仪项目危机的实时信息。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领导者沟通：增敏化学发光免疫分析仪项目领导者通过定期会议和即时沟通工具，指导团队应对危机，保持团队稳定运行。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随着危机得到初步控制，增敏化学发光免疫分析仪项目团队转向制定恢复计划，以确保增敏化学发光免疫分析仪项目能够从中迅速恢复。主要恢复计划包括：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修复受损的进度计划：重新评估增敏化学发光免疫分析仪项目进度，制定修复计划，确保增敏化学发光免疫分析仪项目尽快回归正常进程。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重新调整资源分配：优化资源分配，确保增敏化学发光免疫分析仪项目在有限资源下高效运转。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风险管理机制加强：对增敏化学发光免疫分析仪项目风险进行全面评估，制定更强化的风险管理策略，以预防未来可能的危机。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4996"/>
      <w:r>
        <w:rPr>
          <w:rFonts w:ascii="仿宋" w:eastAsia="仿宋" w:hAnsi="仿宋" w:cs="仿宋" w:hint="eastAsia"/>
          <w:sz w:val="28"/>
          <w:lang w:eastAsia="zh-CN"/>
        </w:rPr>
        <w:t>五、增敏化学发光免疫分析仪项目选址可行性分析</w:t>
      </w:r>
      <w:bookmarkEnd w:id="16"/>
    </w:p>
    <w:p>
      <w:pPr>
        <w:pStyle w:val="Heading2"/>
        <w:rPr>
          <w:rFonts w:ascii="仿宋" w:eastAsia="仿宋" w:hAnsi="仿宋" w:cs="仿宋" w:hint="eastAsia"/>
          <w:lang w:eastAsia="zh-CN"/>
        </w:rPr>
      </w:pPr>
      <w:bookmarkStart w:id="17" w:name="_Toc21415"/>
      <w:r>
        <w:rPr>
          <w:rFonts w:ascii="仿宋" w:eastAsia="仿宋" w:hAnsi="仿宋" w:cs="仿宋" w:hint="eastAsia"/>
          <w:lang w:eastAsia="zh-CN"/>
        </w:rPr>
        <w:t>(一)、增敏化学发光免疫分析仪项目选址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该增敏化学发光免疫分析仪项目选址位于XX省XX市XX区XXX街道</w:t>
      </w:r>
    </w:p>
    <w:p>
      <w:pPr>
        <w:pStyle w:val="Heading2"/>
        <w:ind w:firstLine="560" w:firstLineChars="200"/>
        <w:rPr>
          <w:rFonts w:ascii="仿宋" w:eastAsia="仿宋" w:hAnsi="仿宋" w:cs="仿宋" w:hint="eastAsia"/>
          <w:sz w:val="28"/>
          <w:lang w:eastAsia="zh-CN"/>
        </w:rPr>
      </w:pPr>
      <w:bookmarkStart w:id="18" w:name="_Toc2599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增敏化学发光免疫分析仪项目的征地面积将根据增敏化学发光免疫分析仪项目的实际规模和需求进行精确规划。具体面积XXX平方米，旨在确保增敏化学发光免疫分析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净用地面积是在征地面积基础上去除不可利用面积后的实际可开发用地。具体面积XXX平方米，考虑到环保、交通、安全等多方面因素，以确保增敏化学发光免疫分析仪项目在整体利用效率上达到最优。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增敏化学发光免疫分析仪项目计划建设的建筑总规模具体面积XXX平方米。这一规模的确定综合考虑了增敏化学发光免疫分析仪项目的性质、规模，以及城市规划的相关要求，确保建筑布局与周边环境协调一致。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绿地率是增敏化学发光免疫分析仪项目用地中被规划为绿地的比例。具体面积XXX平方米，旨在通过合理规划绿地，改善增敏化学发光免疫分析仪项目周边环境，提升居民生活质量，并符合城市整体绿化规划。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容积率是用地上可以建设的建筑总体积与用地面积之比。具体面积XXX，通过合理的容积率规划，确保增敏化学发光免疫分析仪项目建筑规模与周边环境和谐共生。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增敏化学发光免疫分析仪项目选址与当地城市规划相一致，具体面积XXX平方米。通过与城市规划部门深入沟通，确保增敏化学发光免疫分析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增敏化学发光免疫分析仪项目选址符合当地产业政策，具体面积XXX平方米。这包括增敏化学发光免疫分析仪项目对当地经济的促进作用，以及对相关产业的带动效应，确保增敏化学发光免疫分析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https://d.book118.com/517055054006006053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5F7A13"/>
    <w:rsid w:val="585F7A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55054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2024-03-03T14:30:00Z</dcterms:created>
  <dcterms:modified xsi:type="dcterms:W3CDTF">2024-03-03T14:30:31Z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49EEC496FB8F46399B83B9556CA82314_11</vt:lpwstr>
  </property>
  <property fmtid="{D5CDD505-2E9C-101B-9397-08002B2CF9AE}" pid="3" name="KSOProductBuildVer">
    <vt:lpwstr>2052-12.1.0.16388</vt:lpwstr>
  </property>
</Properties>
</file>