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图文电视制作和播出设备相关行业公司成立方案及可行性研究报告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4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_Toc4473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1" w:history="1">
        <w:r>
          <w:rPr>
            <w:rFonts w:ascii="仿宋" w:eastAsia="仿宋" w:hAnsi="仿宋" w:cs="仿宋" w:hint="eastAsia"/>
            <w:lang w:eastAsia="zh-CN"/>
          </w:rPr>
          <w:t>(七)、图文电视制作和播出设备项目建设必要性分析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_Toc9374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_Toc22938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(一)、图文电视制作和播出设备项目选址原则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(五)、图文电视制作和播出设备项目选址综合评价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_Toc32397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_Toc24265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_Toc17664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_Toc21159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_Toc16178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七、图文电视制作和播出设备项目风险分析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(一)、图文电视制作和播出设备项目风险分析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(二)、图文电视制作和播出设备项目风险对策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(五)、图文电视制作和播出设备项目总投资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(一)、图文电视制作和播出设备项目进度安排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(二)、图文电视制作和播出设备项目实施保障措施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_Toc30980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(二)、合作图文电视制作和播出设备项目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44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4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09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950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一、图文电视制作和播出设备行业分析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图文电视制作和播出设备行业规模及增长性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图文电视制作和播出设备行业代表品牌及对应公司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https://d.book118.com/517061064016006034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图文电视制作和播出设备相关行业公司成立方案及可行性研究报告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图文电视制作和播出设备相关行业公司成立方案及可行性研究报告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图文电视制作和播出设备相关行业公司成立方案及可行性研究报告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图文电视制作和播出设备相关行业公司成立方案及可行性研究报告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图文电视制作和播出设备相关行业公司成立方案及可行性研究报告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061064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2024-01-09T14:05:00Z</dcterms:created>
  <dcterms:modified xsi:type="dcterms:W3CDTF">2024-01-09T14:06:06Z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E6E403EF06A2407384EED4423AECB636_11</vt:lpwstr>
  </property>
  <property fmtid="{D5CDD505-2E9C-101B-9397-08002B2CF9AE}" pid="3" name="KSOProductBuildVer">
    <vt:lpwstr>2052-12.1.0.16120</vt:lpwstr>
  </property>
</Properties>
</file>