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6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3478530</wp:posOffset>
            </wp:positionH>
            <wp:positionV relativeFrom="paragraph">
              <wp:posOffset>159269</wp:posOffset>
            </wp:positionV>
            <wp:extent cx="1056132" cy="53568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56132" cy="535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41" w:line="207" w:lineRule="auto"/>
        <w:ind w:left="1942"/>
        <w:rPr>
          <w:sz w:val="33"/>
          <w:szCs w:val="33"/>
        </w:rPr>
      </w:pPr>
      <w:r>
        <w:rPr>
          <w:spacing w:val="8"/>
          <w:sz w:val="33"/>
          <w:szCs w:val="33"/>
        </w:rPr>
        <w:t>天津市工程建设标准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16" w:line="205" w:lineRule="auto"/>
        <w:ind w:left="4188" w:right="150" w:firstLine="9"/>
      </w:pPr>
      <w:r>
        <w:t>DB</w:t>
      </w:r>
      <w:r>
        <w:rPr>
          <w:spacing w:val="21"/>
        </w:rPr>
        <w:t>/T  29-260-2019</w:t>
      </w:r>
      <w:r>
        <w:rPr>
          <w:spacing w:val="13"/>
        </w:rPr>
        <w:t xml:space="preserve"> </w:t>
      </w:r>
      <w:r>
        <w:rPr>
          <w:spacing w:val="4"/>
        </w:rPr>
        <w:t>备案号：J14649-2019</w:t>
      </w:r>
    </w:p>
    <w:p>
      <w:pPr>
        <w:spacing w:line="25" w:lineRule="exact"/>
      </w:pPr>
      <w:r>
        <w:pict>
          <v:shape id="_x0000_i1025" style="width:356.75pt;height:1.25pt;mso-position-horizontal-relative:char;mso-position-vertical-relative:line" coordorigin="0,0" coordsize="7135,25" path="m,12l7134,12e" filled="f" strokecolor="black" strokeweight="1.25pt">
            <w10:wrap type="none"/>
          </v:shape>
        </w:pic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80" w:line="202" w:lineRule="auto"/>
        <w:ind w:left="720"/>
        <w:outlineLvl w:val="0"/>
        <w:rPr>
          <w:sz w:val="42"/>
          <w:szCs w:val="42"/>
        </w:rPr>
      </w:pPr>
      <w:r>
        <w:rPr>
          <w:spacing w:val="-2"/>
          <w:sz w:val="42"/>
          <w:szCs w:val="42"/>
        </w:rPr>
        <w:t>天津市建筑物移动通信基础设施</w:t>
      </w:r>
    </w:p>
    <w:p>
      <w:pPr>
        <w:pStyle w:val="BodyText"/>
        <w:spacing w:before="8" w:line="203" w:lineRule="auto"/>
        <w:ind w:left="2820"/>
        <w:outlineLvl w:val="0"/>
        <w:rPr>
          <w:sz w:val="42"/>
          <w:szCs w:val="42"/>
        </w:rPr>
      </w:pPr>
      <w:r>
        <w:rPr>
          <w:spacing w:val="-4"/>
          <w:sz w:val="42"/>
          <w:szCs w:val="42"/>
        </w:rPr>
        <w:t>建设标准</w:t>
      </w:r>
    </w:p>
    <w:p>
      <w:pPr>
        <w:pStyle w:val="BodyText"/>
        <w:spacing w:before="131" w:line="225" w:lineRule="auto"/>
        <w:ind w:left="566"/>
      </w:pPr>
      <w:r>
        <w:rPr>
          <w:spacing w:val="-11"/>
        </w:rPr>
        <w:t>Standard for construction of mobile communicati</w:t>
      </w:r>
      <w:r>
        <w:rPr>
          <w:spacing w:val="-12"/>
        </w:rPr>
        <w:t>on</w:t>
      </w:r>
    </w:p>
    <w:p>
      <w:pPr>
        <w:pStyle w:val="BodyText"/>
        <w:spacing w:before="124" w:line="192" w:lineRule="auto"/>
        <w:ind w:left="1502"/>
      </w:pPr>
      <w:r>
        <w:rPr>
          <w:spacing w:val="-11"/>
        </w:rPr>
        <w:t>infrastructure for buildings</w:t>
      </w:r>
      <w:r>
        <w:rPr>
          <w:spacing w:val="25"/>
        </w:rPr>
        <w:t xml:space="preserve"> </w:t>
      </w:r>
      <w:r>
        <w:rPr>
          <w:spacing w:val="-11"/>
        </w:rPr>
        <w:t>in Tianjin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pgSz w:w="7936" w:h="11511"/>
          <w:pgMar w:top="978" w:right="524" w:bottom="0" w:left="270" w:header="0" w:footer="0" w:gutter="0"/>
          <w:cols w:space="708"/>
        </w:sectPr>
      </w:pPr>
    </w:p>
    <w:p>
      <w:pPr>
        <w:pStyle w:val="BodyText"/>
        <w:spacing w:before="117" w:line="208" w:lineRule="auto"/>
        <w:ind w:left="341"/>
      </w:pPr>
      <w:r>
        <w:rPr>
          <w:spacing w:val="5"/>
        </w:rPr>
        <w:t>2019-04-26</w:t>
      </w:r>
      <w:r>
        <w:rPr>
          <w:spacing w:val="69"/>
        </w:rPr>
        <w:t xml:space="preserve"> </w:t>
      </w:r>
      <w:r>
        <w:rPr>
          <w:spacing w:val="5"/>
        </w:rPr>
        <w:t xml:space="preserve">发布                         </w:t>
      </w:r>
      <w:r>
        <w:rPr>
          <w:spacing w:val="4"/>
        </w:rPr>
        <w:t>2019-06-01  实施</w:t>
      </w:r>
    </w:p>
    <w:p>
      <w:pPr>
        <w:spacing w:before="139" w:line="30" w:lineRule="exact"/>
        <w:ind w:firstLine="7"/>
      </w:pPr>
      <w:r>
        <w:pict>
          <v:shape id="_x0000_i1026" style="width:356.75pt;height:1.5pt;mso-position-horizontal-relative:char;mso-position-vertical-relative:line" coordorigin="0,0" coordsize="7135,30" path="m,15l7134,15e" filled="f" strokecolor="black" strokeweight="1.5pt">
            <w10:wrap type="none"/>
          </v:shape>
        </w:pic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38" w:line="202" w:lineRule="auto"/>
        <w:ind w:left="1115"/>
        <w:rPr>
          <w:sz w:val="32"/>
          <w:szCs w:val="32"/>
        </w:rPr>
      </w:pPr>
      <w:r>
        <w:rPr>
          <w:spacing w:val="1"/>
          <w:sz w:val="32"/>
          <w:szCs w:val="32"/>
        </w:rPr>
        <w:t>天津市住房和城乡建设委员会   发布</w:t>
      </w:r>
    </w:p>
    <w:p>
      <w:pPr>
        <w:spacing w:line="202" w:lineRule="auto"/>
        <w:rPr>
          <w:sz w:val="32"/>
          <w:szCs w:val="32"/>
        </w:rPr>
        <w:sectPr>
          <w:type w:val="nextPage"/>
          <w:pgSz w:w="7936" w:h="11511"/>
          <w:pgMar w:top="978" w:right="524" w:bottom="0" w:left="270" w:header="0" w:footer="0" w:gutter="0"/>
          <w:pgNumType w:start="2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16" w:line="208" w:lineRule="auto"/>
        <w:ind w:left="2717"/>
      </w:pPr>
      <w:r>
        <w:rPr>
          <w:spacing w:val="8"/>
        </w:rPr>
        <w:t>天津市工程建设标准</w:t>
      </w:r>
    </w:p>
    <w:p>
      <w:pPr>
        <w:spacing w:line="450" w:lineRule="auto"/>
        <w:rPr>
          <w:rFonts w:ascii="Arial"/>
          <w:sz w:val="21"/>
        </w:rPr>
      </w:pPr>
    </w:p>
    <w:p>
      <w:pPr>
        <w:pStyle w:val="BodyText"/>
        <w:spacing w:before="129" w:line="197" w:lineRule="auto"/>
        <w:ind w:left="1278"/>
        <w:outlineLvl w:val="0"/>
        <w:rPr>
          <w:sz w:val="30"/>
          <w:szCs w:val="30"/>
        </w:rPr>
      </w:pPr>
      <w:r>
        <w:rPr>
          <w:spacing w:val="-1"/>
          <w:sz w:val="30"/>
          <w:szCs w:val="30"/>
        </w:rPr>
        <w:t>天津市建筑物移动通信基础设施建设标准</w:t>
      </w:r>
    </w:p>
    <w:p>
      <w:pPr>
        <w:spacing w:line="319" w:lineRule="exact"/>
        <w:ind w:left="127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1"/>
          <w:sz w:val="24"/>
          <w:szCs w:val="24"/>
        </w:rPr>
        <w:t>Standard for construction of mobile 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ommunication</w:t>
      </w:r>
    </w:p>
    <w:p>
      <w:pPr>
        <w:spacing w:before="62" w:line="319" w:lineRule="exact"/>
        <w:ind w:left="208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position w:val="3"/>
          <w:sz w:val="24"/>
          <w:szCs w:val="24"/>
        </w:rPr>
        <w:t>infrastructure for buildings</w:t>
      </w:r>
      <w:r>
        <w:rPr>
          <w:rFonts w:ascii="Arial" w:eastAsia="Arial" w:hAnsi="Arial" w:cs="Arial"/>
          <w:spacing w:val="20"/>
          <w:position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3"/>
          <w:sz w:val="24"/>
          <w:szCs w:val="24"/>
        </w:rPr>
        <w:t>in Tianjin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69" w:line="196" w:lineRule="auto"/>
        <w:ind w:left="303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2"/>
          <w:sz w:val="24"/>
          <w:szCs w:val="24"/>
        </w:rPr>
        <w:t>DB/T29-260-2019</w:t>
      </w:r>
    </w:p>
    <w:p>
      <w:pPr>
        <w:spacing w:before="158" w:line="194" w:lineRule="auto"/>
        <w:ind w:left="3272"/>
        <w:outlineLvl w:val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J14649-2019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69" w:line="220" w:lineRule="auto"/>
        <w:ind w:left="19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主编单位：天津市通信管理局</w:t>
      </w:r>
    </w:p>
    <w:p>
      <w:pPr>
        <w:spacing w:before="132" w:line="220" w:lineRule="auto"/>
        <w:ind w:left="19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参编单位：天津市工业和信息化局</w:t>
      </w:r>
    </w:p>
    <w:p>
      <w:pPr>
        <w:spacing w:before="130" w:line="220" w:lineRule="auto"/>
        <w:ind w:left="30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中国铁塔股份有限公司天津市分公司</w:t>
      </w:r>
    </w:p>
    <w:p>
      <w:pPr>
        <w:spacing w:before="131" w:line="220" w:lineRule="auto"/>
        <w:ind w:left="29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广东省电信规划设计院有限公司</w:t>
      </w:r>
    </w:p>
    <w:p>
      <w:pPr>
        <w:spacing w:before="129" w:line="220" w:lineRule="auto"/>
        <w:ind w:left="194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批准部门：天津市住房和城乡建设委员会</w:t>
      </w:r>
    </w:p>
    <w:p>
      <w:pPr>
        <w:spacing w:before="132" w:line="220" w:lineRule="auto"/>
        <w:ind w:left="19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实施日期：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2019 </w:t>
      </w:r>
      <w:r>
        <w:rPr>
          <w:rFonts w:ascii="SimSun" w:eastAsia="SimSun" w:hAnsi="SimSun" w:cs="SimSun"/>
          <w:spacing w:val="-5"/>
          <w:sz w:val="21"/>
          <w:szCs w:val="21"/>
        </w:rPr>
        <w:t>年</w:t>
      </w:r>
      <w:r>
        <w:rPr>
          <w:rFonts w:ascii="SimSun" w:eastAsia="SimSun" w:hAnsi="SimSun" w:cs="SimSun"/>
          <w:spacing w:val="-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月</w:t>
      </w:r>
      <w:r>
        <w:rPr>
          <w:rFonts w:ascii="SimSun" w:eastAsia="SimSun" w:hAnsi="SimSun" w:cs="SimSun"/>
          <w:spacing w:val="-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1  </w:t>
      </w:r>
      <w:r>
        <w:rPr>
          <w:rFonts w:ascii="SimSun" w:eastAsia="SimSun" w:hAnsi="SimSun" w:cs="SimSun"/>
          <w:spacing w:val="-5"/>
          <w:sz w:val="21"/>
          <w:szCs w:val="21"/>
        </w:rPr>
        <w:t>日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  <w:sectPr>
          <w:headerReference w:type="default" r:id="rId5"/>
          <w:pgSz w:w="7936" w:h="11511"/>
          <w:pgMar w:top="400" w:right="0" w:bottom="0" w:left="0" w:header="0" w:footer="0" w:gutter="0"/>
          <w:pgNumType w:start="3"/>
          <w:cols w:space="708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204" w:lineRule="auto"/>
        <w:ind w:left="3471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2019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天</w:t>
      </w:r>
      <w:r>
        <w:rPr>
          <w:spacing w:val="53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津</w:t>
      </w:r>
    </w:p>
    <w:p>
      <w:pPr>
        <w:spacing w:line="204" w:lineRule="auto"/>
        <w:rPr>
          <w:sz w:val="21"/>
          <w:szCs w:val="21"/>
        </w:rPr>
        <w:sectPr>
          <w:headerReference w:type="default" r:id="rId6"/>
          <w:type w:val="nextPage"/>
          <w:pgSz w:w="7936" w:h="11511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54" w:line="200" w:lineRule="auto"/>
        <w:ind w:left="1277"/>
        <w:outlineLvl w:val="0"/>
        <w:rPr>
          <w:sz w:val="36"/>
          <w:szCs w:val="36"/>
        </w:rPr>
      </w:pPr>
      <w:r>
        <w:rPr>
          <w:spacing w:val="-1"/>
          <w:sz w:val="36"/>
          <w:szCs w:val="36"/>
        </w:rPr>
        <w:t>天津市住房和城乡建设委员会文件</w:t>
      </w:r>
    </w:p>
    <w:p>
      <w:pPr>
        <w:spacing w:before="247" w:line="220" w:lineRule="auto"/>
        <w:ind w:left="300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津住建设[2019]23</w:t>
      </w:r>
      <w:r>
        <w:rPr>
          <w:rFonts w:ascii="SimSun" w:eastAsia="SimSun" w:hAnsi="SimSun" w:cs="SimSun"/>
          <w:spacing w:val="-3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号</w:t>
      </w:r>
    </w:p>
    <w:p>
      <w:pPr>
        <w:pStyle w:val="BodyText"/>
        <w:spacing w:before="301" w:line="206" w:lineRule="auto"/>
        <w:ind w:left="1741"/>
        <w:outlineLvl w:val="0"/>
      </w:pPr>
      <w:r>
        <w:rPr>
          <w:spacing w:val="8"/>
        </w:rPr>
        <w:t>市住房城乡建设委关于发布《天津市</w:t>
      </w:r>
    </w:p>
    <w:p>
      <w:pPr>
        <w:pStyle w:val="BodyText"/>
        <w:spacing w:before="121" w:line="205" w:lineRule="auto"/>
        <w:ind w:left="1317"/>
        <w:outlineLvl w:val="0"/>
      </w:pPr>
      <w:r>
        <w:rPr>
          <w:spacing w:val="9"/>
        </w:rPr>
        <w:t>建筑物移动通信基础设施建设标准》的通知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69" w:line="221" w:lineRule="auto"/>
        <w:ind w:left="97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各有关单位：</w:t>
      </w:r>
    </w:p>
    <w:p>
      <w:pPr>
        <w:spacing w:before="85" w:line="295" w:lineRule="auto"/>
        <w:ind w:left="969" w:right="962" w:firstLine="42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根据《市建委关于下达</w:t>
      </w:r>
      <w:r>
        <w:rPr>
          <w:rFonts w:ascii="SimSun" w:eastAsia="SimSun" w:hAnsi="SimSun" w:cs="SimSu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2018</w:t>
      </w:r>
      <w:r>
        <w:rPr>
          <w:rFonts w:ascii="SimSun" w:eastAsia="SimSun" w:hAnsi="SimSun" w:cs="SimSun"/>
          <w:spacing w:val="-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年天津市建设系统工程建设地方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标准编制计划的通知》（津建设[2017]520 号）要求，天津市通信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管理局等单位编制完成了《天津市建筑物移</w:t>
      </w:r>
      <w:r>
        <w:rPr>
          <w:rFonts w:ascii="SimSun" w:eastAsia="SimSun" w:hAnsi="SimSun" w:cs="SimSun"/>
          <w:spacing w:val="-4"/>
          <w:sz w:val="21"/>
          <w:szCs w:val="21"/>
        </w:rPr>
        <w:t>动通信基础设施建设标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准》。经市住房城乡建设委组织专家评审通过，现批准为天津市工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程建设地方标准，编号为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DB/T29-260-2019，自</w:t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2019</w:t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年</w:t>
      </w:r>
      <w:r>
        <w:rPr>
          <w:rFonts w:ascii="SimSun" w:eastAsia="SimSun" w:hAnsi="SimSun" w:cs="SimSun"/>
          <w:spacing w:val="-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6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月 1 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起实施。</w:t>
      </w:r>
    </w:p>
    <w:p>
      <w:pPr>
        <w:spacing w:before="30" w:line="285" w:lineRule="auto"/>
        <w:ind w:left="975" w:right="964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各相关单位在实施过程中如有意见和建议，请及时反馈给天津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市通信管理局。</w:t>
      </w:r>
    </w:p>
    <w:p>
      <w:pPr>
        <w:spacing w:before="32" w:line="285" w:lineRule="auto"/>
        <w:ind w:left="974" w:right="964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本标准由天津市住房和城乡建设委员会负责管理，天津市通信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管理局负责具体技术内容的解释。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9" w:lineRule="auto"/>
        <w:ind w:left="4935" w:right="963" w:hanging="68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天津市住房和城乡建设委员会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2019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年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4</w:t>
      </w:r>
      <w:r>
        <w:rPr>
          <w:rFonts w:ascii="SimSun" w:eastAsia="SimSun" w:hAnsi="SimSun" w:cs="SimSun"/>
          <w:spacing w:val="-3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月</w:t>
      </w:r>
      <w:r>
        <w:rPr>
          <w:rFonts w:ascii="SimSun" w:eastAsia="SimSun" w:hAnsi="SimSun" w:cs="SimSun"/>
          <w:spacing w:val="-4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26 日</w:t>
      </w:r>
    </w:p>
    <w:p>
      <w:pPr>
        <w:spacing w:line="22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7"/>
          <w:pgSz w:w="7936" w:h="11511"/>
          <w:pgMar w:top="400" w:right="0" w:bottom="0" w:left="0" w:header="0" w:footer="0" w:gutter="0"/>
          <w:pgNumType w:start="5"/>
          <w:cols w:space="708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16" w:line="209" w:lineRule="auto"/>
        <w:ind w:left="3557"/>
        <w:outlineLvl w:val="0"/>
      </w:pPr>
      <w:r>
        <w:rPr>
          <w:spacing w:val="-2"/>
        </w:rPr>
        <w:t>前</w:t>
      </w:r>
      <w:r>
        <w:rPr>
          <w:spacing w:val="19"/>
        </w:rPr>
        <w:t xml:space="preserve">   </w:t>
      </w:r>
      <w:r>
        <w:rPr>
          <w:spacing w:val="-2"/>
        </w:rPr>
        <w:t>言</w:t>
      </w:r>
    </w:p>
    <w:p>
      <w:pPr>
        <w:spacing w:before="194" w:line="257" w:lineRule="auto"/>
        <w:ind w:left="971" w:right="904" w:firstLine="435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根据《市建委关于下达2018年天津市建设系统工程建设地方标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准编制计划的通知》（津建设〔2017〕520号）</w:t>
      </w:r>
      <w:r>
        <w:rPr>
          <w:rFonts w:ascii="SimSun" w:eastAsia="SimSun" w:hAnsi="SimSun" w:cs="SimSun"/>
          <w:spacing w:val="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的要求，标准编制组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经广泛调查研究，认真总结实践经验，并在广泛征求意见的基础上，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编制本标准。</w:t>
      </w:r>
    </w:p>
    <w:p>
      <w:pPr>
        <w:spacing w:before="31" w:line="250" w:lineRule="auto"/>
        <w:ind w:left="969" w:right="964" w:firstLine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本标准的主要技术内容：1.总则；2.术语；3.基本规定；4.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通信机房；5.通信电源；6.通信管线；7.</w:t>
      </w:r>
      <w:r>
        <w:rPr>
          <w:rFonts w:ascii="SimSun" w:eastAsia="SimSun" w:hAnsi="SimSun" w:cs="SimSun"/>
          <w:spacing w:val="-1"/>
          <w:sz w:val="21"/>
          <w:szCs w:val="21"/>
        </w:rPr>
        <w:t>屋面设施；8.验收。</w:t>
      </w:r>
    </w:p>
    <w:p>
      <w:pPr>
        <w:spacing w:before="31" w:line="257" w:lineRule="auto"/>
        <w:ind w:left="969" w:right="962" w:firstLine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本标准由天津市住房和城乡建设委员会负责管理，天津市通信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管理局负责具体技术内容的解释。执行过程中如有意</w:t>
      </w:r>
      <w:r>
        <w:rPr>
          <w:rFonts w:ascii="SimSun" w:eastAsia="SimSun" w:hAnsi="SimSun" w:cs="SimSun"/>
          <w:spacing w:val="-6"/>
          <w:sz w:val="21"/>
          <w:szCs w:val="21"/>
        </w:rPr>
        <w:t>见或建议，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寄至天津市通信管理局（地址：天津市南开区南门外大街386号盛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欣园A座，邮编：300100）。</w:t>
      </w:r>
    </w:p>
    <w:p>
      <w:pPr>
        <w:pStyle w:val="BodyText"/>
        <w:spacing w:before="190" w:line="203" w:lineRule="auto"/>
        <w:ind w:left="1402"/>
        <w:rPr>
          <w:rFonts w:ascii="SimSun" w:eastAsia="SimSun" w:hAnsi="SimSun" w:cs="SimSun"/>
          <w:sz w:val="21"/>
          <w:szCs w:val="21"/>
        </w:rPr>
      </w:pPr>
      <w:r>
        <w:rPr>
          <w:spacing w:val="-3"/>
          <w:sz w:val="21"/>
          <w:szCs w:val="21"/>
        </w:rPr>
        <w:t>本 标</w:t>
      </w:r>
      <w:r>
        <w:rPr>
          <w:spacing w:val="33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准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主 编</w:t>
      </w:r>
      <w:r>
        <w:rPr>
          <w:spacing w:val="1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单</w:t>
      </w:r>
      <w:r>
        <w:rPr>
          <w:spacing w:val="1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位：</w:t>
      </w:r>
      <w:r>
        <w:rPr>
          <w:rFonts w:ascii="SimSun" w:eastAsia="SimSun" w:hAnsi="SimSun" w:cs="SimSun"/>
          <w:spacing w:val="-3"/>
          <w:sz w:val="21"/>
          <w:szCs w:val="21"/>
        </w:rPr>
        <w:t>天津市通信管理局</w:t>
      </w:r>
    </w:p>
    <w:p>
      <w:pPr>
        <w:pStyle w:val="BodyText"/>
        <w:spacing w:before="91" w:line="202" w:lineRule="auto"/>
        <w:ind w:left="1402"/>
        <w:rPr>
          <w:rFonts w:ascii="SimSun" w:eastAsia="SimSun" w:hAnsi="SimSun" w:cs="SimSun"/>
          <w:sz w:val="21"/>
          <w:szCs w:val="21"/>
        </w:rPr>
      </w:pPr>
      <w:r>
        <w:rPr>
          <w:spacing w:val="-2"/>
          <w:sz w:val="21"/>
          <w:szCs w:val="21"/>
        </w:rPr>
        <w:t>本 标</w:t>
      </w:r>
      <w:r>
        <w:rPr>
          <w:spacing w:val="2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准 参</w:t>
      </w:r>
      <w:r>
        <w:rPr>
          <w:spacing w:val="1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编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单</w:t>
      </w:r>
      <w:r>
        <w:rPr>
          <w:spacing w:val="1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位：</w:t>
      </w:r>
      <w:r>
        <w:rPr>
          <w:rFonts w:ascii="SimSun" w:eastAsia="SimSun" w:hAnsi="SimSun" w:cs="SimSun"/>
          <w:spacing w:val="-2"/>
          <w:sz w:val="21"/>
          <w:szCs w:val="21"/>
        </w:rPr>
        <w:t>天津市工业和信息化局</w:t>
      </w:r>
    </w:p>
    <w:p>
      <w:pPr>
        <w:spacing w:before="25" w:line="268" w:lineRule="auto"/>
        <w:ind w:left="3503" w:right="1080" w:firstLine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中国铁塔股份有限公司天津市分公司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广东省电信规划设计院有限公司</w:t>
      </w:r>
    </w:p>
    <w:p>
      <w:pPr>
        <w:pStyle w:val="BodyText"/>
        <w:spacing w:before="97" w:line="245" w:lineRule="auto"/>
        <w:ind w:left="3490" w:right="1304" w:hanging="2132"/>
        <w:rPr>
          <w:rFonts w:ascii="SimSun" w:eastAsia="SimSun" w:hAnsi="SimSun" w:cs="SimSun"/>
          <w:sz w:val="21"/>
          <w:szCs w:val="21"/>
        </w:rPr>
      </w:pPr>
      <w:r>
        <w:rPr>
          <w:spacing w:val="-2"/>
          <w:sz w:val="21"/>
          <w:szCs w:val="21"/>
        </w:rPr>
        <w:t>本标准主要起草人员：</w:t>
      </w:r>
      <w:r>
        <w:rPr>
          <w:rFonts w:ascii="SimSun" w:eastAsia="SimSun" w:hAnsi="SimSun" w:cs="SimSun"/>
          <w:spacing w:val="-2"/>
          <w:sz w:val="21"/>
          <w:szCs w:val="21"/>
        </w:rPr>
        <w:t>刘  琳  郝  晨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高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君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张博伟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曲华维  周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湘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涂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进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林佳森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许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洋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许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翔</w:t>
      </w:r>
    </w:p>
    <w:p>
      <w:pPr>
        <w:pStyle w:val="BodyText"/>
        <w:spacing w:before="113" w:line="254" w:lineRule="auto"/>
        <w:ind w:left="3489" w:right="1302" w:hanging="2131"/>
        <w:rPr>
          <w:rFonts w:ascii="SimSun" w:eastAsia="SimSun" w:hAnsi="SimSun" w:cs="SimSun"/>
          <w:sz w:val="21"/>
          <w:szCs w:val="21"/>
        </w:rPr>
      </w:pPr>
      <w:r>
        <w:rPr>
          <w:sz w:val="21"/>
          <w:szCs w:val="21"/>
        </w:rPr>
        <w:t>本标准主要审查人员：</w:t>
      </w:r>
      <w:r>
        <w:rPr>
          <w:rFonts w:ascii="SimSun" w:eastAsia="SimSun" w:hAnsi="SimSun" w:cs="SimSun"/>
          <w:sz w:val="21"/>
          <w:szCs w:val="21"/>
        </w:rPr>
        <w:t xml:space="preserve">刘祖玲  王东林  丁永君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尹桂旭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杜春礼  李炎兵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沈春来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王连顺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侯建成  王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勇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汤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芃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张建华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于海阔</w:t>
      </w:r>
    </w:p>
    <w:p>
      <w:pPr>
        <w:spacing w:line="254" w:lineRule="auto"/>
        <w:rPr>
          <w:rFonts w:ascii="SimSun" w:eastAsia="SimSun" w:hAnsi="SimSun" w:cs="SimSun"/>
          <w:sz w:val="21"/>
          <w:szCs w:val="21"/>
        </w:rPr>
        <w:sectPr>
          <w:headerReference w:type="default" r:id="rId8"/>
          <w:pgSz w:w="7936" w:h="11511"/>
          <w:pgMar w:top="400" w:right="0" w:bottom="0" w:left="0" w:header="0" w:footer="0" w:gutter="0"/>
          <w:pgNumType w:start="6"/>
          <w:cols w:space="708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sdt>
      <w:sdtPr>
        <w:rPr>
          <w:rFonts w:ascii="STFangsong" w:eastAsia="STFangsong" w:hAnsi="STFangsong" w:cs="STFangsong"/>
          <w:sz w:val="27"/>
          <w:szCs w:val="27"/>
        </w:rPr>
        <w:id w:val="209659368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99" w:line="204" w:lineRule="auto"/>
            <w:ind w:left="3621"/>
            <w:rPr>
              <w:rFonts w:ascii="STFangsong" w:eastAsia="STFangsong" w:hAnsi="STFangsong" w:cs="STFangsong"/>
              <w:sz w:val="27"/>
              <w:szCs w:val="27"/>
            </w:rPr>
          </w:pPr>
          <w:bookmarkStart w:id="0" w:name="bookmark1"/>
          <w:bookmarkEnd w:id="0"/>
          <w:r>
            <w:rPr>
              <w:rFonts w:ascii="STFangsong" w:eastAsia="STFangsong" w:hAnsi="STFangsong" w:cs="STFangsong"/>
              <w:spacing w:val="-15"/>
              <w:sz w:val="27"/>
              <w:szCs w:val="27"/>
            </w:rPr>
            <w:t>目     次</w:t>
          </w:r>
        </w:p>
        <w:p>
          <w:pPr>
            <w:tabs>
              <w:tab w:val="right" w:leader="dot" w:pos="6845"/>
            </w:tabs>
            <w:spacing w:before="167" w:line="221" w:lineRule="auto"/>
            <w:ind w:left="1111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" w:name="bookmark2"/>
          <w:bookmarkEnd w:id="1"/>
          <w:hyperlink w:anchor="bookmark2" w:history="1">
            <w:r>
              <w:rPr>
                <w:rFonts w:ascii="Times New Roman" w:eastAsia="Times New Roman" w:hAnsi="Times New Roman" w:cs="Times New Roman"/>
                <w:spacing w:val="-12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总则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6845"/>
            </w:tabs>
            <w:spacing w:before="156" w:line="220" w:lineRule="auto"/>
            <w:ind w:left="1090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" w:name="bookmark3"/>
          <w:bookmarkEnd w:id="2"/>
          <w:hyperlink w:anchor="bookmark3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术语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6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6845"/>
            </w:tabs>
            <w:spacing w:before="158" w:line="220" w:lineRule="auto"/>
            <w:ind w:left="109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3" w:name="bookmark4"/>
          <w:bookmarkEnd w:id="3"/>
          <w:hyperlink w:anchor="bookmark4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基本规定</w:t>
            </w:r>
            <w:r>
              <w:rPr>
                <w:rFonts w:ascii="SimSun" w:eastAsia="SimSun" w:hAnsi="SimSun" w:cs="SimSun"/>
                <w:spacing w:val="-6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6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6845"/>
            </w:tabs>
            <w:spacing w:before="157" w:line="220" w:lineRule="auto"/>
            <w:ind w:left="1089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通信机房</w:t>
            </w:r>
            <w:r>
              <w:rPr>
                <w:rFonts w:ascii="SimSun" w:eastAsia="SimSun" w:hAnsi="SimSun" w:cs="SimSun"/>
                <w:spacing w:val="-6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5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6845"/>
            </w:tabs>
            <w:spacing w:before="167" w:line="207" w:lineRule="auto"/>
            <w:ind w:left="1449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" w:history="1"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4.1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 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一般规定</w:t>
            </w:r>
            <w:r>
              <w:rPr>
                <w:rFonts w:ascii="SimSun" w:eastAsia="SimSun" w:hAnsi="SimSun" w:cs="SimSun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ab/>
            </w:r>
            <w:r>
              <w:rPr>
                <w:rFonts w:ascii="SimSun" w:eastAsia="SimSun" w:hAnsi="SimSun" w:cs="SimSun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6845"/>
            </w:tabs>
            <w:spacing w:before="154" w:line="206" w:lineRule="auto"/>
            <w:ind w:left="1449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4" w:name="bookmark5"/>
          <w:bookmarkEnd w:id="4"/>
          <w:hyperlink w:anchor="bookmark5" w:history="1"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4.2  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基站机房</w:t>
            </w:r>
            <w:r>
              <w:rPr>
                <w:rFonts w:ascii="SimSun" w:eastAsia="SimSun" w:hAnsi="SimSun" w:cs="SimSun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ab/>
            </w:r>
            <w:r>
              <w:rPr>
                <w:rFonts w:ascii="SimSun" w:eastAsia="SimSun" w:hAnsi="SimSun" w:cs="SimSun"/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6845"/>
            </w:tabs>
            <w:spacing w:before="154" w:line="206" w:lineRule="auto"/>
            <w:ind w:left="1449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5" w:name="bookmark6"/>
          <w:bookmarkEnd w:id="5"/>
          <w:hyperlink w:anchor="bookmark6" w:history="1"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4.3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 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室分机房</w:t>
            </w:r>
            <w:r>
              <w:rPr>
                <w:rFonts w:ascii="SimSun" w:eastAsia="SimSun" w:hAnsi="SimSun" w:cs="SimSun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ab/>
            </w:r>
            <w:r>
              <w:rPr>
                <w:rFonts w:ascii="SimSun" w:eastAsia="SimSun" w:hAnsi="SimSun" w:cs="SimSun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6845"/>
            </w:tabs>
            <w:spacing w:before="146" w:line="220" w:lineRule="auto"/>
            <w:ind w:left="1096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6" w:name="bookmark7"/>
          <w:bookmarkEnd w:id="6"/>
          <w:hyperlink w:anchor="bookmark7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通信电源</w:t>
            </w:r>
            <w:r>
              <w:rPr>
                <w:rFonts w:ascii="SimSun" w:eastAsia="SimSun" w:hAnsi="SimSun" w:cs="SimSun"/>
                <w:spacing w:val="-6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5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6845"/>
            </w:tabs>
            <w:spacing w:before="168" w:line="209" w:lineRule="auto"/>
            <w:ind w:left="145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7" w:name="bookmark8"/>
          <w:bookmarkEnd w:id="7"/>
          <w:hyperlink w:anchor="bookmark8" w:history="1"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5.1</w:t>
            </w:r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 xml:space="preserve">   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电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源</w:t>
            </w:r>
            <w:r>
              <w:rPr>
                <w:rFonts w:ascii="SimSun" w:eastAsia="SimSun" w:hAnsi="SimSun" w:cs="SimSun"/>
                <w:spacing w:val="-5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ab/>
            </w:r>
            <w:r>
              <w:rPr>
                <w:rFonts w:ascii="SimSun" w:eastAsia="SimSun" w:hAnsi="SimSun" w:cs="SimSun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6845"/>
            </w:tabs>
            <w:spacing w:before="151" w:line="208" w:lineRule="auto"/>
            <w:ind w:left="145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8" w:name="bookmark9"/>
          <w:bookmarkEnd w:id="8"/>
          <w:hyperlink w:anchor="bookmark9" w:history="1"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5.2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  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配电设备</w:t>
            </w:r>
            <w:r>
              <w:rPr>
                <w:rFonts w:ascii="SimSun" w:eastAsia="SimSun" w:hAnsi="SimSun" w:cs="SimSun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ab/>
            </w:r>
            <w:r>
              <w:rPr>
                <w:rFonts w:ascii="SimSun" w:eastAsia="SimSun" w:hAnsi="SimSun" w:cs="SimSun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6845"/>
            </w:tabs>
            <w:spacing w:before="153" w:line="207" w:lineRule="auto"/>
            <w:ind w:left="145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9" w:name="bookmark10"/>
          <w:bookmarkEnd w:id="9"/>
          <w:hyperlink w:anchor="bookmark10" w:history="1"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5.3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  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配电电缆</w:t>
            </w:r>
            <w:r>
              <w:rPr>
                <w:rFonts w:ascii="SimSun" w:eastAsia="SimSun" w:hAnsi="SimSun" w:cs="SimSun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ab/>
            </w:r>
            <w:r>
              <w:rPr>
                <w:rFonts w:ascii="SimSun" w:eastAsia="SimSun" w:hAnsi="SimSun" w:cs="SimSun"/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6845"/>
            </w:tabs>
            <w:spacing w:before="145" w:line="220" w:lineRule="auto"/>
            <w:ind w:left="109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0" w:name="bookmark11"/>
          <w:bookmarkEnd w:id="10"/>
          <w:hyperlink w:anchor="bookmark11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通信管线</w:t>
            </w:r>
            <w:r>
              <w:rPr>
                <w:rFonts w:ascii="SimSun" w:eastAsia="SimSun" w:hAnsi="SimSun" w:cs="SimSun"/>
                <w:spacing w:val="-6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6845"/>
            </w:tabs>
            <w:spacing w:before="157" w:line="221" w:lineRule="auto"/>
            <w:ind w:left="1094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1" w:name="bookmark12"/>
          <w:bookmarkEnd w:id="11"/>
          <w:hyperlink w:anchor="bookmark12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屋面设施</w:t>
            </w:r>
            <w:r>
              <w:rPr>
                <w:rFonts w:ascii="SimSun" w:eastAsia="SimSun" w:hAnsi="SimSun" w:cs="SimSun"/>
                <w:spacing w:val="-6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6845"/>
            </w:tabs>
            <w:spacing w:before="158" w:line="220" w:lineRule="auto"/>
            <w:ind w:left="1099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2" w:name="bookmark13"/>
          <w:bookmarkEnd w:id="12"/>
          <w:hyperlink w:anchor="bookmark13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验收</w:t>
            </w:r>
            <w:r>
              <w:rPr>
                <w:rFonts w:ascii="SimSun" w:eastAsia="SimSun" w:hAnsi="SimSun" w:cs="SimSun"/>
                <w:spacing w:val="-6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6845"/>
            </w:tabs>
            <w:spacing w:before="157" w:line="220" w:lineRule="auto"/>
            <w:ind w:left="109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3" w:name="bookmark14"/>
          <w:bookmarkEnd w:id="13"/>
          <w:hyperlink w:anchor="bookmark14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本标准用词说明</w:t>
            </w:r>
            <w:r>
              <w:rPr>
                <w:rFonts w:ascii="SimSun" w:eastAsia="SimSun" w:hAnsi="SimSun" w:cs="SimSun"/>
                <w:spacing w:val="-5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6845"/>
            </w:tabs>
            <w:spacing w:before="160" w:line="221" w:lineRule="auto"/>
            <w:ind w:left="1110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4" w:name="bookmark15"/>
          <w:bookmarkEnd w:id="14"/>
          <w:hyperlink w:anchor="bookmark15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引用标准名录</w:t>
            </w:r>
            <w:r>
              <w:rPr>
                <w:rFonts w:ascii="SimSun" w:eastAsia="SimSun" w:hAnsi="SimSun" w:cs="SimSun"/>
                <w:spacing w:val="-6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6845"/>
            </w:tabs>
            <w:spacing w:before="157" w:line="220" w:lineRule="auto"/>
            <w:ind w:left="1096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5" w:name="bookmark16"/>
          <w:bookmarkEnd w:id="15"/>
          <w:hyperlink w:anchor="bookmark16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条文说明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17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9"/>
          <w:pgSz w:w="7936" w:h="11511"/>
          <w:pgMar w:top="400" w:right="0" w:bottom="0" w:left="0" w:header="0" w:footer="0" w:gutter="0"/>
          <w:pgNumType w:start="7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sdt>
      <w:sdtPr>
        <w:rPr>
          <w:rFonts w:ascii="Times New Roman" w:eastAsia="Times New Roman" w:hAnsi="Times New Roman" w:cs="Times New Roman"/>
          <w:sz w:val="27"/>
          <w:szCs w:val="27"/>
        </w:rPr>
        <w:id w:val="145687243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position w:val="1"/>
          <w:sz w:val="21"/>
          <w:szCs w:val="21"/>
        </w:rPr>
      </w:sdtEndPr>
      <w:sdtContent>
        <w:p>
          <w:pPr>
            <w:spacing w:before="78" w:line="191" w:lineRule="auto"/>
            <w:ind w:left="3478"/>
            <w:rPr>
              <w:rFonts w:ascii="Times New Roman" w:eastAsia="Times New Roman" w:hAnsi="Times New Roman" w:cs="Times New Roman"/>
              <w:sz w:val="27"/>
              <w:szCs w:val="27"/>
            </w:rPr>
          </w:pPr>
          <w:bookmarkStart w:id="16" w:name="bookmark17"/>
          <w:bookmarkEnd w:id="16"/>
          <w:r>
            <w:rPr>
              <w:rFonts w:ascii="Times New Roman" w:eastAsia="Times New Roman" w:hAnsi="Times New Roman" w:cs="Times New Roman"/>
              <w:spacing w:val="3"/>
              <w:sz w:val="27"/>
              <w:szCs w:val="27"/>
            </w:rPr>
            <w:t>Contents</w:t>
          </w:r>
        </w:p>
        <w:p>
          <w:pPr>
            <w:spacing w:line="42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6722"/>
            </w:tabs>
            <w:spacing w:before="60" w:line="276" w:lineRule="exact"/>
            <w:ind w:left="986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7" w:name="bookmark18"/>
          <w:bookmarkEnd w:id="17"/>
          <w:hyperlink w:anchor="bookmark18" w:history="1">
            <w:r>
              <w:rPr>
                <w:rFonts w:ascii="Times New Roman" w:eastAsia="Times New Roman" w:hAnsi="Times New Roman" w:cs="Times New Roman"/>
                <w:spacing w:val="-2"/>
                <w:position w:val="3"/>
                <w:sz w:val="21"/>
                <w:szCs w:val="21"/>
              </w:rPr>
              <w:t xml:space="preserve">1    General provisions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10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6720"/>
            </w:tabs>
            <w:spacing w:before="131" w:line="186" w:lineRule="auto"/>
            <w:ind w:left="966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8" w:name="bookmark19"/>
          <w:bookmarkEnd w:id="18"/>
          <w:hyperlink w:anchor="bookmark19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Terms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6722"/>
            </w:tabs>
            <w:spacing w:before="146" w:line="190" w:lineRule="auto"/>
            <w:ind w:left="970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9" w:name="bookmark20"/>
          <w:bookmarkEnd w:id="19"/>
          <w:hyperlink w:anchor="bookmark20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    Basic Requirement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6720"/>
            </w:tabs>
            <w:spacing w:before="81" w:line="276" w:lineRule="exact"/>
            <w:ind w:left="96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0" w:name="bookmark21"/>
          <w:bookmarkEnd w:id="20"/>
          <w:hyperlink w:anchor="bookmark21" w:history="1"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 xml:space="preserve">4    Communication equipment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21"/>
                <w:szCs w:val="21"/>
              </w:rPr>
              <w:t>room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24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6720"/>
            </w:tabs>
            <w:spacing w:before="135" w:line="183" w:lineRule="auto"/>
            <w:ind w:left="1299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1" w:name="bookmark22"/>
          <w:bookmarkEnd w:id="21"/>
          <w:hyperlink w:anchor="bookmark22" w:history="1"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4.1    General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6720"/>
            </w:tabs>
            <w:spacing w:before="111" w:line="280" w:lineRule="exact"/>
            <w:ind w:left="1299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7" w:history="1"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4.2    Base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station room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spacing w:val="-27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6720"/>
            </w:tabs>
            <w:spacing w:before="59" w:line="279" w:lineRule="exact"/>
            <w:ind w:left="1299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2" w:name="bookmark23"/>
          <w:bookmarkEnd w:id="22"/>
          <w:hyperlink w:anchor="bookmark23" w:history="1">
            <w:r>
              <w:rPr>
                <w:rFonts w:ascii="Times New Roman" w:eastAsia="Times New Roman" w:hAnsi="Times New Roman" w:cs="Times New Roman"/>
                <w:position w:val="2"/>
                <w:sz w:val="18"/>
                <w:szCs w:val="18"/>
              </w:rPr>
              <w:t>4.3    Indoor distributio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18"/>
                <w:szCs w:val="18"/>
              </w:rPr>
              <w:t xml:space="preserve">n room </w:t>
            </w:r>
            <w:r>
              <w:rPr>
                <w:rFonts w:ascii="Times New Roman" w:eastAsia="Times New Roman" w:hAnsi="Times New Roman" w:cs="Times New Roman"/>
                <w:position w:val="2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spacing w:val="8"/>
                <w:position w:val="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6720"/>
            </w:tabs>
            <w:spacing w:before="29" w:line="276" w:lineRule="exact"/>
            <w:ind w:left="971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3" w:name="bookmark24"/>
          <w:bookmarkEnd w:id="23"/>
          <w:hyperlink w:anchor="bookmark24" w:history="1"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5    Communication powe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21"/>
                <w:szCs w:val="21"/>
              </w:rPr>
              <w:t>r supply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21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6720"/>
            </w:tabs>
            <w:spacing w:before="92" w:line="242" w:lineRule="auto"/>
            <w:ind w:left="130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4" w:name="bookmark25"/>
          <w:bookmarkEnd w:id="24"/>
          <w:hyperlink w:anchor="bookmark25" w:history="1"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5.1    Power</w:t>
            </w:r>
            <w:r>
              <w:rPr>
                <w:rFonts w:ascii="Times New Roman" w:eastAsia="Times New Roman" w:hAnsi="Times New Roman" w:cs="Times New Roma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supply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6720"/>
            </w:tabs>
            <w:spacing w:before="94" w:line="242" w:lineRule="auto"/>
            <w:ind w:left="130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5" w:name="bookmark26"/>
          <w:bookmarkEnd w:id="25"/>
          <w:hyperlink w:anchor="bookmark26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5.2    Power distribution r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equirement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6720"/>
            </w:tabs>
            <w:spacing w:before="95" w:line="279" w:lineRule="exact"/>
            <w:ind w:left="130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6" w:name="bookmark27"/>
          <w:bookmarkEnd w:id="26"/>
          <w:hyperlink w:anchor="bookmark27" w:history="1"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5.3    Power distribution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cable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6720"/>
            </w:tabs>
            <w:spacing w:before="29" w:line="276" w:lineRule="exact"/>
            <w:ind w:left="970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7" w:name="bookmark28"/>
          <w:bookmarkEnd w:id="27"/>
          <w:hyperlink w:anchor="bookmark28" w:history="1"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1"/>
                <w:szCs w:val="21"/>
              </w:rPr>
              <w:t>6    Communication conduit</w:t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9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6722"/>
            </w:tabs>
            <w:spacing w:before="62" w:line="276" w:lineRule="exact"/>
            <w:ind w:left="969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8" w:name="bookmark29"/>
          <w:bookmarkEnd w:id="28"/>
          <w:hyperlink w:anchor="bookmark29" w:history="1"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1"/>
                <w:szCs w:val="21"/>
              </w:rPr>
              <w:t xml:space="preserve">7    </w:t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Roof</w:t>
            </w:r>
            <w:r>
              <w:rPr>
                <w:rFonts w:ascii="Times New Roman" w:eastAsia="Times New Roman" w:hAnsi="Times New Roman" w:cs="Times New Roman"/>
                <w:spacing w:val="-11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>facilities</w:t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position w:val="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6722"/>
            </w:tabs>
            <w:spacing w:before="131" w:line="186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29" w:name="bookmark30"/>
          <w:bookmarkEnd w:id="29"/>
          <w:hyperlink w:anchor="bookmark30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    Acceptance</w:t>
            </w:r>
            <w:r>
              <w:rPr>
                <w:rFonts w:ascii="Times New Roman" w:eastAsia="Times New Roman" w:hAnsi="Times New Roman" w:cs="Times New Roman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6722"/>
            </w:tabs>
            <w:spacing w:before="82" w:line="276" w:lineRule="exact"/>
            <w:ind w:left="966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30" w:name="bookmark31"/>
          <w:bookmarkEnd w:id="30"/>
          <w:hyperlink w:anchor="bookmark31" w:history="1"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Explanation</w:t>
            </w: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8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wording</w:t>
            </w: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this</w:t>
            </w:r>
            <w:r>
              <w:rPr>
                <w:rFonts w:ascii="Times New Roman" w:eastAsia="Times New Roman" w:hAnsi="Times New Roman" w:cs="Times New Roman"/>
                <w:spacing w:val="4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code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6720"/>
            </w:tabs>
            <w:spacing w:before="62" w:line="276" w:lineRule="exact"/>
            <w:ind w:left="965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31" w:name="bookmark32"/>
          <w:bookmarkEnd w:id="31"/>
          <w:hyperlink w:anchor="bookmark32" w:history="1"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List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4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quoted</w:t>
            </w: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standards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8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6722"/>
            </w:tabs>
            <w:spacing w:before="61" w:line="276" w:lineRule="exact"/>
            <w:ind w:left="966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32" w:name="bookmark33"/>
          <w:bookmarkEnd w:id="32"/>
          <w:hyperlink w:anchor="bookmark33" w:history="1">
            <w:r>
              <w:rPr>
                <w:rFonts w:ascii="Times New Roman" w:eastAsia="Times New Roman" w:hAnsi="Times New Roman" w:cs="Times New Roman"/>
                <w:spacing w:val="1"/>
                <w:position w:val="3"/>
                <w:sz w:val="21"/>
                <w:szCs w:val="21"/>
              </w:rPr>
              <w:t>Explanation of</w:t>
            </w:r>
            <w:r>
              <w:rPr>
                <w:rFonts w:ascii="Times New Roman" w:eastAsia="Times New Roman" w:hAnsi="Times New Roman" w:cs="Times New Roman"/>
                <w:spacing w:val="-22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3"/>
                <w:sz w:val="21"/>
                <w:szCs w:val="21"/>
              </w:rPr>
              <w:t>provi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>sions</w:t>
            </w:r>
            <w:r>
              <w:rPr>
                <w:rFonts w:ascii="Times New Roman" w:eastAsia="Times New Roman" w:hAnsi="Times New Roman" w:cs="Times New Roman"/>
                <w:position w:val="3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3"/>
                <w:sz w:val="21"/>
                <w:szCs w:val="21"/>
              </w:rPr>
              <w:t>17</w:t>
            </w:r>
          </w:hyperlink>
        </w:p>
      </w:sdtContent>
    </w:sdt>
    <w:p>
      <w:pPr>
        <w:spacing w:line="276" w:lineRule="exact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0"/>
          <w:pgSz w:w="7936" w:h="11511"/>
          <w:pgMar w:top="400" w:right="0" w:bottom="0" w:left="0" w:header="0" w:footer="0" w:gutter="0"/>
          <w:pgNumType w:start="8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5" w:lineRule="auto"/>
        <w:ind w:left="3352"/>
        <w:outlineLvl w:val="0"/>
        <w:rPr>
          <w:rFonts w:ascii="SimHei" w:eastAsia="SimHei" w:hAnsi="SimHei" w:cs="SimHei"/>
          <w:sz w:val="27"/>
          <w:szCs w:val="27"/>
        </w:rPr>
      </w:pPr>
      <w:bookmarkStart w:id="33" w:name="bookmark34"/>
      <w:bookmarkEnd w:id="33"/>
      <w:r>
        <w:rPr>
          <w:rFonts w:ascii="Times New Roman" w:eastAsia="Times New Roman" w:hAnsi="Times New Roman" w:cs="Times New Roman"/>
          <w:b/>
          <w:bCs/>
          <w:spacing w:val="-7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b/>
          <w:bCs/>
          <w:spacing w:val="6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-7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总</w:t>
      </w:r>
      <w:r>
        <w:rPr>
          <w:rFonts w:ascii="SimHei" w:eastAsia="SimHei" w:hAnsi="SimHei" w:cs="SimHei"/>
          <w:spacing w:val="15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-7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则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68" w:line="255" w:lineRule="auto"/>
        <w:ind w:left="968" w:right="963" w:firstLine="7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1.0.1    </w:t>
      </w:r>
      <w:r>
        <w:rPr>
          <w:rFonts w:ascii="SimSun" w:eastAsia="SimSun" w:hAnsi="SimSun" w:cs="SimSun"/>
          <w:spacing w:val="-3"/>
          <w:sz w:val="21"/>
          <w:szCs w:val="21"/>
        </w:rPr>
        <w:t>为了规范天津市公用移动通信网络建设，满足用户对通信业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务的需求，推动移动通信基础设施的共建共享，避免重复建设，促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进社会信息化的持续快速健康发展，制定本标准。</w:t>
      </w:r>
    </w:p>
    <w:p>
      <w:pPr>
        <w:spacing w:before="31" w:line="250" w:lineRule="auto"/>
        <w:ind w:left="969" w:right="964" w:firstLine="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1.0.2    </w:t>
      </w:r>
      <w:r>
        <w:rPr>
          <w:rFonts w:ascii="SimSun" w:eastAsia="SimSun" w:hAnsi="SimSun" w:cs="SimSun"/>
          <w:spacing w:val="-3"/>
          <w:sz w:val="21"/>
          <w:szCs w:val="21"/>
        </w:rPr>
        <w:t>本标准适用于天津市新建、改建的民用建筑的移动通信基站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基础设施建设以及室内分布系统通信基础设施建设。</w:t>
      </w:r>
    </w:p>
    <w:p>
      <w:pPr>
        <w:spacing w:before="31" w:line="255" w:lineRule="auto"/>
        <w:ind w:left="969" w:right="962" w:firstLine="5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21"/>
          <w:szCs w:val="21"/>
        </w:rPr>
        <w:t xml:space="preserve">1.0.3    </w:t>
      </w:r>
      <w:r>
        <w:rPr>
          <w:rFonts w:ascii="SimSun" w:eastAsia="SimSun" w:hAnsi="SimSun" w:cs="SimSun"/>
          <w:spacing w:val="3"/>
          <w:sz w:val="21"/>
          <w:szCs w:val="21"/>
        </w:rPr>
        <w:t>移动通信基础设施建设必须执行国家和天津市现行有关方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针、政策和法规， 遵守安全卫生、环境保护、节约能源资源等有关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规定。</w:t>
      </w:r>
    </w:p>
    <w:p>
      <w:pPr>
        <w:spacing w:before="30" w:line="250" w:lineRule="auto"/>
        <w:ind w:left="989" w:right="964" w:hanging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1.0.4    </w:t>
      </w:r>
      <w:r>
        <w:rPr>
          <w:rFonts w:ascii="SimSun" w:eastAsia="SimSun" w:hAnsi="SimSun" w:cs="SimSun"/>
          <w:spacing w:val="-3"/>
          <w:sz w:val="21"/>
          <w:szCs w:val="21"/>
        </w:rPr>
        <w:t>移动通信基础设施建设除应符合本标准的规定外，尚应符合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国家、行业和天津市现行有关标准的规定。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headerReference w:type="default" r:id="rId11"/>
          <w:pgSz w:w="7936" w:h="11511"/>
          <w:pgMar w:top="400" w:right="0" w:bottom="0" w:left="0" w:header="0" w:footer="0" w:gutter="0"/>
          <w:pgNumType w:start="9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53" w:line="186" w:lineRule="auto"/>
        <w:ind w:left="690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1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2"/>
          <w:type w:val="nextPage"/>
          <w:pgSz w:w="7936" w:h="11511"/>
          <w:pgMar w:top="400" w:right="0" w:bottom="0" w:left="0" w:header="0" w:footer="0" w:gutter="0"/>
          <w:pgNumType w:start="10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5" w:lineRule="auto"/>
        <w:ind w:left="3340"/>
        <w:outlineLvl w:val="0"/>
        <w:rPr>
          <w:rFonts w:ascii="SimHei" w:eastAsia="SimHei" w:hAnsi="SimHei" w:cs="SimHei"/>
          <w:sz w:val="27"/>
          <w:szCs w:val="27"/>
        </w:rPr>
      </w:pPr>
      <w:bookmarkStart w:id="34" w:name="bookmark35"/>
      <w:bookmarkEnd w:id="34"/>
      <w:r>
        <w:rPr>
          <w:rFonts w:ascii="Times New Roman" w:eastAsia="Times New Roman" w:hAnsi="Times New Roman" w:cs="Times New Roman"/>
          <w:b/>
          <w:bCs/>
          <w:spacing w:val="-3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b/>
          <w:bCs/>
          <w:spacing w:val="6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-3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术</w:t>
      </w:r>
      <w:r>
        <w:rPr>
          <w:rFonts w:ascii="SimHei" w:eastAsia="SimHei" w:hAnsi="SimHei" w:cs="SimHei"/>
          <w:spacing w:val="15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-3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语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69" w:line="275" w:lineRule="exact"/>
        <w:ind w:left="96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position w:val="1"/>
          <w:sz w:val="21"/>
          <w:szCs w:val="21"/>
        </w:rPr>
        <w:t xml:space="preserve">2.0.1    </w:t>
      </w:r>
      <w:r>
        <w:rPr>
          <w:rFonts w:ascii="SimSun" w:eastAsia="SimSun" w:hAnsi="SimSun" w:cs="SimSun"/>
          <w:position w:val="1"/>
          <w:sz w:val="21"/>
          <w:szCs w:val="21"/>
        </w:rPr>
        <w:t xml:space="preserve">移动通信基础设施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mobile communication infrastru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cture</w:t>
      </w:r>
    </w:p>
    <w:p>
      <w:pPr>
        <w:spacing w:before="54" w:line="257" w:lineRule="auto"/>
        <w:ind w:left="969" w:right="889" w:firstLine="42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包括移动通信基站基础设施和室内分布系统基础设施两部分，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移动通信基站基础设施主要包括通信铁塔、基站机房、电源系统、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接地系统、屋面设施等，室内分布系统基础设施主要包括室分机房、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电源系统、接地系统及布线桥架等。</w:t>
      </w:r>
    </w:p>
    <w:p>
      <w:pPr>
        <w:spacing w:line="316" w:lineRule="exact"/>
        <w:ind w:left="96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position w:val="2"/>
          <w:sz w:val="21"/>
          <w:szCs w:val="21"/>
        </w:rPr>
        <w:t xml:space="preserve">2.0.2    </w:t>
      </w:r>
      <w:r>
        <w:rPr>
          <w:rFonts w:ascii="SimSun" w:eastAsia="SimSun" w:hAnsi="SimSun" w:cs="SimSun"/>
          <w:position w:val="2"/>
          <w:sz w:val="21"/>
          <w:szCs w:val="21"/>
        </w:rPr>
        <w:t xml:space="preserve">移动通信基站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 xml:space="preserve">mobile communication base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station</w:t>
      </w:r>
    </w:p>
    <w:p>
      <w:pPr>
        <w:spacing w:before="15" w:line="257" w:lineRule="auto"/>
        <w:ind w:left="969" w:right="963" w:firstLine="421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无线电台站的一种形式，是在一定的无线电覆盖区中，通过移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动通信交换中心与移动电话终端之间进行信息传递的无线电收发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信电台。通常情况下，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一个移动通信基站由无线电信号发射接收设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备、电源设备、传输设备及天线、馈线等组成。</w:t>
      </w:r>
    </w:p>
    <w:p>
      <w:pPr>
        <w:spacing w:line="292" w:lineRule="exact"/>
        <w:ind w:left="96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position w:val="2"/>
          <w:sz w:val="21"/>
          <w:szCs w:val="21"/>
        </w:rPr>
        <w:t xml:space="preserve">2.0.3    </w:t>
      </w:r>
      <w:r>
        <w:rPr>
          <w:rFonts w:ascii="SimSun" w:eastAsia="SimSun" w:hAnsi="SimSun" w:cs="SimSun"/>
          <w:position w:val="2"/>
          <w:sz w:val="21"/>
          <w:szCs w:val="21"/>
        </w:rPr>
        <w:t xml:space="preserve">室内分布系统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indoor d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istributed</w:t>
      </w:r>
      <w:r>
        <w:rPr>
          <w:rFonts w:ascii="Times New Roman" w:eastAsia="Times New Roman" w:hAnsi="Times New Roman" w:cs="Times New Roman"/>
          <w:spacing w:val="1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system</w:t>
      </w:r>
    </w:p>
    <w:p>
      <w:pPr>
        <w:spacing w:before="41" w:line="258" w:lineRule="auto"/>
        <w:ind w:left="971" w:right="929" w:firstLine="42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建筑物内由无线电信号的发射、接收及传输等设施组成的系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统，是无线电传输网络基站的室内设置形式，简称室内分布系统，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用于为室内提供良好的无线覆盖效果。通常情况下，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一套室内分布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系统由无线电信号发射接收设备、电源设备、传输设备及</w:t>
      </w:r>
      <w:r>
        <w:rPr>
          <w:rFonts w:ascii="SimSun" w:eastAsia="SimSun" w:hAnsi="SimSun" w:cs="SimSun"/>
          <w:spacing w:val="-4"/>
          <w:sz w:val="21"/>
          <w:szCs w:val="21"/>
        </w:rPr>
        <w:t>天线、馈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线等组成。</w:t>
      </w:r>
    </w:p>
    <w:p>
      <w:pPr>
        <w:spacing w:line="315" w:lineRule="exact"/>
        <w:ind w:left="96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position w:val="2"/>
          <w:sz w:val="21"/>
          <w:szCs w:val="21"/>
        </w:rPr>
        <w:t xml:space="preserve">2.0.4    </w:t>
      </w:r>
      <w:r>
        <w:rPr>
          <w:rFonts w:ascii="SimSun" w:eastAsia="SimSun" w:hAnsi="SimSun" w:cs="SimSun"/>
          <w:position w:val="2"/>
          <w:sz w:val="21"/>
          <w:szCs w:val="21"/>
        </w:rPr>
        <w:t xml:space="preserve">基站机房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base station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 xml:space="preserve"> room</w:t>
      </w:r>
    </w:p>
    <w:p>
      <w:pPr>
        <w:spacing w:before="17" w:line="250" w:lineRule="auto"/>
        <w:ind w:left="973" w:right="964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用于安装移动通信基站所需的无线电信号发射接收设备、电源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设备、传输设备、空调设备等的房间。</w:t>
      </w:r>
    </w:p>
    <w:p>
      <w:pPr>
        <w:spacing w:line="315" w:lineRule="exact"/>
        <w:ind w:left="966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3"/>
          <w:pgSz w:w="7936" w:h="11511"/>
          <w:pgMar w:top="400" w:right="0" w:bottom="0" w:left="0" w:header="0" w:footer="0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b/>
          <w:bCs/>
          <w:position w:val="2"/>
          <w:sz w:val="21"/>
          <w:szCs w:val="21"/>
        </w:rPr>
        <w:t xml:space="preserve">2.0.5    </w:t>
      </w:r>
      <w:r>
        <w:rPr>
          <w:rFonts w:ascii="SimSun" w:eastAsia="SimSun" w:hAnsi="SimSun" w:cs="SimSun"/>
          <w:position w:val="2"/>
          <w:sz w:val="21"/>
          <w:szCs w:val="21"/>
        </w:rPr>
        <w:t xml:space="preserve">室分机房 </w:t>
      </w:r>
      <w:r>
        <w:rPr>
          <w:rFonts w:ascii="Times New Roman" w:eastAsia="Times New Roman" w:hAnsi="Times New Roman" w:cs="Times New Roman"/>
          <w:position w:val="2"/>
          <w:sz w:val="21"/>
          <w:szCs w:val="21"/>
        </w:rPr>
        <w:t>indoor distribution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 xml:space="preserve"> room</w:t>
      </w:r>
    </w:p>
    <w:p>
      <w:pPr>
        <w:spacing w:before="15" w:line="247" w:lineRule="auto"/>
        <w:ind w:left="970" w:right="965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用于安装室内分布系统所需的无线电信号发射接收设备、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POI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(</w:t>
      </w:r>
      <w:r>
        <w:rPr>
          <w:rFonts w:ascii="SimSun" w:eastAsia="SimSun" w:hAnsi="SimSun" w:cs="SimSun"/>
          <w:spacing w:val="-3"/>
          <w:sz w:val="21"/>
          <w:szCs w:val="21"/>
        </w:rPr>
        <w:t>多系统合路平台）设备等的房间。</w:t>
      </w:r>
    </w:p>
    <w:p>
      <w:pPr>
        <w:spacing w:before="39" w:line="221" w:lineRule="auto"/>
        <w:ind w:left="96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2.0.6</w:t>
      </w:r>
      <w:r>
        <w:rPr>
          <w:rFonts w:ascii="Times New Roman" w:eastAsia="Times New Roman" w:hAnsi="Times New Roman" w:cs="Times New Roman"/>
          <w:b/>
          <w:bCs/>
          <w:spacing w:val="6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天线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antenna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53" w:line="186" w:lineRule="auto"/>
        <w:ind w:left="96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4"/>
          <w:type w:val="nextPage"/>
          <w:pgSz w:w="7936" w:h="11511"/>
          <w:pgMar w:top="400" w:right="0" w:bottom="0" w:left="0" w:header="0" w:footer="0" w:gutter="0"/>
          <w:pgNumType w:start="12"/>
          <w:cols w:space="708"/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8" w:line="257" w:lineRule="auto"/>
        <w:ind w:left="966" w:right="913" w:firstLine="424"/>
        <w:rPr>
          <w:rFonts w:ascii="Times New Roman" w:eastAsia="Times New Roman" w:hAnsi="Times New Roman" w:cs="Times New Roman"/>
          <w:sz w:val="21"/>
          <w:szCs w:val="21"/>
        </w:rPr>
      </w:pPr>
      <w:bookmarkStart w:id="35" w:name="bookmark36"/>
      <w:bookmarkEnd w:id="35"/>
      <w:r>
        <w:rPr>
          <w:rFonts w:ascii="SimSun" w:eastAsia="SimSun" w:hAnsi="SimSun" w:cs="SimSun"/>
          <w:spacing w:val="-2"/>
          <w:sz w:val="21"/>
          <w:szCs w:val="21"/>
        </w:rPr>
        <w:t>无线电收发系统中，向空间辐射或从空间接收电磁波的装置。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2.0.7    </w:t>
      </w:r>
      <w:r>
        <w:rPr>
          <w:rFonts w:ascii="SimSun" w:eastAsia="SimSun" w:hAnsi="SimSun" w:cs="SimSun"/>
          <w:spacing w:val="-1"/>
          <w:sz w:val="21"/>
          <w:szCs w:val="21"/>
        </w:rPr>
        <w:t>馈线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feeder</w:t>
      </w:r>
    </w:p>
    <w:p>
      <w:pPr>
        <w:spacing w:before="14" w:line="250" w:lineRule="auto"/>
        <w:ind w:left="977" w:right="962" w:firstLine="4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把电磁波以尽量小的损耗从发射机传到天线或从天线传到接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收机所用的连接线。</w:t>
      </w:r>
    </w:p>
    <w:p>
      <w:pPr>
        <w:spacing w:line="316" w:lineRule="exact"/>
        <w:ind w:left="96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2"/>
          <w:sz w:val="21"/>
          <w:szCs w:val="21"/>
        </w:rPr>
        <w:t xml:space="preserve">2.0.8    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 xml:space="preserve">馈线洞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feeder</w:t>
      </w:r>
      <w:r>
        <w:rPr>
          <w:rFonts w:ascii="Times New Roman" w:eastAsia="Times New Roman" w:hAnsi="Times New Roman" w:cs="Times New Roman"/>
          <w:spacing w:val="1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hole</w:t>
      </w:r>
    </w:p>
    <w:p>
      <w:pPr>
        <w:spacing w:before="15" w:line="250" w:lineRule="auto"/>
        <w:ind w:left="972" w:right="964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基站机房墙面上具有一定尺寸要求的孔洞，是基站机房内各种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线缆进出的通道。</w:t>
      </w:r>
    </w:p>
    <w:p>
      <w:pPr>
        <w:spacing w:line="292" w:lineRule="exact"/>
        <w:ind w:left="96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2"/>
          <w:sz w:val="21"/>
          <w:szCs w:val="21"/>
        </w:rPr>
        <w:t xml:space="preserve">2.0.9    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 xml:space="preserve">抱杆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pole</w:t>
      </w:r>
    </w:p>
    <w:p>
      <w:pPr>
        <w:spacing w:before="39" w:line="250" w:lineRule="auto"/>
        <w:ind w:left="969" w:right="962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建筑物顶、建筑物外墙或通信塔桅上用于安装天线的钢制构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件。</w:t>
      </w:r>
    </w:p>
    <w:p>
      <w:pPr>
        <w:spacing w:before="2" w:line="255" w:lineRule="auto"/>
        <w:ind w:left="966" w:right="3853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2.0.10    </w:t>
      </w:r>
      <w:r>
        <w:rPr>
          <w:rFonts w:ascii="SimSun" w:eastAsia="SimSun" w:hAnsi="SimSun" w:cs="SimSun"/>
          <w:sz w:val="21"/>
          <w:szCs w:val="21"/>
        </w:rPr>
        <w:t xml:space="preserve">接地端子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earthing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terminal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接地线的连接端子或接地排。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headerReference w:type="default" r:id="rId15"/>
          <w:pgSz w:w="7936" w:h="11511"/>
          <w:pgMar w:top="400" w:right="0" w:bottom="0" w:left="0" w:header="0" w:footer="0" w:gutter="0"/>
          <w:pgNumType w:start="13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52" w:line="186" w:lineRule="auto"/>
        <w:ind w:left="688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3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6"/>
          <w:type w:val="nextPage"/>
          <w:pgSz w:w="7936" w:h="11511"/>
          <w:pgMar w:top="400" w:right="0" w:bottom="0" w:left="0" w:header="0" w:footer="0" w:gutter="0"/>
          <w:pgNumType w:start="14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6" w:lineRule="auto"/>
        <w:ind w:left="3198"/>
        <w:outlineLvl w:val="0"/>
        <w:rPr>
          <w:rFonts w:ascii="SimHei" w:eastAsia="SimHei" w:hAnsi="SimHei" w:cs="SimHei"/>
          <w:sz w:val="27"/>
          <w:szCs w:val="27"/>
        </w:rPr>
      </w:pPr>
      <w:bookmarkStart w:id="36" w:name="bookmark37"/>
      <w:bookmarkEnd w:id="36"/>
      <w:r>
        <w:rPr>
          <w:rFonts w:ascii="Times New Roman" w:eastAsia="Times New Roman" w:hAnsi="Times New Roman" w:cs="Times New Roman"/>
          <w:b/>
          <w:bCs/>
          <w:spacing w:val="5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b/>
          <w:bCs/>
          <w:spacing w:val="6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5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基本规定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68" w:line="250" w:lineRule="auto"/>
        <w:ind w:left="970" w:right="962" w:hanging="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1"/>
          <w:szCs w:val="21"/>
        </w:rPr>
        <w:t xml:space="preserve">3.0.1    </w:t>
      </w:r>
      <w:r>
        <w:rPr>
          <w:rFonts w:ascii="SimSun" w:eastAsia="SimSun" w:hAnsi="SimSun" w:cs="SimSun"/>
          <w:spacing w:val="4"/>
          <w:sz w:val="21"/>
          <w:szCs w:val="21"/>
        </w:rPr>
        <w:t>移动通信基础设施的建设应能满足</w:t>
      </w:r>
      <w:r>
        <w:rPr>
          <w:rFonts w:ascii="SimSun" w:eastAsia="SimSun" w:hAnsi="SimSun" w:cs="SimSun"/>
          <w:spacing w:val="3"/>
          <w:sz w:val="21"/>
          <w:szCs w:val="21"/>
        </w:rPr>
        <w:t>多家移动通信运营商网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络平等接入的要求，并遵循共建共享的原则统筹考虑建设方案。</w:t>
      </w:r>
    </w:p>
    <w:p>
      <w:pPr>
        <w:spacing w:before="30" w:line="251" w:lineRule="auto"/>
        <w:ind w:left="971" w:right="965" w:hanging="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3.0.2    </w:t>
      </w:r>
      <w:r>
        <w:rPr>
          <w:rFonts w:ascii="SimSun" w:eastAsia="SimSun" w:hAnsi="SimSun" w:cs="SimSun"/>
          <w:spacing w:val="-3"/>
          <w:sz w:val="21"/>
          <w:szCs w:val="21"/>
        </w:rPr>
        <w:t>移动通信基础设施的建设在本标准未做特殊要求时，均应与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主体建筑物的要求相同。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headerReference w:type="default" r:id="rId17"/>
          <w:pgSz w:w="7936" w:h="11511"/>
          <w:pgMar w:top="400" w:right="0" w:bottom="0" w:left="0" w:header="0" w:footer="0" w:gutter="0"/>
          <w:pgNumType w:start="15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52" w:line="186" w:lineRule="auto"/>
        <w:ind w:left="96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4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8"/>
          <w:type w:val="nextPage"/>
          <w:pgSz w:w="7936" w:h="11511"/>
          <w:pgMar w:top="400" w:right="0" w:bottom="0" w:left="0" w:header="0" w:footer="0" w:gutter="0"/>
          <w:pgNumType w:start="16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3" w:lineRule="auto"/>
        <w:ind w:left="3200"/>
        <w:outlineLvl w:val="0"/>
        <w:rPr>
          <w:rFonts w:ascii="SimHei" w:eastAsia="SimHei" w:hAnsi="SimHei" w:cs="SimHei"/>
          <w:sz w:val="27"/>
          <w:szCs w:val="27"/>
        </w:rPr>
      </w:pPr>
      <w:bookmarkStart w:id="37" w:name="bookmark38"/>
      <w:bookmarkEnd w:id="37"/>
      <w:r>
        <w:rPr>
          <w:rFonts w:ascii="Times New Roman" w:eastAsia="Times New Roman" w:hAnsi="Times New Roman" w:cs="Times New Roman"/>
          <w:b/>
          <w:bCs/>
          <w:spacing w:val="5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b/>
          <w:bCs/>
          <w:spacing w:val="6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5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通信机房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68" w:line="217" w:lineRule="auto"/>
        <w:ind w:left="3313"/>
        <w:outlineLvl w:val="1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4.1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</w:t>
      </w:r>
      <w:r>
        <w:rPr>
          <w:rFonts w:ascii="SimHei" w:eastAsia="SimHei" w:hAnsi="SimHei" w:cs="SimHei"/>
          <w:spacing w:val="-3"/>
          <w:sz w:val="21"/>
          <w:szCs w:val="21"/>
        </w:rPr>
        <w:t>一般规定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69" w:line="251" w:lineRule="auto"/>
        <w:ind w:left="983" w:right="964" w:hanging="1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4.1.1    </w:t>
      </w:r>
      <w:r>
        <w:rPr>
          <w:rFonts w:ascii="SimSun" w:eastAsia="SimSun" w:hAnsi="SimSun" w:cs="SimSun"/>
          <w:spacing w:val="-3"/>
          <w:sz w:val="21"/>
          <w:szCs w:val="21"/>
        </w:rPr>
        <w:t>机房的设计使用年限应与既有、新建主体建筑的设计使用年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限相同。</w:t>
      </w:r>
    </w:p>
    <w:p>
      <w:pPr>
        <w:spacing w:before="29" w:line="251" w:lineRule="auto"/>
        <w:ind w:left="972" w:right="964" w:hanging="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4.1.2    </w:t>
      </w:r>
      <w:r>
        <w:rPr>
          <w:rFonts w:ascii="SimSun" w:eastAsia="SimSun" w:hAnsi="SimSun" w:cs="SimSun"/>
          <w:spacing w:val="-3"/>
          <w:sz w:val="21"/>
          <w:szCs w:val="21"/>
        </w:rPr>
        <w:t>机房的结构安全等级应与既有、新建主体建筑的结构安全等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级相同，且不应低于二级。</w:t>
      </w:r>
    </w:p>
    <w:p>
      <w:pPr>
        <w:spacing w:before="28" w:line="251" w:lineRule="auto"/>
        <w:ind w:left="968" w:right="964" w:hanging="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4.1.3    </w:t>
      </w:r>
      <w:r>
        <w:rPr>
          <w:rFonts w:ascii="SimSun" w:eastAsia="SimSun" w:hAnsi="SimSun" w:cs="SimSun"/>
          <w:spacing w:val="-3"/>
          <w:sz w:val="21"/>
          <w:szCs w:val="21"/>
        </w:rPr>
        <w:t>机房的抗震设防烈度应同既有、新建主体建筑的抗震设防烈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度一致。</w:t>
      </w:r>
    </w:p>
    <w:p>
      <w:pPr>
        <w:spacing w:before="29" w:line="220" w:lineRule="auto"/>
        <w:ind w:left="96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4.1.4    </w:t>
      </w:r>
      <w:r>
        <w:rPr>
          <w:rFonts w:ascii="SimSun" w:eastAsia="SimSun" w:hAnsi="SimSun" w:cs="SimSun"/>
          <w:spacing w:val="-1"/>
          <w:sz w:val="21"/>
          <w:szCs w:val="21"/>
        </w:rPr>
        <w:t>机房宜与建筑物弱电间贴建或与电梯</w:t>
      </w:r>
      <w:r>
        <w:rPr>
          <w:rFonts w:ascii="SimSun" w:eastAsia="SimSun" w:hAnsi="SimSun" w:cs="SimSun"/>
          <w:spacing w:val="-2"/>
          <w:sz w:val="21"/>
          <w:szCs w:val="21"/>
        </w:rPr>
        <w:t>机房贴建。</w:t>
      </w:r>
    </w:p>
    <w:p>
      <w:pPr>
        <w:spacing w:before="51" w:line="250" w:lineRule="auto"/>
        <w:ind w:left="969" w:right="963" w:hanging="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4.1.5    </w:t>
      </w:r>
      <w:r>
        <w:rPr>
          <w:rFonts w:ascii="SimSun" w:eastAsia="SimSun" w:hAnsi="SimSun" w:cs="SimSun"/>
          <w:spacing w:val="-2"/>
          <w:sz w:val="21"/>
          <w:szCs w:val="21"/>
        </w:rPr>
        <w:t>机房不应贴近强电磁源</w:t>
      </w:r>
      <w:r>
        <w:rPr>
          <w:rFonts w:ascii="SimSun" w:eastAsia="SimSun" w:hAnsi="SimSun" w:cs="SimSun"/>
          <w:spacing w:val="-3"/>
          <w:sz w:val="21"/>
          <w:szCs w:val="21"/>
        </w:rPr>
        <w:t>及震动源，不应设置在有水房间的下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方或贴建，机房不应跨越建筑物的变形缝。</w:t>
      </w:r>
    </w:p>
    <w:p>
      <w:pPr>
        <w:spacing w:before="31" w:line="220" w:lineRule="auto"/>
        <w:ind w:left="96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4.1.6    </w:t>
      </w:r>
      <w:r>
        <w:rPr>
          <w:rFonts w:ascii="SimSun" w:eastAsia="SimSun" w:hAnsi="SimSun" w:cs="SimSun"/>
          <w:spacing w:val="-1"/>
          <w:sz w:val="21"/>
          <w:szCs w:val="21"/>
        </w:rPr>
        <w:t>机房门净宽不应小于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1.05m</w:t>
      </w:r>
      <w:r>
        <w:rPr>
          <w:rFonts w:ascii="SimSun" w:eastAsia="SimSun" w:hAnsi="SimSun" w:cs="SimSun"/>
          <w:spacing w:val="-1"/>
          <w:sz w:val="21"/>
          <w:szCs w:val="21"/>
        </w:rPr>
        <w:t>，门净高不应小于</w:t>
      </w:r>
      <w:r>
        <w:rPr>
          <w:rFonts w:ascii="SimSun" w:eastAsia="SimSun" w:hAnsi="SimSun" w:cs="SimSun"/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2.l0m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49" w:line="220" w:lineRule="auto"/>
        <w:ind w:left="96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4.1.7    </w:t>
      </w:r>
      <w:r>
        <w:rPr>
          <w:rFonts w:ascii="SimSun" w:eastAsia="SimSun" w:hAnsi="SimSun" w:cs="SimSun"/>
          <w:spacing w:val="-1"/>
          <w:sz w:val="21"/>
          <w:szCs w:val="21"/>
        </w:rPr>
        <w:t>机房净高不应低于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2.60m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48" w:line="259" w:lineRule="auto"/>
        <w:ind w:left="969" w:right="962" w:hanging="2"/>
        <w:rPr>
          <w:rFonts w:ascii="SimSun" w:eastAsia="SimSun" w:hAnsi="SimSun" w:cs="SimSun"/>
          <w:sz w:val="21"/>
          <w:szCs w:val="21"/>
        </w:rPr>
        <w:sectPr>
          <w:headerReference w:type="default" r:id="rId19"/>
          <w:pgSz w:w="7936" w:h="11511"/>
          <w:pgMar w:top="400" w:right="0" w:bottom="0" w:left="0" w:header="0" w:footer="0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4.1.8    </w:t>
      </w:r>
      <w:r>
        <w:rPr>
          <w:rFonts w:ascii="SimSun" w:eastAsia="SimSun" w:hAnsi="SimSun" w:cs="SimSun"/>
          <w:spacing w:val="-3"/>
          <w:sz w:val="21"/>
          <w:szCs w:val="21"/>
        </w:rPr>
        <w:t>机房的围护结构的热功性能应符合国家现行标准《公共建筑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节能设计标准》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GB 50189</w:t>
      </w:r>
      <w:r>
        <w:rPr>
          <w:rFonts w:ascii="SimSun" w:eastAsia="SimSun" w:hAnsi="SimSun" w:cs="SimSun"/>
          <w:spacing w:val="-4"/>
          <w:sz w:val="21"/>
          <w:szCs w:val="21"/>
        </w:rPr>
        <w:t>、《严寒和寒冷地区居住建筑节能设计标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准》</w:t>
      </w:r>
      <w:r>
        <w:rPr>
          <w:rFonts w:ascii="Times New Roman" w:eastAsia="Times New Roman" w:hAnsi="Times New Roman" w:cs="Times New Roman"/>
          <w:sz w:val="21"/>
          <w:szCs w:val="21"/>
        </w:rPr>
        <w:t>JGJ26</w:t>
      </w:r>
      <w:r>
        <w:rPr>
          <w:rFonts w:ascii="SimSun" w:eastAsia="SimSun" w:hAnsi="SimSun" w:cs="SimSun"/>
          <w:sz w:val="21"/>
          <w:szCs w:val="21"/>
        </w:rPr>
        <w:t>，和天津市工程建设现行标准《天津市居住建筑节能设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计标准》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DB29-1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、《天津市公共建筑节能设计标准》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DB29-153  </w:t>
      </w:r>
      <w:r>
        <w:rPr>
          <w:rFonts w:ascii="SimSun" w:eastAsia="SimSun" w:hAnsi="SimSun" w:cs="SimSun"/>
          <w:spacing w:val="-3"/>
          <w:sz w:val="21"/>
          <w:szCs w:val="21"/>
        </w:rPr>
        <w:t>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节能设计标准的规定。</w:t>
      </w:r>
    </w:p>
    <w:p>
      <w:pPr>
        <w:spacing w:before="30" w:line="250" w:lineRule="auto"/>
        <w:ind w:left="972" w:right="962" w:hanging="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4.1.9    </w:t>
      </w:r>
      <w:r>
        <w:rPr>
          <w:rFonts w:ascii="SimSun" w:eastAsia="SimSun" w:hAnsi="SimSun" w:cs="SimSun"/>
          <w:spacing w:val="-2"/>
          <w:sz w:val="21"/>
          <w:szCs w:val="21"/>
        </w:rPr>
        <w:t>机房外墙体及屋面不应</w:t>
      </w:r>
      <w:r>
        <w:rPr>
          <w:rFonts w:ascii="SimSun" w:eastAsia="SimSun" w:hAnsi="SimSun" w:cs="SimSun"/>
          <w:spacing w:val="-3"/>
          <w:sz w:val="21"/>
          <w:szCs w:val="21"/>
        </w:rPr>
        <w:t>采用龙骨板材、彩钢板等耐久性差的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建筑材料。</w:t>
      </w:r>
    </w:p>
    <w:p>
      <w:pPr>
        <w:spacing w:before="31" w:line="255" w:lineRule="auto"/>
        <w:ind w:left="970" w:right="962" w:hanging="3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4.1.10  </w:t>
      </w:r>
      <w:r>
        <w:rPr>
          <w:rFonts w:ascii="SimSun" w:eastAsia="SimSun" w:hAnsi="SimSun" w:cs="SimSun"/>
          <w:spacing w:val="-3"/>
          <w:sz w:val="21"/>
          <w:szCs w:val="21"/>
        </w:rPr>
        <w:t>机房涉及室内装修设计时，应满足通信工艺的要求和现行国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家标准《建筑内部装修设计防火规范》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GB  50222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的相关规定；机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房内不应设吊顶。</w:t>
      </w:r>
    </w:p>
    <w:p>
      <w:pPr>
        <w:spacing w:before="227" w:line="183" w:lineRule="auto"/>
        <w:ind w:left="689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5</w:t>
      </w:r>
    </w:p>
    <w:p>
      <w:pPr>
        <w:spacing w:line="183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20"/>
          <w:type w:val="nextPage"/>
          <w:pgSz w:w="7936" w:h="11511"/>
          <w:pgMar w:top="400" w:right="0" w:bottom="0" w:left="0" w:header="0" w:footer="0" w:gutter="0"/>
          <w:pgNumType w:start="18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8" w:line="220" w:lineRule="auto"/>
        <w:ind w:left="96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4.1.11    </w:t>
      </w:r>
      <w:r>
        <w:rPr>
          <w:rFonts w:ascii="SimSun" w:eastAsia="SimSun" w:hAnsi="SimSun" w:cs="SimSun"/>
          <w:spacing w:val="-2"/>
          <w:sz w:val="21"/>
          <w:szCs w:val="21"/>
        </w:rPr>
        <w:t>机房外门处应设置防水挡台。</w:t>
      </w:r>
    </w:p>
    <w:p>
      <w:pPr>
        <w:spacing w:before="50" w:line="250" w:lineRule="auto"/>
        <w:ind w:left="1001" w:right="963" w:hanging="3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1"/>
          <w:szCs w:val="21"/>
        </w:rPr>
        <w:t xml:space="preserve">4.1.12    </w:t>
      </w:r>
      <w:r>
        <w:rPr>
          <w:rFonts w:ascii="SimSun" w:eastAsia="SimSun" w:hAnsi="SimSun" w:cs="SimSun"/>
          <w:spacing w:val="1"/>
          <w:sz w:val="21"/>
          <w:szCs w:val="21"/>
        </w:rPr>
        <w:t>除机房门、馈线洞外</w:t>
      </w:r>
      <w:r>
        <w:rPr>
          <w:rFonts w:ascii="SimSun" w:eastAsia="SimSun" w:hAnsi="SimSun" w:cs="SimSun"/>
          <w:sz w:val="21"/>
          <w:szCs w:val="21"/>
        </w:rPr>
        <w:t xml:space="preserve">，机房墙体不应开设其他门、窗、洞 </w:t>
      </w:r>
      <w:r>
        <w:rPr>
          <w:rFonts w:ascii="SimSun" w:eastAsia="SimSun" w:hAnsi="SimSun" w:cs="SimSun"/>
          <w:spacing w:val="-4"/>
          <w:sz w:val="21"/>
          <w:szCs w:val="21"/>
        </w:rPr>
        <w:t>口；确有需要时，应采用固定的甲级防火窗。</w:t>
      </w:r>
    </w:p>
    <w:p>
      <w:pPr>
        <w:spacing w:before="30" w:line="251" w:lineRule="auto"/>
        <w:ind w:left="989" w:right="963" w:hanging="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1"/>
          <w:szCs w:val="21"/>
        </w:rPr>
        <w:t xml:space="preserve">4.1.13    </w:t>
      </w:r>
      <w:r>
        <w:rPr>
          <w:rFonts w:ascii="SimSun" w:eastAsia="SimSun" w:hAnsi="SimSun" w:cs="SimSun"/>
          <w:spacing w:val="1"/>
          <w:sz w:val="21"/>
          <w:szCs w:val="21"/>
        </w:rPr>
        <w:t>机房内不应设置采暖</w:t>
      </w:r>
      <w:r>
        <w:rPr>
          <w:rFonts w:ascii="SimSun" w:eastAsia="SimSun" w:hAnsi="SimSun" w:cs="SimSun"/>
          <w:sz w:val="21"/>
          <w:szCs w:val="21"/>
        </w:rPr>
        <w:t xml:space="preserve">系统，不应设置各种给、排水管道及 </w:t>
      </w:r>
      <w:r>
        <w:rPr>
          <w:rFonts w:ascii="SimSun" w:eastAsia="SimSun" w:hAnsi="SimSun" w:cs="SimSun"/>
          <w:spacing w:val="-10"/>
          <w:sz w:val="21"/>
          <w:szCs w:val="21"/>
        </w:rPr>
        <w:t>中央空调。</w:t>
      </w:r>
    </w:p>
    <w:p>
      <w:pPr>
        <w:spacing w:before="29" w:line="220" w:lineRule="auto"/>
        <w:ind w:left="96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4.1.14    </w:t>
      </w:r>
      <w:r>
        <w:rPr>
          <w:rFonts w:ascii="SimSun" w:eastAsia="SimSun" w:hAnsi="SimSun" w:cs="SimSun"/>
          <w:spacing w:val="-2"/>
          <w:sz w:val="21"/>
          <w:szCs w:val="21"/>
        </w:rPr>
        <w:t>机房消防系统应符合下列规</w:t>
      </w:r>
      <w:r>
        <w:rPr>
          <w:rFonts w:ascii="SimSun" w:eastAsia="SimSun" w:hAnsi="SimSun" w:cs="SimSun"/>
          <w:spacing w:val="-3"/>
          <w:sz w:val="21"/>
          <w:szCs w:val="21"/>
        </w:rPr>
        <w:t>定：</w:t>
      </w:r>
    </w:p>
    <w:p>
      <w:pPr>
        <w:spacing w:before="51" w:line="249" w:lineRule="auto"/>
        <w:ind w:left="972" w:right="964" w:firstLine="43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1    </w:t>
      </w:r>
      <w:r>
        <w:rPr>
          <w:rFonts w:ascii="SimSun" w:eastAsia="SimSun" w:hAnsi="SimSun" w:cs="SimSun"/>
          <w:sz w:val="21"/>
          <w:szCs w:val="21"/>
        </w:rPr>
        <w:t>机房应采用气体灭火系统，应按现行国家标准《建筑</w:t>
      </w:r>
      <w:r>
        <w:rPr>
          <w:rFonts w:ascii="SimSun" w:eastAsia="SimSun" w:hAnsi="SimSun" w:cs="SimSun"/>
          <w:spacing w:val="-1"/>
          <w:sz w:val="21"/>
          <w:szCs w:val="21"/>
        </w:rPr>
        <w:t>设计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防火规范》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GB 50016 </w:t>
      </w:r>
      <w:r>
        <w:rPr>
          <w:rFonts w:ascii="SimSun" w:eastAsia="SimSun" w:hAnsi="SimSun" w:cs="SimSun"/>
          <w:spacing w:val="-2"/>
          <w:sz w:val="21"/>
          <w:szCs w:val="21"/>
        </w:rPr>
        <w:t>和《气体灭火系统设计规范》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GB 50370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求执行。</w:t>
      </w:r>
    </w:p>
    <w:p>
      <w:pPr>
        <w:spacing w:before="48" w:line="242" w:lineRule="auto"/>
        <w:ind w:left="967" w:right="2593" w:firstLine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    </w:t>
      </w:r>
      <w:r>
        <w:rPr>
          <w:rFonts w:ascii="SimSun" w:eastAsia="SimSun" w:hAnsi="SimSun" w:cs="SimSun"/>
          <w:spacing w:val="-3"/>
          <w:sz w:val="21"/>
          <w:szCs w:val="21"/>
        </w:rPr>
        <w:t>围护结构的耐火极限均不应低于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1.00h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4.1.15    </w:t>
      </w:r>
      <w:r>
        <w:rPr>
          <w:rFonts w:ascii="SimSun" w:eastAsia="SimSun" w:hAnsi="SimSun" w:cs="SimSun"/>
          <w:spacing w:val="-3"/>
          <w:sz w:val="21"/>
          <w:szCs w:val="21"/>
        </w:rPr>
        <w:t>机房照明应符合下列规定：</w:t>
      </w:r>
    </w:p>
    <w:p>
      <w:pPr>
        <w:spacing w:before="51" w:line="242" w:lineRule="auto"/>
        <w:ind w:left="971" w:right="975" w:firstLine="4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    </w:t>
      </w:r>
      <w:r>
        <w:rPr>
          <w:rFonts w:ascii="SimSun" w:eastAsia="SimSun" w:hAnsi="SimSun" w:cs="SimSun"/>
          <w:spacing w:val="-4"/>
          <w:sz w:val="21"/>
          <w:szCs w:val="21"/>
        </w:rPr>
        <w:t>机房照度不应低于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200lx</w:t>
      </w:r>
      <w:r>
        <w:rPr>
          <w:rFonts w:ascii="SimSun" w:eastAsia="SimSun" w:hAnsi="SimSun" w:cs="SimSun"/>
          <w:spacing w:val="-4"/>
          <w:sz w:val="21"/>
          <w:szCs w:val="21"/>
        </w:rPr>
        <w:t>，备用照明的照度值不宜低于正常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照明照度。</w:t>
      </w:r>
    </w:p>
    <w:p>
      <w:pPr>
        <w:spacing w:before="50" w:line="242" w:lineRule="auto"/>
        <w:ind w:left="969" w:right="978" w:firstLine="41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    </w:t>
      </w:r>
      <w:r>
        <w:rPr>
          <w:rFonts w:ascii="SimSun" w:eastAsia="SimSun" w:hAnsi="SimSun" w:cs="SimSun"/>
          <w:spacing w:val="-2"/>
          <w:sz w:val="21"/>
          <w:szCs w:val="21"/>
        </w:rPr>
        <w:t>光源显色指数不应小于</w:t>
      </w:r>
      <w:r>
        <w:rPr>
          <w:rFonts w:ascii="SimSun" w:eastAsia="SimSun" w:hAnsi="SimSun" w:cs="SimSun"/>
          <w:spacing w:val="-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80</w:t>
      </w:r>
      <w:r>
        <w:rPr>
          <w:rFonts w:ascii="SimSun" w:eastAsia="SimSun" w:hAnsi="SimSun" w:cs="SimSun"/>
          <w:spacing w:val="-2"/>
          <w:sz w:val="21"/>
          <w:szCs w:val="21"/>
        </w:rPr>
        <w:t>；灯具吸顶安装，机房内设手动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控制。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69" w:line="217" w:lineRule="auto"/>
        <w:ind w:left="3314"/>
        <w:outlineLvl w:val="1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4.2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  </w:t>
      </w:r>
      <w:r>
        <w:rPr>
          <w:rFonts w:ascii="SimHei" w:eastAsia="SimHei" w:hAnsi="SimHei" w:cs="SimHei"/>
          <w:spacing w:val="-2"/>
          <w:sz w:val="21"/>
          <w:szCs w:val="21"/>
        </w:rPr>
        <w:t>基站机房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69" w:line="257" w:lineRule="auto"/>
        <w:ind w:left="969" w:right="962" w:hanging="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4.2.1    </w:t>
      </w:r>
      <w:r>
        <w:rPr>
          <w:rFonts w:ascii="SimSun" w:eastAsia="SimSun" w:hAnsi="SimSun" w:cs="SimSun"/>
          <w:spacing w:val="-3"/>
          <w:sz w:val="21"/>
          <w:szCs w:val="21"/>
        </w:rPr>
        <w:t>当需要设置基站机房时，宜建在建筑物屋面，并与局部突出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屋面的电梯机房或楼梯间、设备间等贴建；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当屋面无上述附属用房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时，宜建于弱电间或室分机房上方；确有困难时，基站机房可</w:t>
      </w:r>
      <w:r>
        <w:rPr>
          <w:rFonts w:ascii="SimSun" w:eastAsia="SimSun" w:hAnsi="SimSun" w:cs="SimSun"/>
          <w:spacing w:val="-4"/>
          <w:sz w:val="21"/>
          <w:szCs w:val="21"/>
        </w:rPr>
        <w:t>设在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顶层并与弱电间或室分机房贴建。</w:t>
      </w:r>
    </w:p>
    <w:p>
      <w:pPr>
        <w:spacing w:before="31" w:line="220" w:lineRule="auto"/>
        <w:ind w:left="96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4.2.2    </w:t>
      </w:r>
      <w:r>
        <w:rPr>
          <w:rFonts w:ascii="SimSun" w:eastAsia="SimSun" w:hAnsi="SimSun" w:cs="SimSun"/>
          <w:spacing w:val="-3"/>
          <w:sz w:val="21"/>
          <w:szCs w:val="21"/>
        </w:rPr>
        <w:t>基站机房应符合下列规定：</w:t>
      </w:r>
    </w:p>
    <w:p>
      <w:pPr>
        <w:spacing w:before="50" w:line="220" w:lineRule="auto"/>
        <w:ind w:left="1406"/>
        <w:rPr>
          <w:rFonts w:ascii="SimSun" w:eastAsia="SimSun" w:hAnsi="SimSun" w:cs="SimSun"/>
          <w:sz w:val="21"/>
          <w:szCs w:val="21"/>
        </w:rPr>
        <w:sectPr>
          <w:headerReference w:type="default" r:id="rId21"/>
          <w:pgSz w:w="7936" w:h="11511"/>
          <w:pgMar w:top="400" w:right="0" w:bottom="0" w:left="0" w:header="0" w:footer="0" w:gutter="0"/>
          <w:pgNumType w:start="19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    </w:t>
      </w:r>
      <w:r>
        <w:rPr>
          <w:rFonts w:ascii="SimSun" w:eastAsia="SimSun" w:hAnsi="SimSun" w:cs="SimSun"/>
          <w:spacing w:val="-4"/>
          <w:sz w:val="21"/>
          <w:szCs w:val="21"/>
        </w:rPr>
        <w:t>基站机房平面形状宜采用矩形；</w:t>
      </w:r>
    </w:p>
    <w:p>
      <w:pPr>
        <w:spacing w:before="34" w:line="251" w:lineRule="auto"/>
        <w:ind w:left="967" w:right="891" w:firstLine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    </w:t>
      </w:r>
      <w:r>
        <w:rPr>
          <w:rFonts w:ascii="SimSun" w:eastAsia="SimSun" w:hAnsi="SimSun" w:cs="SimSun"/>
          <w:spacing w:val="-1"/>
          <w:sz w:val="21"/>
          <w:szCs w:val="21"/>
        </w:rPr>
        <w:t>基站机房净面积不应小于</w:t>
      </w:r>
      <w:r>
        <w:rPr>
          <w:rFonts w:ascii="SimSun" w:eastAsia="SimSun" w:hAnsi="SimSun" w:cs="SimSun"/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20.00m</w:t>
      </w:r>
      <w:r>
        <w:rPr>
          <w:rFonts w:ascii="Times New Roman" w:eastAsia="Times New Roman" w:hAnsi="Times New Roman" w:cs="Times New Roman"/>
          <w:spacing w:val="-1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,</w:t>
      </w:r>
      <w:r>
        <w:rPr>
          <w:rFonts w:ascii="SimSun" w:eastAsia="SimSun" w:hAnsi="SimSun" w:cs="SimSun"/>
          <w:spacing w:val="-2"/>
          <w:sz w:val="21"/>
          <w:szCs w:val="21"/>
        </w:rPr>
        <w:t>净宽度不应小于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3.00m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4.2.3    </w:t>
      </w:r>
      <w:r>
        <w:rPr>
          <w:rFonts w:ascii="SimSun" w:eastAsia="SimSun" w:hAnsi="SimSun" w:cs="SimSun"/>
          <w:spacing w:val="-2"/>
          <w:sz w:val="21"/>
          <w:szCs w:val="21"/>
        </w:rPr>
        <w:t>建于屋面的基站机房外</w:t>
      </w:r>
      <w:r>
        <w:rPr>
          <w:rFonts w:ascii="SimSun" w:eastAsia="SimSun" w:hAnsi="SimSun" w:cs="SimSun"/>
          <w:spacing w:val="-3"/>
          <w:sz w:val="21"/>
          <w:szCs w:val="21"/>
        </w:rPr>
        <w:t>墙应预留两个馈线洞，至少有一个馈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线洞面向屋面开阔处。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52" w:line="186" w:lineRule="auto"/>
        <w:ind w:left="96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6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22"/>
          <w:type w:val="nextPage"/>
          <w:pgSz w:w="7936" w:h="11511"/>
          <w:pgMar w:top="400" w:right="0" w:bottom="0" w:left="0" w:header="0" w:footer="0" w:gutter="0"/>
          <w:pgNumType w:start="20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8" w:line="250" w:lineRule="auto"/>
        <w:ind w:left="969" w:right="965" w:hanging="3"/>
        <w:rPr>
          <w:rFonts w:ascii="SimSun" w:eastAsia="SimSun" w:hAnsi="SimSun" w:cs="SimSun"/>
          <w:sz w:val="21"/>
          <w:szCs w:val="21"/>
        </w:rPr>
      </w:pPr>
      <w:bookmarkStart w:id="38" w:name="bookmark39"/>
      <w:bookmarkEnd w:id="38"/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4.2.4    </w:t>
      </w:r>
      <w:r>
        <w:rPr>
          <w:rFonts w:ascii="SimSun" w:eastAsia="SimSun" w:hAnsi="SimSun" w:cs="SimSun"/>
          <w:spacing w:val="-3"/>
          <w:sz w:val="21"/>
          <w:szCs w:val="21"/>
        </w:rPr>
        <w:t>建于顶层的基站机房，当基站机房没有上线馈线通道时，基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站机房屋面应设置上线井道。</w:t>
      </w:r>
    </w:p>
    <w:p>
      <w:pPr>
        <w:spacing w:before="30" w:line="220" w:lineRule="auto"/>
        <w:ind w:left="96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4.2.5    </w:t>
      </w:r>
      <w:r>
        <w:rPr>
          <w:rFonts w:ascii="SimSun" w:eastAsia="SimSun" w:hAnsi="SimSun" w:cs="SimSun"/>
          <w:spacing w:val="-1"/>
          <w:sz w:val="21"/>
          <w:szCs w:val="21"/>
        </w:rPr>
        <w:t>基站机房楼面活荷载不应小于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6kN/</w:t>
      </w:r>
      <w:r>
        <w:rPr>
          <w:rFonts w:ascii="SimSun" w:eastAsia="SimSun" w:hAnsi="SimSun" w:cs="SimSun"/>
          <w:spacing w:val="-1"/>
          <w:sz w:val="21"/>
          <w:szCs w:val="21"/>
        </w:rPr>
        <w:t>㎡。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8" w:line="217" w:lineRule="auto"/>
        <w:ind w:left="3313"/>
        <w:outlineLvl w:val="1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4.3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</w:t>
      </w:r>
      <w:r>
        <w:rPr>
          <w:rFonts w:ascii="SimHei" w:eastAsia="SimHei" w:hAnsi="SimHei" w:cs="SimHei"/>
          <w:spacing w:val="-3"/>
          <w:sz w:val="21"/>
          <w:szCs w:val="21"/>
        </w:rPr>
        <w:t>室分机房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68" w:line="220" w:lineRule="auto"/>
        <w:ind w:left="96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4.3.1    </w:t>
      </w:r>
      <w:r>
        <w:rPr>
          <w:rFonts w:ascii="SimSun" w:eastAsia="SimSun" w:hAnsi="SimSun" w:cs="SimSun"/>
          <w:spacing w:val="-2"/>
          <w:sz w:val="21"/>
          <w:szCs w:val="21"/>
        </w:rPr>
        <w:t>室分机房宜靠近建筑平面</w:t>
      </w:r>
      <w:r>
        <w:rPr>
          <w:rFonts w:ascii="SimSun" w:eastAsia="SimSun" w:hAnsi="SimSun" w:cs="SimSun"/>
          <w:spacing w:val="-3"/>
          <w:sz w:val="21"/>
          <w:szCs w:val="21"/>
        </w:rPr>
        <w:t>中心的位置设置，并应符合下列规</w:t>
      </w:r>
    </w:p>
    <w:p>
      <w:pPr>
        <w:spacing w:before="51" w:line="221" w:lineRule="auto"/>
        <w:ind w:left="97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定：</w:t>
      </w:r>
    </w:p>
    <w:p>
      <w:pPr>
        <w:spacing w:before="33" w:line="225" w:lineRule="auto"/>
        <w:ind w:left="140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1    </w:t>
      </w:r>
      <w:r>
        <w:rPr>
          <w:rFonts w:ascii="SimSun" w:eastAsia="SimSun" w:hAnsi="SimSun" w:cs="SimSun"/>
          <w:spacing w:val="-3"/>
          <w:sz w:val="21"/>
          <w:szCs w:val="21"/>
        </w:rPr>
        <w:t>建筑总面积小于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3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18"/>
          <w:w w:val="101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时，不宜设置室分机房。</w:t>
      </w:r>
    </w:p>
    <w:p>
      <w:pPr>
        <w:spacing w:before="37"/>
        <w:ind w:left="979" w:right="966" w:firstLine="40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    </w:t>
      </w:r>
      <w:r>
        <w:rPr>
          <w:rFonts w:ascii="SimSun" w:eastAsia="SimSun" w:hAnsi="SimSun" w:cs="SimSun"/>
          <w:spacing w:val="-1"/>
          <w:sz w:val="21"/>
          <w:szCs w:val="21"/>
        </w:rPr>
        <w:t>公共建筑总面积大于等于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1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13"/>
          <w:w w:val="102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且单层面积小于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1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时，各层建筑面积合并计算，应按每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2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12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设置一个室分</w:t>
      </w:r>
      <w:r>
        <w:rPr>
          <w:rFonts w:ascii="SimSun" w:eastAsia="SimSun" w:hAnsi="SimSun" w:cs="SimSun"/>
          <w:spacing w:val="-3"/>
          <w:sz w:val="21"/>
          <w:szCs w:val="21"/>
        </w:rPr>
        <w:t>机房。</w:t>
      </w:r>
    </w:p>
    <w:p>
      <w:pPr>
        <w:spacing w:before="35" w:line="246" w:lineRule="auto"/>
        <w:ind w:left="970" w:right="963" w:firstLine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3    </w:t>
      </w:r>
      <w:r>
        <w:rPr>
          <w:rFonts w:ascii="SimSun" w:eastAsia="SimSun" w:hAnsi="SimSun" w:cs="SimSun"/>
          <w:spacing w:val="6"/>
          <w:sz w:val="21"/>
          <w:szCs w:val="21"/>
        </w:rPr>
        <w:t>公共建筑总面积大于等于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6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10"/>
          <w:position w:val="9"/>
          <w:sz w:val="14"/>
          <w:szCs w:val="14"/>
        </w:rPr>
        <w:t xml:space="preserve">  </w:t>
      </w:r>
      <w:r>
        <w:rPr>
          <w:rFonts w:ascii="SimSun" w:eastAsia="SimSun" w:hAnsi="SimSun" w:cs="SimSun"/>
          <w:spacing w:val="6"/>
          <w:sz w:val="21"/>
          <w:szCs w:val="21"/>
        </w:rPr>
        <w:t>且单层面积大于等于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5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19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时，每增加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5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9"/>
          <w:w w:val="101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应增设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1 </w:t>
      </w:r>
      <w:r>
        <w:rPr>
          <w:rFonts w:ascii="SimSun" w:eastAsia="SimSun" w:hAnsi="SimSun" w:cs="SimSun"/>
          <w:spacing w:val="-5"/>
          <w:sz w:val="21"/>
          <w:szCs w:val="21"/>
        </w:rPr>
        <w:t>个室分机房，增加不足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000m</w:t>
      </w:r>
      <w:r>
        <w:rPr>
          <w:rFonts w:ascii="Times New Roman" w:eastAsia="Times New Roman" w:hAnsi="Times New Roman" w:cs="Times New Roman"/>
          <w:spacing w:val="-6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的部分，应按照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3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8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计。</w:t>
      </w:r>
    </w:p>
    <w:p>
      <w:pPr>
        <w:spacing w:before="36"/>
        <w:ind w:left="973" w:right="963" w:firstLine="4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4    </w:t>
      </w:r>
      <w:r>
        <w:rPr>
          <w:rFonts w:ascii="SimSun" w:eastAsia="SimSun" w:hAnsi="SimSun" w:cs="SimSun"/>
          <w:spacing w:val="-1"/>
          <w:sz w:val="21"/>
          <w:szCs w:val="21"/>
        </w:rPr>
        <w:t>居住建筑总面积大于等于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3000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㎡时，每增加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1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2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应增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设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1 </w:t>
      </w:r>
      <w:r>
        <w:rPr>
          <w:rFonts w:ascii="SimSun" w:eastAsia="SimSun" w:hAnsi="SimSun" w:cs="SimSun"/>
          <w:spacing w:val="-3"/>
          <w:sz w:val="21"/>
          <w:szCs w:val="21"/>
        </w:rPr>
        <w:t>个室分机房，增加不足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3"/>
          <w:position w:val="9"/>
          <w:sz w:val="14"/>
          <w:szCs w:val="14"/>
        </w:rPr>
        <w:t xml:space="preserve">2  </w:t>
      </w:r>
      <w:r>
        <w:rPr>
          <w:rFonts w:ascii="SimSun" w:eastAsia="SimSun" w:hAnsi="SimSun" w:cs="SimSun"/>
          <w:spacing w:val="-3"/>
          <w:sz w:val="21"/>
          <w:szCs w:val="21"/>
        </w:rPr>
        <w:t>的部分按</w:t>
      </w:r>
      <w:r>
        <w:rPr>
          <w:rFonts w:ascii="SimSun" w:eastAsia="SimSun" w:hAnsi="SimSun" w:cs="SimSun"/>
          <w:spacing w:val="-4"/>
          <w:sz w:val="21"/>
          <w:szCs w:val="21"/>
        </w:rPr>
        <w:t>照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3000m</w:t>
      </w:r>
      <w:r>
        <w:rPr>
          <w:rFonts w:ascii="Times New Roman" w:eastAsia="Times New Roman" w:hAnsi="Times New Roman" w:cs="Times New Roman"/>
          <w:spacing w:val="-4"/>
          <w:position w:val="9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9"/>
          <w:w w:val="101"/>
          <w:position w:val="9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计。</w:t>
      </w:r>
    </w:p>
    <w:p>
      <w:pPr>
        <w:spacing w:before="49" w:line="220" w:lineRule="auto"/>
        <w:ind w:left="96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4.3.2    </w:t>
      </w:r>
      <w:r>
        <w:rPr>
          <w:rFonts w:ascii="SimSun" w:eastAsia="SimSun" w:hAnsi="SimSun" w:cs="SimSun"/>
          <w:spacing w:val="-3"/>
          <w:sz w:val="21"/>
          <w:szCs w:val="21"/>
        </w:rPr>
        <w:t>室分机房应符合下列规定：</w:t>
      </w:r>
    </w:p>
    <w:p>
      <w:pPr>
        <w:spacing w:before="37" w:line="252" w:lineRule="auto"/>
        <w:ind w:left="969" w:right="964" w:firstLine="43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    </w:t>
      </w:r>
      <w:r>
        <w:rPr>
          <w:rFonts w:ascii="SimSun" w:eastAsia="SimSun" w:hAnsi="SimSun" w:cs="SimSun"/>
          <w:spacing w:val="-2"/>
          <w:sz w:val="21"/>
          <w:szCs w:val="21"/>
        </w:rPr>
        <w:t>机房净面积不宜小于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6.00m</w:t>
      </w:r>
      <w:r>
        <w:rPr>
          <w:rFonts w:ascii="Times New Roman" w:eastAsia="Times New Roman" w:hAnsi="Times New Roman" w:cs="Times New Roman"/>
          <w:spacing w:val="-2"/>
          <w:position w:val="9"/>
          <w:sz w:val="14"/>
          <w:szCs w:val="14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>。当机房净宽小于</w:t>
      </w:r>
      <w:r>
        <w:rPr>
          <w:rFonts w:ascii="SimSun" w:eastAsia="SimSun" w:hAnsi="SimSun" w:cs="SimSun"/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2.00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时，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应至少有一面墙体为烧结实心砖墙或混凝土墙，且此墙长度</w:t>
      </w:r>
      <w:r>
        <w:rPr>
          <w:rFonts w:ascii="SimSun" w:eastAsia="SimSun" w:hAnsi="SimSun" w:cs="SimSun"/>
          <w:spacing w:val="-4"/>
          <w:sz w:val="21"/>
          <w:szCs w:val="21"/>
        </w:rPr>
        <w:t>不应小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于</w:t>
      </w:r>
      <w:r>
        <w:rPr>
          <w:rFonts w:ascii="SimSun" w:eastAsia="SimSun" w:hAnsi="SimSun" w:cs="SimSun"/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3.00m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30" w:line="225" w:lineRule="auto"/>
        <w:ind w:left="138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    </w:t>
      </w:r>
      <w:r>
        <w:rPr>
          <w:rFonts w:ascii="SimSun" w:eastAsia="SimSun" w:hAnsi="SimSun" w:cs="SimSun"/>
          <w:spacing w:val="-1"/>
          <w:sz w:val="21"/>
          <w:szCs w:val="21"/>
        </w:rPr>
        <w:t>机房楼面活荷载不应小于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2kN/m</w:t>
      </w:r>
      <w:r>
        <w:rPr>
          <w:rFonts w:ascii="Times New Roman" w:eastAsia="Times New Roman" w:hAnsi="Times New Roman" w:cs="Times New Roman"/>
          <w:spacing w:val="-1"/>
          <w:position w:val="9"/>
          <w:sz w:val="14"/>
          <w:szCs w:val="14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  <w:sectPr>
          <w:headerReference w:type="default" r:id="rId23"/>
          <w:pgSz w:w="7936" w:h="11511"/>
          <w:pgMar w:top="400" w:right="0" w:bottom="0" w:left="0" w:header="0" w:footer="0" w:gutter="0"/>
          <w:pgNumType w:start="21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52" w:line="183" w:lineRule="auto"/>
        <w:ind w:left="688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7</w:t>
      </w:r>
    </w:p>
    <w:p>
      <w:pPr>
        <w:spacing w:line="183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24"/>
          <w:type w:val="nextPage"/>
          <w:pgSz w:w="7936" w:h="11511"/>
          <w:pgMar w:top="400" w:right="0" w:bottom="0" w:left="0" w:header="0" w:footer="0" w:gutter="0"/>
          <w:pgNumType w:start="22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7" w:line="224" w:lineRule="auto"/>
        <w:ind w:left="3203"/>
        <w:outlineLvl w:val="0"/>
        <w:rPr>
          <w:rFonts w:ascii="SimHei" w:eastAsia="SimHei" w:hAnsi="SimHei" w:cs="SimHei"/>
          <w:sz w:val="27"/>
          <w:szCs w:val="27"/>
        </w:rPr>
      </w:pPr>
      <w:bookmarkStart w:id="39" w:name="bookmark40"/>
      <w:bookmarkEnd w:id="39"/>
      <w:r>
        <w:rPr>
          <w:rFonts w:ascii="Times New Roman" w:eastAsia="Times New Roman" w:hAnsi="Times New Roman" w:cs="Times New Roman"/>
          <w:b/>
          <w:bCs/>
          <w:spacing w:val="5"/>
          <w:sz w:val="27"/>
          <w:szCs w:val="27"/>
        </w:rPr>
        <w:t xml:space="preserve">5    </w:t>
      </w:r>
      <w:r>
        <w:rPr>
          <w:rFonts w:ascii="SimHei" w:eastAsia="SimHei" w:hAnsi="SimHei" w:cs="SimHei"/>
          <w:spacing w:val="5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通信电源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68" w:line="217" w:lineRule="auto"/>
        <w:ind w:left="3424"/>
        <w:outlineLvl w:val="1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5.1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  </w:t>
      </w:r>
      <w:r>
        <w:rPr>
          <w:rFonts w:ascii="SimHei" w:eastAsia="SimHei" w:hAnsi="SimHei" w:cs="SimHei"/>
          <w:spacing w:val="-9"/>
          <w:sz w:val="21"/>
          <w:szCs w:val="21"/>
        </w:rPr>
        <w:t>电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9"/>
          <w:sz w:val="21"/>
          <w:szCs w:val="21"/>
        </w:rPr>
        <w:t>源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68" w:line="250" w:lineRule="auto"/>
        <w:ind w:left="972" w:right="978" w:hanging="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5.1.1    </w:t>
      </w:r>
      <w:r>
        <w:rPr>
          <w:rFonts w:ascii="SimSun" w:eastAsia="SimSun" w:hAnsi="SimSun" w:cs="SimSun"/>
          <w:spacing w:val="-1"/>
          <w:sz w:val="21"/>
          <w:szCs w:val="21"/>
        </w:rPr>
        <w:t>机房用电应为</w:t>
      </w:r>
      <w:r>
        <w:rPr>
          <w:rFonts w:ascii="SimSun" w:eastAsia="SimSun" w:hAnsi="SimSun" w:cs="SimSu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380/220V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交流电，机房用电负</w:t>
      </w:r>
      <w:r>
        <w:rPr>
          <w:rFonts w:ascii="SimSun" w:eastAsia="SimSun" w:hAnsi="SimSun" w:cs="SimSun"/>
          <w:spacing w:val="-2"/>
          <w:sz w:val="21"/>
          <w:szCs w:val="21"/>
        </w:rPr>
        <w:t>荷等级不应低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于主体建筑物最高用电负荷等级。</w:t>
      </w:r>
    </w:p>
    <w:p>
      <w:pPr>
        <w:spacing w:before="31" w:line="250" w:lineRule="auto"/>
        <w:ind w:left="971" w:right="964" w:hanging="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5.1.2    </w:t>
      </w:r>
      <w:r>
        <w:rPr>
          <w:rFonts w:ascii="SimSun" w:eastAsia="SimSun" w:hAnsi="SimSun" w:cs="SimSun"/>
          <w:spacing w:val="-3"/>
          <w:sz w:val="21"/>
          <w:szCs w:val="21"/>
        </w:rPr>
        <w:t>基站机房和室分机房内均应配置交流配电箱，并将相应的线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缆敷设至该配电箱。</w:t>
      </w:r>
    </w:p>
    <w:p>
      <w:pPr>
        <w:spacing w:before="31" w:line="250" w:lineRule="auto"/>
        <w:ind w:left="994" w:right="965" w:hanging="2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5.1.3    </w:t>
      </w:r>
      <w:r>
        <w:rPr>
          <w:rFonts w:ascii="SimSun" w:eastAsia="SimSun" w:hAnsi="SimSun" w:cs="SimSun"/>
          <w:spacing w:val="-3"/>
          <w:sz w:val="21"/>
          <w:szCs w:val="21"/>
        </w:rPr>
        <w:t>交流配电箱进线应引自总配电室；应从低压馈电柜（一级配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电）直接引电；不得与其他设备共用一个供电回路。</w:t>
      </w:r>
    </w:p>
    <w:p>
      <w:pPr>
        <w:spacing w:before="31" w:line="220" w:lineRule="auto"/>
        <w:ind w:left="96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5.1.4    </w:t>
      </w:r>
      <w:r>
        <w:rPr>
          <w:rFonts w:ascii="SimSun" w:eastAsia="SimSun" w:hAnsi="SimSun" w:cs="SimSun"/>
          <w:spacing w:val="-3"/>
          <w:sz w:val="21"/>
          <w:szCs w:val="21"/>
        </w:rPr>
        <w:t>机房接地系统应符合下列规定：</w:t>
      </w:r>
    </w:p>
    <w:p>
      <w:pPr>
        <w:spacing w:before="50" w:line="220" w:lineRule="auto"/>
        <w:ind w:left="140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1    </w:t>
      </w:r>
      <w:r>
        <w:rPr>
          <w:rFonts w:ascii="SimSun" w:eastAsia="SimSun" w:hAnsi="SimSun" w:cs="SimSun"/>
          <w:spacing w:val="-3"/>
          <w:sz w:val="21"/>
          <w:szCs w:val="21"/>
        </w:rPr>
        <w:t>机房接地应采用联合接地方式。</w:t>
      </w:r>
    </w:p>
    <w:p>
      <w:pPr>
        <w:spacing w:before="51" w:line="242" w:lineRule="auto"/>
        <w:ind w:left="968" w:right="966" w:firstLine="4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   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机房接地端子采用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40mm×4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mm  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或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50mm×5mm</w:t>
      </w:r>
      <w:r>
        <w:rPr>
          <w:rFonts w:ascii="Times New Roman" w:eastAsia="Times New Roman" w:hAnsi="Times New Roman" w:cs="Times New Roman"/>
          <w:spacing w:val="5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热镀锌扁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钢，与建筑物接地网相连。</w:t>
      </w:r>
    </w:p>
    <w:p>
      <w:pPr>
        <w:spacing w:before="48" w:line="220" w:lineRule="auto"/>
        <w:ind w:left="139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3    </w:t>
      </w:r>
      <w:r>
        <w:rPr>
          <w:rFonts w:ascii="SimSun" w:eastAsia="SimSun" w:hAnsi="SimSun" w:cs="SimSun"/>
          <w:spacing w:val="-2"/>
          <w:sz w:val="21"/>
          <w:szCs w:val="21"/>
        </w:rPr>
        <w:t>基站机房馈线洞外侧应预留接地端子。</w:t>
      </w:r>
    </w:p>
    <w:p>
      <w:pPr>
        <w:spacing w:before="50" w:line="220" w:lineRule="auto"/>
        <w:ind w:left="138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4    </w:t>
      </w:r>
      <w:r>
        <w:rPr>
          <w:rFonts w:ascii="SimSun" w:eastAsia="SimSun" w:hAnsi="SimSun" w:cs="SimSun"/>
          <w:spacing w:val="-1"/>
          <w:sz w:val="21"/>
          <w:szCs w:val="21"/>
        </w:rPr>
        <w:t>机房内的防雷接地电阻≤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pacing w:val="-1"/>
          <w:sz w:val="21"/>
          <w:szCs w:val="21"/>
        </w:rPr>
        <w:t>Ω。</w:t>
      </w:r>
    </w:p>
    <w:p>
      <w:pPr>
        <w:spacing w:before="51" w:line="220" w:lineRule="auto"/>
        <w:ind w:left="96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5.1.5    </w:t>
      </w:r>
      <w:r>
        <w:rPr>
          <w:rFonts w:ascii="SimSun" w:eastAsia="SimSun" w:hAnsi="SimSun" w:cs="SimSun"/>
          <w:spacing w:val="-1"/>
          <w:sz w:val="21"/>
          <w:szCs w:val="21"/>
        </w:rPr>
        <w:t>设有基站的建筑屋面侧墙上应预留</w:t>
      </w:r>
      <w:r>
        <w:rPr>
          <w:rFonts w:ascii="SimSun" w:eastAsia="SimSun" w:hAnsi="SimSun" w:cs="SimSun"/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4 </w:t>
      </w:r>
      <w:r>
        <w:rPr>
          <w:rFonts w:ascii="SimSun" w:eastAsia="SimSun" w:hAnsi="SimSun" w:cs="SimSun"/>
          <w:spacing w:val="-1"/>
          <w:sz w:val="21"/>
          <w:szCs w:val="21"/>
        </w:rPr>
        <w:t>个接地端</w:t>
      </w:r>
      <w:r>
        <w:rPr>
          <w:rFonts w:ascii="SimSun" w:eastAsia="SimSun" w:hAnsi="SimSun" w:cs="SimSun"/>
          <w:spacing w:val="-2"/>
          <w:sz w:val="21"/>
          <w:szCs w:val="21"/>
        </w:rPr>
        <w:t>子箱。</w:t>
      </w:r>
    </w:p>
    <w:p>
      <w:pPr>
        <w:spacing w:before="50" w:line="250" w:lineRule="auto"/>
        <w:ind w:left="970" w:right="979" w:hanging="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5.1.6    </w:t>
      </w:r>
      <w:r>
        <w:rPr>
          <w:rFonts w:ascii="SimSun" w:eastAsia="SimSun" w:hAnsi="SimSun" w:cs="SimSun"/>
          <w:spacing w:val="-1"/>
          <w:sz w:val="21"/>
          <w:szCs w:val="21"/>
        </w:rPr>
        <w:t>每个基站机房预留用电负荷不</w:t>
      </w:r>
      <w:r>
        <w:rPr>
          <w:rFonts w:ascii="SimSun" w:eastAsia="SimSun" w:hAnsi="SimSun" w:cs="SimSun"/>
          <w:spacing w:val="-2"/>
          <w:sz w:val="21"/>
          <w:szCs w:val="21"/>
        </w:rPr>
        <w:t>应小于</w:t>
      </w:r>
      <w:r>
        <w:rPr>
          <w:rFonts w:ascii="SimSun" w:eastAsia="SimSun" w:hAnsi="SimSun" w:cs="SimSun"/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50kW</w:t>
      </w:r>
      <w:r>
        <w:rPr>
          <w:rFonts w:ascii="SimSun" w:eastAsia="SimSun" w:hAnsi="SimSun" w:cs="SimSun"/>
          <w:spacing w:val="-2"/>
          <w:sz w:val="21"/>
          <w:szCs w:val="21"/>
        </w:rPr>
        <w:t>，每个室分机房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预留用电负荷不应小于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10kW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30" w:line="220" w:lineRule="auto"/>
        <w:ind w:left="969"/>
        <w:rPr>
          <w:rFonts w:ascii="SimSun" w:eastAsia="SimSun" w:hAnsi="SimSun" w:cs="SimSun"/>
          <w:sz w:val="21"/>
          <w:szCs w:val="21"/>
        </w:rPr>
        <w:sectPr>
          <w:headerReference w:type="default" r:id="rId25"/>
          <w:pgSz w:w="7936" w:h="11511"/>
          <w:pgMar w:top="400" w:right="0" w:bottom="0" w:left="0" w:header="0" w:footer="0" w:gutter="0"/>
          <w:pgNumType w:start="23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5.1.7    </w:t>
      </w:r>
      <w:r>
        <w:rPr>
          <w:rFonts w:ascii="SimSun" w:eastAsia="SimSun" w:hAnsi="SimSun" w:cs="SimSun"/>
          <w:spacing w:val="-2"/>
          <w:sz w:val="21"/>
          <w:szCs w:val="21"/>
        </w:rPr>
        <w:t>机房用电应有单独的计量装置。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9" w:line="218" w:lineRule="auto"/>
        <w:ind w:left="3320"/>
        <w:outlineLvl w:val="1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5.2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</w:t>
      </w:r>
      <w:r>
        <w:rPr>
          <w:rFonts w:ascii="SimHei" w:eastAsia="SimHei" w:hAnsi="SimHei" w:cs="SimHei"/>
          <w:spacing w:val="-4"/>
          <w:sz w:val="21"/>
          <w:szCs w:val="21"/>
        </w:rPr>
        <w:t>配电设备</w:t>
      </w:r>
    </w:p>
    <w:p>
      <w:pPr>
        <w:spacing w:line="444" w:lineRule="auto"/>
        <w:rPr>
          <w:rFonts w:ascii="Arial"/>
          <w:sz w:val="21"/>
        </w:rPr>
      </w:pPr>
    </w:p>
    <w:p>
      <w:pPr>
        <w:spacing w:before="69" w:line="220" w:lineRule="auto"/>
        <w:ind w:left="96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5.2.1    </w:t>
      </w:r>
      <w:r>
        <w:rPr>
          <w:rFonts w:ascii="SimSun" w:eastAsia="SimSun" w:hAnsi="SimSun" w:cs="SimSun"/>
          <w:spacing w:val="-1"/>
          <w:sz w:val="21"/>
          <w:szCs w:val="21"/>
        </w:rPr>
        <w:t>交流配电箱应内置浪涌保护器（限压型</w:t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SPD</w:t>
      </w:r>
      <w:r>
        <w:rPr>
          <w:rFonts w:ascii="SimSun" w:eastAsia="SimSun" w:hAnsi="SimSun" w:cs="SimSun"/>
          <w:spacing w:val="-53"/>
          <w:sz w:val="21"/>
          <w:szCs w:val="21"/>
        </w:rPr>
        <w:t>），</w:t>
      </w:r>
      <w:r>
        <w:rPr>
          <w:rFonts w:ascii="SimSun" w:eastAsia="SimSun" w:hAnsi="SimSun" w:cs="SimSun"/>
          <w:spacing w:val="-1"/>
          <w:sz w:val="21"/>
          <w:szCs w:val="21"/>
        </w:rPr>
        <w:t>标称放电电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52" w:line="186" w:lineRule="auto"/>
        <w:ind w:left="97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8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26"/>
          <w:type w:val="nextPage"/>
          <w:pgSz w:w="7936" w:h="11511"/>
          <w:pgMar w:top="400" w:right="0" w:bottom="0" w:left="0" w:header="0" w:footer="0" w:gutter="0"/>
          <w:pgNumType w:start="24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9" w:line="251" w:lineRule="auto"/>
        <w:ind w:left="973" w:right="976" w:hanging="3"/>
        <w:rPr>
          <w:rFonts w:ascii="SimSun" w:eastAsia="SimSun" w:hAnsi="SimSun" w:cs="SimSun"/>
          <w:sz w:val="21"/>
          <w:szCs w:val="21"/>
        </w:rPr>
      </w:pPr>
      <w:bookmarkStart w:id="40" w:name="bookmark41"/>
      <w:bookmarkEnd w:id="40"/>
      <w:r>
        <w:rPr>
          <w:rFonts w:ascii="SimSun" w:eastAsia="SimSun" w:hAnsi="SimSun" w:cs="SimSun"/>
          <w:spacing w:val="-4"/>
          <w:sz w:val="21"/>
          <w:szCs w:val="21"/>
        </w:rPr>
        <w:t>流最大通流容量（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Imax</w:t>
      </w:r>
      <w:r>
        <w:rPr>
          <w:rFonts w:ascii="SimSun" w:eastAsia="SimSun" w:hAnsi="SimSun" w:cs="SimSun"/>
          <w:spacing w:val="-4"/>
          <w:sz w:val="21"/>
          <w:szCs w:val="21"/>
        </w:rPr>
        <w:t>）应满足现行国家标准《通信局（站）防雷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与接地工程设计规范》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GB 50689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的规定。</w:t>
      </w:r>
    </w:p>
    <w:p>
      <w:pPr>
        <w:spacing w:before="30" w:line="250" w:lineRule="auto"/>
        <w:ind w:left="968" w:right="96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5.2.2    </w:t>
      </w:r>
      <w:r>
        <w:rPr>
          <w:rFonts w:ascii="SimSun" w:eastAsia="SimSun" w:hAnsi="SimSun" w:cs="SimSun"/>
          <w:spacing w:val="-3"/>
          <w:sz w:val="21"/>
          <w:szCs w:val="21"/>
        </w:rPr>
        <w:t>机房应安装带有接地保护的电源插座，其电源不应与照明电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源同一回路；电源插座回路应带漏电保护。</w:t>
      </w:r>
    </w:p>
    <w:p>
      <w:pPr>
        <w:spacing w:before="30" w:line="220" w:lineRule="auto"/>
        <w:ind w:left="96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5.2.3    </w:t>
      </w:r>
      <w:r>
        <w:rPr>
          <w:rFonts w:ascii="SimSun" w:eastAsia="SimSun" w:hAnsi="SimSun" w:cs="SimSun"/>
          <w:spacing w:val="-2"/>
          <w:sz w:val="21"/>
          <w:szCs w:val="21"/>
        </w:rPr>
        <w:t>交流配电箱宜明装。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68" w:line="219" w:lineRule="auto"/>
        <w:ind w:left="3320"/>
        <w:outlineLvl w:val="1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5.3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</w:t>
      </w:r>
      <w:r>
        <w:rPr>
          <w:rFonts w:ascii="SimHei" w:eastAsia="SimHei" w:hAnsi="SimHei" w:cs="SimHei"/>
          <w:spacing w:val="-4"/>
          <w:sz w:val="21"/>
          <w:szCs w:val="21"/>
        </w:rPr>
        <w:t>配电电缆</w:t>
      </w:r>
    </w:p>
    <w:p>
      <w:pPr>
        <w:spacing w:line="443" w:lineRule="auto"/>
        <w:rPr>
          <w:rFonts w:ascii="Arial"/>
          <w:sz w:val="21"/>
        </w:rPr>
      </w:pPr>
    </w:p>
    <w:p>
      <w:pPr>
        <w:spacing w:before="68" w:line="220" w:lineRule="auto"/>
        <w:ind w:left="96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5.3.1    </w:t>
      </w:r>
      <w:r>
        <w:rPr>
          <w:rFonts w:ascii="SimSun" w:eastAsia="SimSun" w:hAnsi="SimSun" w:cs="SimSun"/>
          <w:spacing w:val="-1"/>
          <w:sz w:val="21"/>
          <w:szCs w:val="21"/>
        </w:rPr>
        <w:t>通信用交流中性线应采用与相线同截</w:t>
      </w:r>
      <w:r>
        <w:rPr>
          <w:rFonts w:ascii="SimSun" w:eastAsia="SimSun" w:hAnsi="SimSun" w:cs="SimSun"/>
          <w:spacing w:val="-2"/>
          <w:sz w:val="21"/>
          <w:szCs w:val="21"/>
        </w:rPr>
        <w:t>面的导线。</w:t>
      </w:r>
    </w:p>
    <w:p>
      <w:pPr>
        <w:spacing w:before="50" w:line="220" w:lineRule="auto"/>
        <w:ind w:left="96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5.3.2    </w:t>
      </w:r>
      <w:r>
        <w:rPr>
          <w:rFonts w:ascii="SimSun" w:eastAsia="SimSun" w:hAnsi="SimSun" w:cs="SimSun"/>
          <w:spacing w:val="-2"/>
          <w:sz w:val="21"/>
          <w:szCs w:val="21"/>
        </w:rPr>
        <w:t>机房内的线缆应采用阻燃或耐火型。</w:t>
      </w:r>
    </w:p>
    <w:p>
      <w:pPr>
        <w:spacing w:before="50" w:line="220" w:lineRule="auto"/>
        <w:ind w:left="96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5.3.3    </w:t>
      </w:r>
      <w:r>
        <w:rPr>
          <w:rFonts w:ascii="SimSun" w:eastAsia="SimSun" w:hAnsi="SimSun" w:cs="SimSun"/>
          <w:spacing w:val="-3"/>
          <w:sz w:val="21"/>
          <w:szCs w:val="21"/>
        </w:rPr>
        <w:t>机房内线缆宜穿钢管或金属线槽明敷设，不宜在楼板内暗敷</w:t>
      </w:r>
    </w:p>
    <w:p>
      <w:pPr>
        <w:spacing w:before="50" w:line="222" w:lineRule="auto"/>
        <w:ind w:left="97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1"/>
          <w:sz w:val="21"/>
          <w:szCs w:val="21"/>
        </w:rPr>
        <w:t>设。</w:t>
      </w:r>
    </w:p>
    <w:p>
      <w:pPr>
        <w:spacing w:before="48" w:line="220" w:lineRule="auto"/>
        <w:ind w:left="96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5.3.4    </w:t>
      </w:r>
      <w:r>
        <w:rPr>
          <w:rFonts w:ascii="SimSun" w:eastAsia="SimSun" w:hAnsi="SimSun" w:cs="SimSun"/>
          <w:spacing w:val="-1"/>
          <w:sz w:val="21"/>
          <w:szCs w:val="21"/>
        </w:rPr>
        <w:t>线缆敷设的金属管壁厚不应小于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1.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5mm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headerReference w:type="default" r:id="rId27"/>
          <w:pgSz w:w="7936" w:h="11511"/>
          <w:pgMar w:top="400" w:right="0" w:bottom="0" w:left="0" w:header="0" w:footer="0" w:gutter="0"/>
          <w:pgNumType w:start="25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53" w:line="186" w:lineRule="auto"/>
        <w:ind w:left="688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9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28"/>
          <w:type w:val="nextPage"/>
          <w:pgSz w:w="7936" w:h="11511"/>
          <w:pgMar w:top="400" w:right="0" w:bottom="0" w:left="0" w:header="0" w:footer="0" w:gutter="0"/>
          <w:pgNumType w:start="26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2" w:lineRule="auto"/>
        <w:ind w:left="3204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b/>
          <w:bCs/>
          <w:spacing w:val="6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4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通信管线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8" w:line="250" w:lineRule="auto"/>
        <w:ind w:left="969" w:right="96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6.0.1    </w:t>
      </w:r>
      <w:r>
        <w:rPr>
          <w:rFonts w:ascii="SimSun" w:eastAsia="SimSun" w:hAnsi="SimSun" w:cs="SimSun"/>
          <w:spacing w:val="-3"/>
          <w:sz w:val="21"/>
          <w:szCs w:val="21"/>
        </w:rPr>
        <w:t>当室分机房未每层设置时，基站机房和室分机房均应与弱电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井之间设置桥架，并垂直上下连通，桥架宽度不应小于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00mm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before="28" w:line="257" w:lineRule="auto"/>
        <w:ind w:left="969" w:right="90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6.0.2    </w:t>
      </w:r>
      <w:r>
        <w:rPr>
          <w:rFonts w:ascii="SimSun" w:eastAsia="SimSun" w:hAnsi="SimSun" w:cs="SimSun"/>
          <w:spacing w:val="-3"/>
          <w:sz w:val="21"/>
          <w:szCs w:val="21"/>
        </w:rPr>
        <w:t>室分机房上下紧邻对齐布置时，室分机房之间应预留设置桥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架及馈线通道，桥架宽度不应小于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100mm</w:t>
      </w:r>
      <w:r>
        <w:rPr>
          <w:rFonts w:ascii="SimSun" w:eastAsia="SimSun" w:hAnsi="SimSun" w:cs="SimSun"/>
          <w:spacing w:val="-4"/>
          <w:sz w:val="21"/>
          <w:szCs w:val="21"/>
        </w:rPr>
        <w:t>，并在各楼层设置出口；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专用桥架宽度不应小于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100mm,</w:t>
      </w:r>
      <w:r>
        <w:rPr>
          <w:rFonts w:ascii="SimSun" w:eastAsia="SimSun" w:hAnsi="SimSun" w:cs="SimSun"/>
          <w:spacing w:val="-2"/>
          <w:sz w:val="21"/>
          <w:szCs w:val="21"/>
        </w:rPr>
        <w:t>垂直方向通到各个楼层，并在各楼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层设置出口。</w:t>
      </w:r>
    </w:p>
    <w:p>
      <w:pPr>
        <w:spacing w:before="33" w:line="250" w:lineRule="auto"/>
        <w:ind w:left="969" w:right="96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6.0.3    </w:t>
      </w:r>
      <w:r>
        <w:rPr>
          <w:rFonts w:ascii="SimSun" w:eastAsia="SimSun" w:hAnsi="SimSun" w:cs="SimSun"/>
          <w:spacing w:val="-3"/>
          <w:sz w:val="21"/>
          <w:szCs w:val="21"/>
        </w:rPr>
        <w:t>机房内应有管孔与建筑物外的光缆管道相通，进线管孔位置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应充分考虑建筑物外部通信管道的方向。</w:t>
      </w:r>
    </w:p>
    <w:p>
      <w:pPr>
        <w:spacing w:before="32" w:line="255" w:lineRule="auto"/>
        <w:ind w:left="970" w:right="964" w:hanging="1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6.0.4    </w:t>
      </w:r>
      <w:r>
        <w:rPr>
          <w:rFonts w:ascii="SimSun" w:eastAsia="SimSun" w:hAnsi="SimSun" w:cs="SimSun"/>
          <w:spacing w:val="-3"/>
          <w:sz w:val="21"/>
          <w:szCs w:val="21"/>
        </w:rPr>
        <w:t>建筑物红线内的通信管道应做管线设计，红线内管道终端手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孔位置与红线外各通信运营商的管道资源衔接，确保红线</w:t>
      </w:r>
      <w:r>
        <w:rPr>
          <w:rFonts w:ascii="SimSun" w:eastAsia="SimSun" w:hAnsi="SimSun" w:cs="SimSun"/>
          <w:spacing w:val="-4"/>
          <w:sz w:val="21"/>
          <w:szCs w:val="21"/>
        </w:rPr>
        <w:t>外的光缆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能够进入建筑物。</w:t>
      </w:r>
    </w:p>
    <w:p>
      <w:pPr>
        <w:spacing w:before="30" w:line="257" w:lineRule="auto"/>
        <w:ind w:left="969" w:right="888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1"/>
          <w:szCs w:val="21"/>
        </w:rPr>
        <w:t xml:space="preserve">6.0.5    </w:t>
      </w:r>
      <w:r>
        <w:rPr>
          <w:rFonts w:ascii="SimSun" w:eastAsia="SimSun" w:hAnsi="SimSun" w:cs="SimSun"/>
          <w:spacing w:val="4"/>
          <w:sz w:val="21"/>
          <w:szCs w:val="21"/>
        </w:rPr>
        <w:t>地下通信管道应与公用电</w:t>
      </w:r>
      <w:r>
        <w:rPr>
          <w:rFonts w:ascii="SimSun" w:eastAsia="SimSun" w:hAnsi="SimSun" w:cs="SimSun"/>
          <w:spacing w:val="3"/>
          <w:sz w:val="21"/>
          <w:szCs w:val="21"/>
        </w:rPr>
        <w:t>信网管道相连，接口宜有两个方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向；地下通信管道应与各建筑物及设备间、电信间的引入管道衔接。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1"/>
          <w:szCs w:val="21"/>
        </w:rPr>
        <w:t xml:space="preserve">6.0.6    </w:t>
      </w:r>
      <w:r>
        <w:rPr>
          <w:rFonts w:ascii="SimSun" w:eastAsia="SimSun" w:hAnsi="SimSun" w:cs="SimSun"/>
          <w:spacing w:val="4"/>
          <w:sz w:val="21"/>
          <w:szCs w:val="21"/>
        </w:rPr>
        <w:t>建筑红线内地下通信管道</w:t>
      </w:r>
      <w:r>
        <w:rPr>
          <w:rFonts w:ascii="SimSun" w:eastAsia="SimSun" w:hAnsi="SimSun" w:cs="SimSun"/>
          <w:spacing w:val="3"/>
          <w:sz w:val="21"/>
          <w:szCs w:val="21"/>
        </w:rPr>
        <w:t>的路由应以设备间为中心向外辐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射，敷设在人行道、绿化带上。</w:t>
      </w:r>
    </w:p>
    <w:p>
      <w:pPr>
        <w:spacing w:before="30" w:line="220" w:lineRule="auto"/>
        <w:ind w:left="96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6.0.7    </w:t>
      </w:r>
      <w:r>
        <w:rPr>
          <w:rFonts w:ascii="SimSun" w:eastAsia="SimSun" w:hAnsi="SimSun" w:cs="SimSun"/>
          <w:spacing w:val="-3"/>
          <w:sz w:val="21"/>
          <w:szCs w:val="21"/>
        </w:rPr>
        <w:t>机房应预留管孔，管孔直径不</w:t>
      </w:r>
      <w:r>
        <w:rPr>
          <w:rFonts w:ascii="SimSun" w:eastAsia="SimSun" w:hAnsi="SimSun" w:cs="SimSun"/>
          <w:spacing w:val="-4"/>
          <w:sz w:val="21"/>
          <w:szCs w:val="21"/>
        </w:rPr>
        <w:t>应小于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100mm</w:t>
      </w:r>
      <w:r>
        <w:rPr>
          <w:rFonts w:ascii="SimSun" w:eastAsia="SimSun" w:hAnsi="SimSun" w:cs="SimSun"/>
          <w:spacing w:val="-4"/>
          <w:sz w:val="21"/>
          <w:szCs w:val="21"/>
        </w:rPr>
        <w:t>，且不得低于</w:t>
      </w:r>
      <w:r>
        <w:rPr>
          <w:rFonts w:ascii="SimSun" w:eastAsia="SimSun" w:hAnsi="SimSun" w:cs="SimSun"/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4</w:t>
      </w:r>
    </w:p>
    <w:p>
      <w:pPr>
        <w:spacing w:before="50" w:line="222" w:lineRule="auto"/>
        <w:ind w:left="97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孔。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headerReference w:type="default" r:id="rId29"/>
          <w:pgSz w:w="7936" w:h="11511"/>
          <w:pgMar w:top="400" w:right="0" w:bottom="0" w:left="0" w:header="0" w:footer="0" w:gutter="0"/>
          <w:pgNumType w:start="27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52" w:line="186" w:lineRule="auto"/>
        <w:ind w:left="98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6"/>
          <w:sz w:val="18"/>
          <w:szCs w:val="18"/>
        </w:rPr>
        <w:t>10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30"/>
          <w:type w:val="nextPage"/>
          <w:pgSz w:w="7936" w:h="11511"/>
          <w:pgMar w:top="400" w:right="0" w:bottom="0" w:left="0" w:header="0" w:footer="0" w:gutter="0"/>
          <w:pgNumType w:start="28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5" w:lineRule="auto"/>
        <w:ind w:left="3203"/>
        <w:outlineLvl w:val="0"/>
        <w:rPr>
          <w:rFonts w:ascii="SimHei" w:eastAsia="SimHei" w:hAnsi="SimHei" w:cs="SimHei"/>
          <w:sz w:val="27"/>
          <w:szCs w:val="27"/>
        </w:rPr>
      </w:pPr>
      <w:bookmarkStart w:id="41" w:name="bookmark42"/>
      <w:bookmarkEnd w:id="41"/>
      <w:r>
        <w:rPr>
          <w:rFonts w:ascii="Times New Roman" w:eastAsia="Times New Roman" w:hAnsi="Times New Roman" w:cs="Times New Roman"/>
          <w:b/>
          <w:bCs/>
          <w:spacing w:val="5"/>
          <w:sz w:val="27"/>
          <w:szCs w:val="27"/>
        </w:rPr>
        <w:t xml:space="preserve">7    </w:t>
      </w:r>
      <w:r>
        <w:rPr>
          <w:rFonts w:ascii="SimHei" w:eastAsia="SimHei" w:hAnsi="SimHei" w:cs="SimHei"/>
          <w:spacing w:val="5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屋面设施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68" w:line="257" w:lineRule="auto"/>
        <w:ind w:left="970" w:right="961" w:hanging="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7.0.1    </w:t>
      </w:r>
      <w:r>
        <w:rPr>
          <w:rFonts w:ascii="SimSun" w:eastAsia="SimSun" w:hAnsi="SimSun" w:cs="SimSun"/>
          <w:sz w:val="21"/>
          <w:szCs w:val="21"/>
        </w:rPr>
        <w:t xml:space="preserve">设有基站机房的屋面，当建筑屋面高度不低于 </w:t>
      </w:r>
      <w:r>
        <w:rPr>
          <w:rFonts w:ascii="Times New Roman" w:eastAsia="Times New Roman" w:hAnsi="Times New Roman" w:cs="Times New Roman"/>
          <w:sz w:val="21"/>
          <w:szCs w:val="21"/>
        </w:rPr>
        <w:t>30.00m</w:t>
      </w:r>
      <w:r>
        <w:rPr>
          <w:rFonts w:ascii="SimSun" w:eastAsia="SimSun" w:hAnsi="SimSun" w:cs="SimSun"/>
          <w:spacing w:val="-1"/>
          <w:sz w:val="21"/>
          <w:szCs w:val="21"/>
        </w:rPr>
        <w:t>，且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屋面女儿墙不是钢筋混凝土结构的建筑或女儿墙高度底于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.00m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时，应预留不少于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12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个钢筋混凝土柱墩作为设备基础，设备基础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可不考虑设备震动，柱墩设置要求如下：</w:t>
      </w:r>
    </w:p>
    <w:p>
      <w:pPr>
        <w:spacing w:before="31" w:line="253" w:lineRule="auto"/>
        <w:ind w:left="969" w:right="964" w:firstLine="43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1    </w:t>
      </w:r>
      <w:r>
        <w:rPr>
          <w:rFonts w:ascii="SimSun" w:eastAsia="SimSun" w:hAnsi="SimSun" w:cs="SimSun"/>
          <w:sz w:val="21"/>
          <w:szCs w:val="21"/>
        </w:rPr>
        <w:t>设备基础应位于建筑屋面的四角布置，每个屋面角布</w:t>
      </w:r>
      <w:r>
        <w:rPr>
          <w:rFonts w:ascii="SimSun" w:eastAsia="SimSun" w:hAnsi="SimSun" w:cs="SimSun"/>
          <w:spacing w:val="-1"/>
          <w:sz w:val="21"/>
          <w:szCs w:val="21"/>
        </w:rPr>
        <w:t>置不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应少于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3 </w:t>
      </w:r>
      <w:r>
        <w:rPr>
          <w:rFonts w:ascii="SimSun" w:eastAsia="SimSun" w:hAnsi="SimSun" w:cs="SimSun"/>
          <w:spacing w:val="-2"/>
          <w:sz w:val="21"/>
          <w:szCs w:val="21"/>
        </w:rPr>
        <w:t>个设备基础，柱墩距离屋面边缘</w:t>
      </w:r>
      <w:r>
        <w:rPr>
          <w:rFonts w:ascii="SimSun" w:eastAsia="SimSun" w:hAnsi="SimSun" w:cs="SimSun"/>
          <w:spacing w:val="-3"/>
          <w:sz w:val="21"/>
          <w:szCs w:val="21"/>
        </w:rPr>
        <w:t>不宜大于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1.50m</w:t>
      </w:r>
      <w:r>
        <w:rPr>
          <w:rFonts w:ascii="SimSun" w:eastAsia="SimSun" w:hAnsi="SimSun" w:cs="SimSun"/>
          <w:spacing w:val="-3"/>
          <w:sz w:val="21"/>
          <w:szCs w:val="21"/>
        </w:rPr>
        <w:t>；当屋面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长度大于</w:t>
      </w:r>
      <w:r>
        <w:rPr>
          <w:rFonts w:ascii="SimSun" w:eastAsia="SimSun" w:hAnsi="SimSun" w:cs="SimSun"/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60.00m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时，屋面中部应布置</w:t>
      </w:r>
      <w:r>
        <w:rPr>
          <w:rFonts w:ascii="SimSun" w:eastAsia="SimSun" w:hAnsi="SimSun" w:cs="SimSun"/>
          <w:spacing w:val="-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个设备基础，设备基础中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心应距离不应小于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1.50m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48" w:line="242" w:lineRule="auto"/>
        <w:ind w:left="990" w:right="981" w:firstLine="39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   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设备基础截面应为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900mm×900mm</w:t>
      </w:r>
      <w:r>
        <w:rPr>
          <w:rFonts w:ascii="SimSun" w:eastAsia="SimSun" w:hAnsi="SimSun" w:cs="SimSun"/>
          <w:spacing w:val="-1"/>
          <w:sz w:val="21"/>
          <w:szCs w:val="21"/>
        </w:rPr>
        <w:t>，设备基础顶标高应相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同并高出屋面不应小于</w:t>
      </w:r>
      <w:r>
        <w:rPr>
          <w:rFonts w:ascii="SimSun" w:eastAsia="SimSun" w:hAnsi="SimSun" w:cs="SimSun"/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300mm</w:t>
      </w:r>
      <w:r>
        <w:rPr>
          <w:rFonts w:ascii="SimSun" w:eastAsia="SimSun" w:hAnsi="SimSun" w:cs="SimSun"/>
          <w:spacing w:val="-3"/>
          <w:sz w:val="21"/>
          <w:szCs w:val="21"/>
        </w:rPr>
        <w:t>，设备基础应预埋锚栓。</w:t>
      </w:r>
    </w:p>
    <w:p>
      <w:pPr>
        <w:spacing w:before="49" w:line="242" w:lineRule="auto"/>
        <w:ind w:left="973" w:right="974" w:firstLine="41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3    </w:t>
      </w:r>
      <w:r>
        <w:rPr>
          <w:rFonts w:ascii="SimSun" w:eastAsia="SimSun" w:hAnsi="SimSun" w:cs="SimSun"/>
          <w:spacing w:val="-2"/>
          <w:sz w:val="21"/>
          <w:szCs w:val="21"/>
        </w:rPr>
        <w:t>每个设备基础附加荷载最小设计值应为弯矩：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20kN·m</w:t>
      </w:r>
      <w:r>
        <w:rPr>
          <w:rFonts w:ascii="SimSun" w:eastAsia="SimSun" w:hAnsi="SimSun" w:cs="SimSun"/>
          <w:spacing w:val="-2"/>
          <w:sz w:val="21"/>
          <w:szCs w:val="21"/>
        </w:rPr>
        <w:t>、剪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力：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10kN</w:t>
      </w:r>
      <w:r>
        <w:rPr>
          <w:rFonts w:ascii="SimSun" w:eastAsia="SimSun" w:hAnsi="SimSun" w:cs="SimSun"/>
          <w:spacing w:val="-1"/>
          <w:sz w:val="21"/>
          <w:szCs w:val="21"/>
        </w:rPr>
        <w:t>、轴力：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5kN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50" w:line="243" w:lineRule="auto"/>
        <w:ind w:left="968" w:right="965" w:firstLine="4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4    </w:t>
      </w:r>
      <w:r>
        <w:rPr>
          <w:rFonts w:ascii="SimSun" w:eastAsia="SimSun" w:hAnsi="SimSun" w:cs="SimSun"/>
          <w:spacing w:val="1"/>
          <w:sz w:val="21"/>
          <w:szCs w:val="21"/>
        </w:rPr>
        <w:t>设备基础内钢筋应与建筑物接地</w:t>
      </w:r>
      <w:r>
        <w:rPr>
          <w:rFonts w:ascii="SimSun" w:eastAsia="SimSun" w:hAnsi="SimSun" w:cs="SimSun"/>
          <w:sz w:val="21"/>
          <w:szCs w:val="21"/>
        </w:rPr>
        <w:t xml:space="preserve">网相连，每个设备基础连 </w:t>
      </w:r>
      <w:r>
        <w:rPr>
          <w:rFonts w:ascii="SimSun" w:eastAsia="SimSun" w:hAnsi="SimSun" w:cs="SimSun"/>
          <w:spacing w:val="-4"/>
          <w:sz w:val="21"/>
          <w:szCs w:val="21"/>
        </w:rPr>
        <w:t>接点不应少于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处。</w:t>
      </w:r>
    </w:p>
    <w:p>
      <w:pPr>
        <w:spacing w:before="48" w:line="220" w:lineRule="auto"/>
        <w:ind w:left="139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5    </w:t>
      </w:r>
      <w:r>
        <w:rPr>
          <w:rFonts w:ascii="SimSun" w:eastAsia="SimSun" w:hAnsi="SimSun" w:cs="SimSun"/>
          <w:spacing w:val="-2"/>
          <w:sz w:val="21"/>
          <w:szCs w:val="21"/>
        </w:rPr>
        <w:t>预留柱墩位置应做好保温防水措施。</w:t>
      </w:r>
    </w:p>
    <w:p>
      <w:pPr>
        <w:spacing w:before="48" w:line="255" w:lineRule="auto"/>
        <w:ind w:left="968" w:right="963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7.0.2    </w:t>
      </w:r>
      <w:r>
        <w:rPr>
          <w:rFonts w:ascii="SimSun" w:eastAsia="SimSun" w:hAnsi="SimSun" w:cs="SimSun"/>
          <w:spacing w:val="-1"/>
          <w:sz w:val="21"/>
          <w:szCs w:val="21"/>
        </w:rPr>
        <w:t>设有基站机房的屋面，当建筑屋面高度低于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30.0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0m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的建筑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时，屋面应预留不少于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3 </w:t>
      </w:r>
      <w:r>
        <w:rPr>
          <w:rFonts w:ascii="SimSun" w:eastAsia="SimSun" w:hAnsi="SimSun" w:cs="SimSun"/>
          <w:spacing w:val="-3"/>
          <w:sz w:val="21"/>
          <w:szCs w:val="21"/>
        </w:rPr>
        <w:t>个钢筋混凝土柱墩作为设</w:t>
      </w:r>
      <w:r>
        <w:rPr>
          <w:rFonts w:ascii="SimSun" w:eastAsia="SimSun" w:hAnsi="SimSun" w:cs="SimSun"/>
          <w:spacing w:val="-4"/>
          <w:sz w:val="21"/>
          <w:szCs w:val="21"/>
        </w:rPr>
        <w:t>备基础，设备基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础可不考虑设备震动，柱墩设置应符合下列要求：</w:t>
      </w:r>
    </w:p>
    <w:p>
      <w:pPr>
        <w:spacing w:before="31" w:line="242" w:lineRule="auto"/>
        <w:ind w:left="971" w:right="972" w:firstLine="434"/>
        <w:rPr>
          <w:rFonts w:ascii="SimSun" w:eastAsia="SimSun" w:hAnsi="SimSun" w:cs="SimSun"/>
          <w:sz w:val="21"/>
          <w:szCs w:val="21"/>
        </w:rPr>
        <w:sectPr>
          <w:headerReference w:type="default" r:id="rId31"/>
          <w:pgSz w:w="7936" w:h="11511"/>
          <w:pgMar w:top="400" w:right="0" w:bottom="0" w:left="0" w:header="0" w:footer="0" w:gutter="0"/>
          <w:pgNumType w:start="29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1    </w:t>
      </w:r>
      <w:r>
        <w:rPr>
          <w:rFonts w:ascii="SimSun" w:eastAsia="SimSun" w:hAnsi="SimSun" w:cs="SimSun"/>
          <w:spacing w:val="-1"/>
          <w:sz w:val="21"/>
          <w:szCs w:val="21"/>
        </w:rPr>
        <w:t>柱墩中心距离为</w:t>
      </w:r>
      <w:r>
        <w:rPr>
          <w:rFonts w:ascii="SimSun" w:eastAsia="SimSun" w:hAnsi="SimSun" w:cs="SimSun"/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3.00m~9.00m </w:t>
      </w:r>
      <w:r>
        <w:rPr>
          <w:rFonts w:ascii="SimSun" w:eastAsia="SimSun" w:hAnsi="SimSun" w:cs="SimSun"/>
          <w:spacing w:val="-1"/>
          <w:sz w:val="21"/>
          <w:szCs w:val="21"/>
        </w:rPr>
        <w:t>之间，柱墩之间</w:t>
      </w:r>
      <w:r>
        <w:rPr>
          <w:rFonts w:ascii="SimSun" w:eastAsia="SimSun" w:hAnsi="SimSun" w:cs="SimSun"/>
          <w:spacing w:val="-2"/>
          <w:sz w:val="21"/>
          <w:szCs w:val="21"/>
        </w:rPr>
        <w:t>应成为等腰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直角三角形并宜靠近机房馈线洞。</w:t>
      </w:r>
    </w:p>
    <w:p>
      <w:pPr>
        <w:spacing w:before="50" w:line="242" w:lineRule="auto"/>
        <w:ind w:left="990" w:right="982" w:firstLine="39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   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设备基础截面应为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400mm×400mm</w:t>
      </w:r>
      <w:r>
        <w:rPr>
          <w:rFonts w:ascii="SimSun" w:eastAsia="SimSun" w:hAnsi="SimSun" w:cs="SimSun"/>
          <w:spacing w:val="-1"/>
          <w:sz w:val="21"/>
          <w:szCs w:val="21"/>
        </w:rPr>
        <w:t>，设备基础顶标高应相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同并高出屋面不小于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400mm</w:t>
      </w:r>
      <w:r>
        <w:rPr>
          <w:rFonts w:ascii="SimSun" w:eastAsia="SimSun" w:hAnsi="SimSun" w:cs="SimSun"/>
          <w:spacing w:val="-3"/>
          <w:sz w:val="21"/>
          <w:szCs w:val="21"/>
        </w:rPr>
        <w:t>，设备基础应预埋锚栓。</w:t>
      </w:r>
    </w:p>
    <w:p>
      <w:pPr>
        <w:spacing w:before="49" w:line="220" w:lineRule="auto"/>
        <w:ind w:left="139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3    </w:t>
      </w:r>
      <w:r>
        <w:rPr>
          <w:rFonts w:ascii="SimSun" w:eastAsia="SimSun" w:hAnsi="SimSun" w:cs="SimSun"/>
          <w:spacing w:val="-6"/>
          <w:sz w:val="21"/>
          <w:szCs w:val="21"/>
        </w:rPr>
        <w:t>每个设备基础附加荷载最小设计值应为剪力：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50kN</w:t>
      </w:r>
      <w:r>
        <w:rPr>
          <w:rFonts w:ascii="SimSun" w:eastAsia="SimSun" w:hAnsi="SimSun" w:cs="SimSun"/>
          <w:spacing w:val="-6"/>
          <w:sz w:val="21"/>
          <w:szCs w:val="21"/>
        </w:rPr>
        <w:t>、轴力：</w:t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53" w:line="186" w:lineRule="auto"/>
        <w:ind w:left="68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8"/>
          <w:sz w:val="18"/>
          <w:szCs w:val="18"/>
        </w:rPr>
        <w:t>11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32"/>
          <w:type w:val="nextPage"/>
          <w:pgSz w:w="7936" w:h="11511"/>
          <w:pgMar w:top="400" w:right="0" w:bottom="0" w:left="0" w:header="0" w:footer="0" w:gutter="0"/>
          <w:pgNumType w:start="30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9" w:line="220" w:lineRule="auto"/>
        <w:ind w:left="98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150kN</w:t>
      </w:r>
      <w:r>
        <w:rPr>
          <w:rFonts w:ascii="SimSun" w:eastAsia="SimSun" w:hAnsi="SimSun" w:cs="SimSun"/>
          <w:spacing w:val="-7"/>
          <w:sz w:val="21"/>
          <w:szCs w:val="21"/>
        </w:rPr>
        <w:t>（最小压力：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150kN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、最小拔力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150kN</w:t>
      </w:r>
      <w:r>
        <w:rPr>
          <w:rFonts w:ascii="SimSun" w:eastAsia="SimSun" w:hAnsi="SimSun" w:cs="SimSun"/>
          <w:spacing w:val="-7"/>
          <w:sz w:val="21"/>
          <w:szCs w:val="21"/>
        </w:rPr>
        <w:t>）。</w:t>
      </w:r>
    </w:p>
    <w:p>
      <w:pPr>
        <w:spacing w:before="49" w:line="251" w:lineRule="auto"/>
        <w:ind w:left="969" w:right="965" w:firstLine="4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4    </w:t>
      </w:r>
      <w:r>
        <w:rPr>
          <w:rFonts w:ascii="SimSun" w:eastAsia="SimSun" w:hAnsi="SimSun" w:cs="SimSun"/>
          <w:spacing w:val="1"/>
          <w:sz w:val="21"/>
          <w:szCs w:val="21"/>
        </w:rPr>
        <w:t>设备基础内钢筋应与建筑物接地</w:t>
      </w:r>
      <w:r>
        <w:rPr>
          <w:rFonts w:ascii="SimSun" w:eastAsia="SimSun" w:hAnsi="SimSun" w:cs="SimSun"/>
          <w:sz w:val="21"/>
          <w:szCs w:val="21"/>
        </w:rPr>
        <w:t xml:space="preserve">网相连，每个设备基础连 </w:t>
      </w:r>
      <w:r>
        <w:rPr>
          <w:rFonts w:ascii="SimSun" w:eastAsia="SimSun" w:hAnsi="SimSun" w:cs="SimSun"/>
          <w:spacing w:val="-4"/>
          <w:sz w:val="21"/>
          <w:szCs w:val="21"/>
        </w:rPr>
        <w:t>接点不应少于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处。</w:t>
      </w:r>
    </w:p>
    <w:p>
      <w:pPr>
        <w:spacing w:before="28" w:line="255" w:lineRule="auto"/>
        <w:ind w:left="969" w:right="924" w:hanging="1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7.0.3    </w:t>
      </w:r>
      <w:r>
        <w:rPr>
          <w:rFonts w:ascii="SimSun" w:eastAsia="SimSun" w:hAnsi="SimSun" w:cs="SimSun"/>
          <w:sz w:val="21"/>
          <w:szCs w:val="21"/>
        </w:rPr>
        <w:t xml:space="preserve">设有基站机房的屋面，当建筑屋面高度不低于 </w:t>
      </w:r>
      <w:r>
        <w:rPr>
          <w:rFonts w:ascii="Times New Roman" w:eastAsia="Times New Roman" w:hAnsi="Times New Roman" w:cs="Times New Roman"/>
          <w:sz w:val="21"/>
          <w:szCs w:val="21"/>
        </w:rPr>
        <w:t>30.00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</w:t>
      </w:r>
      <w:r>
        <w:rPr>
          <w:rFonts w:ascii="SimSun" w:eastAsia="SimSun" w:hAnsi="SimSun" w:cs="SimSun"/>
          <w:spacing w:val="-1"/>
          <w:sz w:val="21"/>
          <w:szCs w:val="21"/>
        </w:rPr>
        <w:t>，屋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面女儿墙为钢筋混凝土结构的建筑且女儿墙高度不少于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1.0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0m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时，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屋面可不预留柱墩等设施作为设备基础。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headerReference w:type="default" r:id="rId33"/>
          <w:pgSz w:w="7936" w:h="11511"/>
          <w:pgMar w:top="400" w:right="0" w:bottom="0" w:left="0" w:header="0" w:footer="0" w:gutter="0"/>
          <w:pgNumType w:start="31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51" w:line="186" w:lineRule="auto"/>
        <w:ind w:left="98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6"/>
          <w:sz w:val="18"/>
          <w:szCs w:val="18"/>
        </w:rPr>
        <w:t>12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34"/>
          <w:type w:val="nextPage"/>
          <w:pgSz w:w="7936" w:h="11511"/>
          <w:pgMar w:top="400" w:right="0" w:bottom="0" w:left="0" w:header="0" w:footer="0" w:gutter="0"/>
          <w:pgNumType w:start="32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5" w:lineRule="auto"/>
        <w:ind w:left="3343"/>
        <w:outlineLvl w:val="0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7"/>
          <w:szCs w:val="27"/>
        </w:rPr>
        <w:t>8</w:t>
      </w:r>
      <w:r>
        <w:rPr>
          <w:rFonts w:ascii="Times New Roman" w:eastAsia="Times New Roman" w:hAnsi="Times New Roman" w:cs="Times New Roman"/>
          <w:b/>
          <w:bCs/>
          <w:spacing w:val="5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-3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验</w:t>
      </w:r>
      <w:r>
        <w:rPr>
          <w:rFonts w:ascii="SimHei" w:eastAsia="SimHei" w:hAnsi="SimHei" w:cs="SimHei"/>
          <w:spacing w:val="15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-3"/>
          <w:sz w:val="27"/>
          <w:szCs w:val="27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收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68" w:line="255" w:lineRule="auto"/>
        <w:ind w:left="969" w:right="963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1"/>
          <w:szCs w:val="21"/>
        </w:rPr>
        <w:t xml:space="preserve">8.0.1    </w:t>
      </w:r>
      <w:r>
        <w:rPr>
          <w:rFonts w:ascii="SimSun" w:eastAsia="SimSun" w:hAnsi="SimSun" w:cs="SimSun"/>
          <w:spacing w:val="-5"/>
          <w:sz w:val="21"/>
          <w:szCs w:val="21"/>
        </w:rPr>
        <w:t>主要设备、材料、成品和半成品</w:t>
      </w:r>
      <w:r>
        <w:rPr>
          <w:rFonts w:ascii="SimSun" w:eastAsia="SimSun" w:hAnsi="SimSun" w:cs="SimSun"/>
          <w:spacing w:val="-6"/>
          <w:sz w:val="21"/>
          <w:szCs w:val="21"/>
        </w:rPr>
        <w:t>应验收合格， 并应做好验收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记录和验收资料归档。当设计有技术参数要求时，</w:t>
      </w:r>
      <w:r>
        <w:rPr>
          <w:rFonts w:ascii="SimSun" w:eastAsia="SimSun" w:hAnsi="SimSun" w:cs="SimSun"/>
          <w:spacing w:val="-4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应核对其技术参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数，并应符合设计要求。</w:t>
      </w:r>
    </w:p>
    <w:p>
      <w:pPr>
        <w:spacing w:before="29" w:line="255" w:lineRule="auto"/>
        <w:ind w:left="969" w:right="907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8.0.2    </w:t>
      </w:r>
      <w:r>
        <w:rPr>
          <w:rFonts w:ascii="SimSun" w:eastAsia="SimSun" w:hAnsi="SimSun" w:cs="SimSun"/>
          <w:spacing w:val="-1"/>
          <w:sz w:val="21"/>
          <w:szCs w:val="21"/>
        </w:rPr>
        <w:t>电气设备、器具和材料验收时，应提供质量合格证明文件，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性能检测报告以及安装、使用、维修和试验要求和说明等技术文</w:t>
      </w:r>
      <w:r>
        <w:rPr>
          <w:rFonts w:ascii="SimSun" w:eastAsia="SimSun" w:hAnsi="SimSun" w:cs="SimSun"/>
          <w:spacing w:val="-9"/>
          <w:sz w:val="21"/>
          <w:szCs w:val="21"/>
        </w:rPr>
        <w:t>件；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对有商检规定要求的进口电气设备，应提供商检证明。</w:t>
      </w:r>
    </w:p>
    <w:p>
      <w:pPr>
        <w:spacing w:before="32" w:line="250" w:lineRule="auto"/>
        <w:ind w:left="970" w:right="964" w:hanging="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8.0.3    </w:t>
      </w:r>
      <w:r>
        <w:rPr>
          <w:rFonts w:ascii="SimSun" w:eastAsia="SimSun" w:hAnsi="SimSun" w:cs="SimSun"/>
          <w:spacing w:val="-3"/>
          <w:sz w:val="21"/>
          <w:szCs w:val="21"/>
        </w:rPr>
        <w:t>安装和调试用各类计量器具应检定合格，且使用时应在检定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有效期内。</w:t>
      </w:r>
    </w:p>
    <w:p>
      <w:pPr>
        <w:spacing w:before="30" w:line="250" w:lineRule="auto"/>
        <w:ind w:left="988" w:right="964" w:hanging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8.0.4    </w:t>
      </w:r>
      <w:r>
        <w:rPr>
          <w:rFonts w:ascii="SimSun" w:eastAsia="SimSun" w:hAnsi="SimSun" w:cs="SimSun"/>
          <w:spacing w:val="-3"/>
          <w:sz w:val="21"/>
          <w:szCs w:val="21"/>
        </w:rPr>
        <w:t>电气设备的外露可导电部分应单独与保护导体相连接，不得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串连接，连接导体的材质、截面应符合设计要求。</w:t>
      </w:r>
    </w:p>
    <w:p>
      <w:pPr>
        <w:spacing w:before="30" w:line="220" w:lineRule="auto"/>
        <w:ind w:left="96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8.0.5    </w:t>
      </w:r>
      <w:r>
        <w:rPr>
          <w:rFonts w:ascii="SimSun" w:eastAsia="SimSun" w:hAnsi="SimSun" w:cs="SimSun"/>
          <w:spacing w:val="-1"/>
          <w:sz w:val="21"/>
          <w:szCs w:val="21"/>
        </w:rPr>
        <w:t>本标准未提及的验收要求均应与主体建筑验收标准相</w:t>
      </w:r>
      <w:r>
        <w:rPr>
          <w:rFonts w:ascii="SimSun" w:eastAsia="SimSun" w:hAnsi="SimSun" w:cs="SimSun"/>
          <w:spacing w:val="-2"/>
          <w:sz w:val="21"/>
          <w:szCs w:val="21"/>
        </w:rPr>
        <w:t>同。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https://d.book118.com/517110201166006052</w:t>
        </w:r>
      </w:hyperlink>
    </w:p>
    <w:p>
      <w:pPr>
        <w:spacing w:line="249" w:lineRule="auto"/>
        <w:rPr>
          <w:rFonts w:ascii="Arial"/>
          <w:sz w:val="21"/>
        </w:rPr>
      </w:pPr>
    </w:p>
    <w:sectPr>
      <w:headerReference w:type="default" r:id="rId36"/>
      <w:pgSz w:w="7936" w:h="11511"/>
      <w:pgMar w:top="400" w:right="0" w:bottom="0" w:left="0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27815052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815052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952043269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2043269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50456705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456705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2128037003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037003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77706185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706185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722141767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2141767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402860370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2860370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676603815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6603815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823856326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856326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177154588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7154588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44288398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88398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955159781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5159781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1775761071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5761071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1998</wp:posOffset>
          </wp:positionV>
          <wp:extent cx="5039288" cy="7305384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39288" cy="7305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7"/>
      <w:szCs w:val="2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header" Target="header16.xml" /><Relationship Id="rId21" Type="http://schemas.openxmlformats.org/officeDocument/2006/relationships/header" Target="header17.xml" /><Relationship Id="rId22" Type="http://schemas.openxmlformats.org/officeDocument/2006/relationships/header" Target="header18.xml" /><Relationship Id="rId23" Type="http://schemas.openxmlformats.org/officeDocument/2006/relationships/header" Target="header19.xm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eader" Target="header22.xml" /><Relationship Id="rId27" Type="http://schemas.openxmlformats.org/officeDocument/2006/relationships/header" Target="header23.xml" /><Relationship Id="rId28" Type="http://schemas.openxmlformats.org/officeDocument/2006/relationships/header" Target="header24.xml" /><Relationship Id="rId29" Type="http://schemas.openxmlformats.org/officeDocument/2006/relationships/header" Target="header25.xml" /><Relationship Id="rId3" Type="http://schemas.openxmlformats.org/officeDocument/2006/relationships/fontTable" Target="fontTable.xml" /><Relationship Id="rId30" Type="http://schemas.openxmlformats.org/officeDocument/2006/relationships/header" Target="header26.xml" /><Relationship Id="rId31" Type="http://schemas.openxmlformats.org/officeDocument/2006/relationships/header" Target="header27.xml" /><Relationship Id="rId32" Type="http://schemas.openxmlformats.org/officeDocument/2006/relationships/header" Target="header28.xml" /><Relationship Id="rId33" Type="http://schemas.openxmlformats.org/officeDocument/2006/relationships/header" Target="header29.xml" /><Relationship Id="rId34" Type="http://schemas.openxmlformats.org/officeDocument/2006/relationships/header" Target="header30.xml" /><Relationship Id="rId35" Type="http://schemas.openxmlformats.org/officeDocument/2006/relationships/hyperlink" Target="https://d.book118.com/517110201166006052" TargetMode="External" /><Relationship Id="rId36" Type="http://schemas.openxmlformats.org/officeDocument/2006/relationships/header" Target="header31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&lt;4D6963726F736F667420576F7264202D20A1B6CCECBDF2CAD0BDA8D6FECEEFD2C6B6AFCDA8D0C5BBF9B4A1C9E8CAA9BDA8C9E8B1EAD7BCA1B7D3A1CBA2B0E62E646F63&gt;</dc:title>
  <dc:creator>Administrator</dc:creator>
  <cp:revision>0</cp:revision>
  <dcterms:created xsi:type="dcterms:W3CDTF">2019-05-21T10:35:21Z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2024-03-15T11:51:58Z</vt:filetime>
  </property>
  <property fmtid="{D5CDD505-2E9C-101B-9397-08002B2CF9AE}" pid="3" name="CRO">
    <vt:lpwstr>wqlLaW5nc29mdCBQREYgdG8gV1BTIDEwMA</vt:lpwstr>
  </property>
</Properties>
</file>