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贫煤相关行业公司成立报告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(七)、贫煤项目建设必要性分析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(一)、贫煤项目选址原则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(五)、贫煤项目选址综合评价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eastAsia="zh-CN"/>
          </w:rPr>
          <w:t>(五)、贫煤项目总投资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八、贫煤项目经济效益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(三)、贫煤项目盈利能力分析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九、贫煤项目风险分析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(一)、贫煤项目风险分析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(二)、贫煤项目风险对策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_Toc24961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(二)、合作贫煤项目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(一)、社会责任贫煤项目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8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https://d.book118.com/517115120056006034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贫煤相关行业公司成立报告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贫煤相关行业公司成立报告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贫煤相关行业公司成立报告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贫煤相关行业公司成立报告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贫煤相关行业公司成立报告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115120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2024-01-16T05:11:00Z</dcterms:created>
  <dcterms:modified xsi:type="dcterms:W3CDTF">2024-01-16T05:12:03Z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9C382D5D741647F49AD53603E8F18165_11</vt:lpwstr>
  </property>
  <property fmtid="{D5CDD505-2E9C-101B-9397-08002B2CF9AE}" pid="3" name="KSOProductBuildVer">
    <vt:lpwstr>2052-12.1.0.16120</vt:lpwstr>
  </property>
</Properties>
</file>