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多功能水质现场监测仪项目成效分析报告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36" w:history="1">
        <w:r>
          <w:rPr>
            <w:rFonts w:ascii="仿宋" w:eastAsia="仿宋" w:hAnsi="仿宋" w:cs="仿宋" w:hint="eastAsia"/>
            <w:lang w:eastAsia="zh-CN"/>
          </w:rPr>
          <w:t>概论</w:t>
        </w:r>
        <w:r>
          <w:tab/>
        </w:r>
        <w:r>
          <w:fldChar w:fldCharType="begin"/>
        </w:r>
        <w:r>
          <w:instrText xml:space="preserve"> PAGEREF _Toc24136 \h </w:instrText>
        </w:r>
        <w:r>
          <w:fldChar w:fldCharType="separate"/>
        </w:r>
        <w:r>
          <w:t>3</w:t>
        </w:r>
        <w:r>
          <w:fldChar w:fldCharType="end"/>
        </w:r>
      </w:hyperlink>
    </w:p>
    <w:p>
      <w:pPr>
        <w:pStyle w:val="TOC1"/>
        <w:tabs>
          <w:tab w:val="right" w:leader="dot" w:pos="8306"/>
        </w:tabs>
      </w:pPr>
      <w:hyperlink w:anchor="_Toc3133" w:history="1">
        <w:r>
          <w:rPr>
            <w:rFonts w:ascii="仿宋" w:eastAsia="仿宋" w:hAnsi="仿宋" w:cs="仿宋" w:hint="eastAsia"/>
            <w:lang w:eastAsia="zh-CN"/>
          </w:rPr>
          <w:t>一、组织架构与人力资源配置</w:t>
        </w:r>
        <w:r>
          <w:tab/>
        </w:r>
        <w:r>
          <w:fldChar w:fldCharType="begin"/>
        </w:r>
        <w:r>
          <w:instrText xml:space="preserve"> PAGEREF _Toc3133 \h </w:instrText>
        </w:r>
        <w:r>
          <w:fldChar w:fldCharType="separate"/>
        </w:r>
        <w:r>
          <w:t>3</w:t>
        </w:r>
        <w:r>
          <w:fldChar w:fldCharType="end"/>
        </w:r>
      </w:hyperlink>
    </w:p>
    <w:p>
      <w:pPr>
        <w:pStyle w:val="TOC2"/>
        <w:tabs>
          <w:tab w:val="right" w:leader="dot" w:pos="8306"/>
        </w:tabs>
      </w:pPr>
      <w:hyperlink w:anchor="_Toc3634" w:history="1">
        <w:r>
          <w:rPr>
            <w:rFonts w:ascii="仿宋" w:eastAsia="仿宋" w:hAnsi="仿宋" w:cs="仿宋" w:hint="eastAsia"/>
            <w:lang w:eastAsia="zh-CN"/>
          </w:rPr>
          <w:t>(一)、人员资源需求</w:t>
        </w:r>
        <w:r>
          <w:tab/>
        </w:r>
        <w:r>
          <w:fldChar w:fldCharType="begin"/>
        </w:r>
        <w:r>
          <w:instrText xml:space="preserve"> PAGEREF _Toc3634 \h </w:instrText>
        </w:r>
        <w:r>
          <w:fldChar w:fldCharType="separate"/>
        </w:r>
        <w:r>
          <w:t>3</w:t>
        </w:r>
        <w:r>
          <w:fldChar w:fldCharType="end"/>
        </w:r>
      </w:hyperlink>
    </w:p>
    <w:p>
      <w:pPr>
        <w:pStyle w:val="TOC2"/>
        <w:tabs>
          <w:tab w:val="right" w:leader="dot" w:pos="8306"/>
        </w:tabs>
      </w:pPr>
      <w:hyperlink w:anchor="_Toc10884" w:history="1">
        <w:r>
          <w:rPr>
            <w:rFonts w:ascii="仿宋" w:eastAsia="仿宋" w:hAnsi="仿宋" w:cs="仿宋" w:hint="eastAsia"/>
            <w:lang w:eastAsia="zh-CN"/>
          </w:rPr>
          <w:t>(二)、员工培训与发展</w:t>
        </w:r>
        <w:r>
          <w:tab/>
        </w:r>
        <w:r>
          <w:fldChar w:fldCharType="begin"/>
        </w:r>
        <w:r>
          <w:instrText xml:space="preserve"> PAGEREF _Toc10884 \h </w:instrText>
        </w:r>
        <w:r>
          <w:fldChar w:fldCharType="separate"/>
        </w:r>
        <w:r>
          <w:t>5</w:t>
        </w:r>
        <w:r>
          <w:fldChar w:fldCharType="end"/>
        </w:r>
      </w:hyperlink>
    </w:p>
    <w:p>
      <w:pPr>
        <w:pStyle w:val="TOC1"/>
        <w:tabs>
          <w:tab w:val="right" w:leader="dot" w:pos="8306"/>
        </w:tabs>
      </w:pPr>
      <w:hyperlink w:anchor="_Toc24049" w:history="1">
        <w:r>
          <w:rPr>
            <w:rFonts w:ascii="仿宋" w:eastAsia="仿宋" w:hAnsi="仿宋" w:cs="仿宋" w:hint="eastAsia"/>
            <w:lang w:eastAsia="zh-CN"/>
          </w:rPr>
          <w:t>二、法人治理架构</w:t>
        </w:r>
        <w:r>
          <w:tab/>
        </w:r>
        <w:r>
          <w:fldChar w:fldCharType="begin"/>
        </w:r>
        <w:r>
          <w:instrText xml:space="preserve"> PAGEREF _Toc24049 \h </w:instrText>
        </w:r>
        <w:r>
          <w:fldChar w:fldCharType="separate"/>
        </w:r>
        <w:r>
          <w:t>7</w:t>
        </w:r>
        <w:r>
          <w:fldChar w:fldCharType="end"/>
        </w:r>
      </w:hyperlink>
    </w:p>
    <w:p>
      <w:pPr>
        <w:pStyle w:val="TOC2"/>
        <w:tabs>
          <w:tab w:val="right" w:leader="dot" w:pos="8306"/>
        </w:tabs>
      </w:pPr>
      <w:hyperlink w:anchor="_Toc7599" w:history="1">
        <w:r>
          <w:rPr>
            <w:rFonts w:ascii="仿宋" w:eastAsia="仿宋" w:hAnsi="仿宋" w:cs="仿宋" w:hint="eastAsia"/>
            <w:lang w:eastAsia="zh-CN"/>
          </w:rPr>
          <w:t>(一)、股东权益与义务</w:t>
        </w:r>
        <w:r>
          <w:tab/>
        </w:r>
        <w:r>
          <w:fldChar w:fldCharType="begin"/>
        </w:r>
        <w:r>
          <w:instrText xml:space="preserve"> PAGEREF _Toc7599 \h </w:instrText>
        </w:r>
        <w:r>
          <w:fldChar w:fldCharType="separate"/>
        </w:r>
        <w:r>
          <w:t>7</w:t>
        </w:r>
        <w:r>
          <w:fldChar w:fldCharType="end"/>
        </w:r>
      </w:hyperlink>
    </w:p>
    <w:p>
      <w:pPr>
        <w:pStyle w:val="TOC2"/>
        <w:tabs>
          <w:tab w:val="right" w:leader="dot" w:pos="8306"/>
        </w:tabs>
      </w:pPr>
      <w:hyperlink w:anchor="_Toc14033" w:history="1">
        <w:r>
          <w:rPr>
            <w:rFonts w:ascii="仿宋" w:eastAsia="仿宋" w:hAnsi="仿宋" w:cs="仿宋" w:hint="eastAsia"/>
            <w:lang w:eastAsia="zh-CN"/>
          </w:rPr>
          <w:t>(二)、公司董事会</w:t>
        </w:r>
        <w:r>
          <w:tab/>
        </w:r>
        <w:r>
          <w:fldChar w:fldCharType="begin"/>
        </w:r>
        <w:r>
          <w:instrText xml:space="preserve"> PAGEREF _Toc14033 \h </w:instrText>
        </w:r>
        <w:r>
          <w:fldChar w:fldCharType="separate"/>
        </w:r>
        <w:r>
          <w:t>8</w:t>
        </w:r>
        <w:r>
          <w:fldChar w:fldCharType="end"/>
        </w:r>
      </w:hyperlink>
    </w:p>
    <w:p>
      <w:pPr>
        <w:pStyle w:val="TOC2"/>
        <w:tabs>
          <w:tab w:val="right" w:leader="dot" w:pos="8306"/>
        </w:tabs>
      </w:pPr>
      <w:hyperlink w:anchor="_Toc28424" w:history="1">
        <w:r>
          <w:rPr>
            <w:rFonts w:ascii="仿宋" w:eastAsia="仿宋" w:hAnsi="仿宋" w:cs="仿宋" w:hint="eastAsia"/>
            <w:lang w:eastAsia="zh-CN"/>
          </w:rPr>
          <w:t>(三)、高级管理层</w:t>
        </w:r>
        <w:r>
          <w:tab/>
        </w:r>
        <w:r>
          <w:fldChar w:fldCharType="begin"/>
        </w:r>
        <w:r>
          <w:instrText xml:space="preserve"> PAGEREF _Toc28424 \h </w:instrText>
        </w:r>
        <w:r>
          <w:fldChar w:fldCharType="separate"/>
        </w:r>
        <w:r>
          <w:t>10</w:t>
        </w:r>
        <w:r>
          <w:fldChar w:fldCharType="end"/>
        </w:r>
      </w:hyperlink>
    </w:p>
    <w:p>
      <w:pPr>
        <w:pStyle w:val="TOC2"/>
        <w:tabs>
          <w:tab w:val="right" w:leader="dot" w:pos="8306"/>
        </w:tabs>
      </w:pPr>
      <w:hyperlink w:anchor="_Toc21883" w:history="1">
        <w:r>
          <w:rPr>
            <w:rFonts w:ascii="仿宋" w:eastAsia="仿宋" w:hAnsi="仿宋" w:cs="仿宋" w:hint="eastAsia"/>
            <w:lang w:eastAsia="zh-CN"/>
          </w:rPr>
          <w:t>(四)、监督管理层</w:t>
        </w:r>
        <w:r>
          <w:tab/>
        </w:r>
        <w:r>
          <w:fldChar w:fldCharType="begin"/>
        </w:r>
        <w:r>
          <w:instrText xml:space="preserve"> PAGEREF _Toc21883 \h </w:instrText>
        </w:r>
        <w:r>
          <w:fldChar w:fldCharType="separate"/>
        </w:r>
        <w:r>
          <w:t>11</w:t>
        </w:r>
        <w:r>
          <w:fldChar w:fldCharType="end"/>
        </w:r>
      </w:hyperlink>
    </w:p>
    <w:p>
      <w:pPr>
        <w:pStyle w:val="TOC1"/>
        <w:tabs>
          <w:tab w:val="right" w:leader="dot" w:pos="8306"/>
        </w:tabs>
      </w:pPr>
      <w:hyperlink w:anchor="_Toc26380" w:history="1">
        <w:r>
          <w:rPr>
            <w:rFonts w:ascii="仿宋" w:eastAsia="仿宋" w:hAnsi="仿宋" w:cs="仿宋" w:hint="eastAsia"/>
            <w:lang w:eastAsia="zh-CN"/>
          </w:rPr>
          <w:t>三、背景及必要性</w:t>
        </w:r>
        <w:r>
          <w:tab/>
        </w:r>
        <w:r>
          <w:fldChar w:fldCharType="begin"/>
        </w:r>
        <w:r>
          <w:instrText xml:space="preserve"> PAGEREF _Toc26380 \h </w:instrText>
        </w:r>
        <w:r>
          <w:fldChar w:fldCharType="separate"/>
        </w:r>
        <w:r>
          <w:t>12</w:t>
        </w:r>
        <w:r>
          <w:fldChar w:fldCharType="end"/>
        </w:r>
      </w:hyperlink>
    </w:p>
    <w:p>
      <w:pPr>
        <w:pStyle w:val="TOC2"/>
        <w:tabs>
          <w:tab w:val="right" w:leader="dot" w:pos="8306"/>
        </w:tabs>
      </w:pPr>
      <w:hyperlink w:anchor="_Toc19720" w:history="1">
        <w:r>
          <w:rPr>
            <w:rFonts w:ascii="仿宋" w:eastAsia="仿宋" w:hAnsi="仿宋" w:cs="仿宋" w:hint="eastAsia"/>
            <w:lang w:eastAsia="zh-CN"/>
          </w:rPr>
          <w:t>(一)、多功能水质现场监测仪项目背景分析</w:t>
        </w:r>
        <w:r>
          <w:tab/>
        </w:r>
        <w:r>
          <w:fldChar w:fldCharType="begin"/>
        </w:r>
        <w:r>
          <w:instrText xml:space="preserve"> PAGEREF _Toc19720 \h </w:instrText>
        </w:r>
        <w:r>
          <w:fldChar w:fldCharType="separate"/>
        </w:r>
        <w:r>
          <w:t>12</w:t>
        </w:r>
        <w:r>
          <w:fldChar w:fldCharType="end"/>
        </w:r>
      </w:hyperlink>
    </w:p>
    <w:p>
      <w:pPr>
        <w:pStyle w:val="TOC2"/>
        <w:tabs>
          <w:tab w:val="right" w:leader="dot" w:pos="8306"/>
        </w:tabs>
      </w:pPr>
      <w:hyperlink w:anchor="_Toc20158" w:history="1">
        <w:r>
          <w:rPr>
            <w:rFonts w:ascii="仿宋" w:eastAsia="仿宋" w:hAnsi="仿宋" w:cs="仿宋" w:hint="eastAsia"/>
            <w:lang w:eastAsia="zh-CN"/>
          </w:rPr>
          <w:t>(二)、实施多功能水质现场监测仪项目的必要性</w:t>
        </w:r>
        <w:r>
          <w:tab/>
        </w:r>
        <w:r>
          <w:fldChar w:fldCharType="begin"/>
        </w:r>
        <w:r>
          <w:instrText xml:space="preserve"> PAGEREF _Toc20158 \h </w:instrText>
        </w:r>
        <w:r>
          <w:fldChar w:fldCharType="separate"/>
        </w:r>
        <w:r>
          <w:t>13</w:t>
        </w:r>
        <w:r>
          <w:fldChar w:fldCharType="end"/>
        </w:r>
      </w:hyperlink>
    </w:p>
    <w:p>
      <w:pPr>
        <w:pStyle w:val="TOC1"/>
        <w:tabs>
          <w:tab w:val="right" w:leader="dot" w:pos="8306"/>
        </w:tabs>
      </w:pPr>
      <w:hyperlink w:anchor="_Toc25490" w:history="1">
        <w:r>
          <w:rPr>
            <w:rFonts w:ascii="仿宋" w:eastAsia="仿宋" w:hAnsi="仿宋" w:cs="仿宋" w:hint="eastAsia"/>
            <w:lang w:eastAsia="zh-CN"/>
          </w:rPr>
          <w:t>四、运营与管理</w:t>
        </w:r>
        <w:r>
          <w:tab/>
        </w:r>
        <w:r>
          <w:fldChar w:fldCharType="begin"/>
        </w:r>
        <w:r>
          <w:instrText xml:space="preserve"> PAGEREF _Toc25490 \h </w:instrText>
        </w:r>
        <w:r>
          <w:fldChar w:fldCharType="separate"/>
        </w:r>
        <w:r>
          <w:t>15</w:t>
        </w:r>
        <w:r>
          <w:fldChar w:fldCharType="end"/>
        </w:r>
      </w:hyperlink>
    </w:p>
    <w:p>
      <w:pPr>
        <w:pStyle w:val="TOC2"/>
        <w:tabs>
          <w:tab w:val="right" w:leader="dot" w:pos="8306"/>
        </w:tabs>
      </w:pPr>
      <w:hyperlink w:anchor="_Toc30817" w:history="1">
        <w:r>
          <w:rPr>
            <w:rFonts w:ascii="仿宋" w:eastAsia="仿宋" w:hAnsi="仿宋" w:cs="仿宋" w:hint="eastAsia"/>
            <w:lang w:eastAsia="zh-CN"/>
          </w:rPr>
          <w:t>(一)、公司经营理念</w:t>
        </w:r>
        <w:r>
          <w:tab/>
        </w:r>
        <w:r>
          <w:fldChar w:fldCharType="begin"/>
        </w:r>
        <w:r>
          <w:instrText xml:space="preserve"> PAGEREF _Toc30817 \h </w:instrText>
        </w:r>
        <w:r>
          <w:fldChar w:fldCharType="separate"/>
        </w:r>
        <w:r>
          <w:t>15</w:t>
        </w:r>
        <w:r>
          <w:fldChar w:fldCharType="end"/>
        </w:r>
      </w:hyperlink>
    </w:p>
    <w:p>
      <w:pPr>
        <w:pStyle w:val="TOC2"/>
        <w:tabs>
          <w:tab w:val="right" w:leader="dot" w:pos="8306"/>
        </w:tabs>
      </w:pPr>
      <w:hyperlink w:anchor="_Toc7294" w:history="1">
        <w:r>
          <w:rPr>
            <w:rFonts w:ascii="仿宋" w:eastAsia="仿宋" w:hAnsi="仿宋" w:cs="仿宋" w:hint="eastAsia"/>
            <w:lang w:eastAsia="zh-CN"/>
          </w:rPr>
          <w:t>(二)、公司目标与职责</w:t>
        </w:r>
        <w:r>
          <w:tab/>
        </w:r>
        <w:r>
          <w:fldChar w:fldCharType="begin"/>
        </w:r>
        <w:r>
          <w:instrText xml:space="preserve"> PAGEREF _Toc7294 \h </w:instrText>
        </w:r>
        <w:r>
          <w:fldChar w:fldCharType="separate"/>
        </w:r>
        <w:r>
          <w:t>16</w:t>
        </w:r>
        <w:r>
          <w:fldChar w:fldCharType="end"/>
        </w:r>
      </w:hyperlink>
    </w:p>
    <w:p>
      <w:pPr>
        <w:pStyle w:val="TOC2"/>
        <w:tabs>
          <w:tab w:val="right" w:leader="dot" w:pos="8306"/>
        </w:tabs>
      </w:pPr>
      <w:hyperlink w:anchor="_Toc13111" w:history="1">
        <w:r>
          <w:rPr>
            <w:rFonts w:ascii="仿宋" w:eastAsia="仿宋" w:hAnsi="仿宋" w:cs="仿宋" w:hint="eastAsia"/>
            <w:lang w:eastAsia="zh-CN"/>
          </w:rPr>
          <w:t>(三)、部门任务与权利</w:t>
        </w:r>
        <w:r>
          <w:tab/>
        </w:r>
        <w:r>
          <w:fldChar w:fldCharType="begin"/>
        </w:r>
        <w:r>
          <w:instrText xml:space="preserve"> PAGEREF _Toc13111 \h </w:instrText>
        </w:r>
        <w:r>
          <w:fldChar w:fldCharType="separate"/>
        </w:r>
        <w:r>
          <w:t>17</w:t>
        </w:r>
        <w:r>
          <w:fldChar w:fldCharType="end"/>
        </w:r>
      </w:hyperlink>
    </w:p>
    <w:p>
      <w:pPr>
        <w:pStyle w:val="TOC2"/>
        <w:tabs>
          <w:tab w:val="right" w:leader="dot" w:pos="8306"/>
        </w:tabs>
      </w:pPr>
      <w:hyperlink w:anchor="_Toc9678" w:history="1">
        <w:r>
          <w:rPr>
            <w:rFonts w:ascii="仿宋" w:eastAsia="仿宋" w:hAnsi="仿宋" w:cs="仿宋" w:hint="eastAsia"/>
            <w:lang w:eastAsia="zh-CN"/>
          </w:rPr>
          <w:t>(四)、财务与会计制度</w:t>
        </w:r>
        <w:r>
          <w:tab/>
        </w:r>
        <w:r>
          <w:fldChar w:fldCharType="begin"/>
        </w:r>
        <w:r>
          <w:instrText xml:space="preserve"> PAGEREF _Toc9678 \h </w:instrText>
        </w:r>
        <w:r>
          <w:fldChar w:fldCharType="separate"/>
        </w:r>
        <w:r>
          <w:t>20</w:t>
        </w:r>
        <w:r>
          <w:fldChar w:fldCharType="end"/>
        </w:r>
      </w:hyperlink>
    </w:p>
    <w:p>
      <w:pPr>
        <w:pStyle w:val="TOC1"/>
        <w:tabs>
          <w:tab w:val="right" w:leader="dot" w:pos="8306"/>
        </w:tabs>
      </w:pPr>
      <w:hyperlink w:anchor="_Toc10740" w:history="1">
        <w:r>
          <w:rPr>
            <w:rFonts w:ascii="仿宋" w:eastAsia="仿宋" w:hAnsi="仿宋" w:cs="仿宋" w:hint="eastAsia"/>
            <w:lang w:eastAsia="zh-CN"/>
          </w:rPr>
          <w:t>五、多功能水质现场监测仪项目进展与里程碑</w:t>
        </w:r>
        <w:r>
          <w:tab/>
        </w:r>
        <w:r>
          <w:fldChar w:fldCharType="begin"/>
        </w:r>
        <w:r>
          <w:instrText xml:space="preserve"> PAGEREF _Toc10740 \h </w:instrText>
        </w:r>
        <w:r>
          <w:fldChar w:fldCharType="separate"/>
        </w:r>
        <w:r>
          <w:t>21</w:t>
        </w:r>
        <w:r>
          <w:fldChar w:fldCharType="end"/>
        </w:r>
      </w:hyperlink>
    </w:p>
    <w:p>
      <w:pPr>
        <w:pStyle w:val="TOC2"/>
        <w:tabs>
          <w:tab w:val="right" w:leader="dot" w:pos="8306"/>
        </w:tabs>
      </w:pPr>
      <w:hyperlink w:anchor="_Toc18742" w:history="1">
        <w:r>
          <w:rPr>
            <w:rFonts w:ascii="仿宋" w:eastAsia="仿宋" w:hAnsi="仿宋" w:cs="仿宋" w:hint="eastAsia"/>
            <w:lang w:eastAsia="zh-CN"/>
          </w:rPr>
          <w:t>(一)、多功能水质现场监测仪项目进展</w:t>
        </w:r>
        <w:r>
          <w:tab/>
        </w:r>
        <w:r>
          <w:fldChar w:fldCharType="begin"/>
        </w:r>
        <w:r>
          <w:instrText xml:space="preserve"> PAGEREF _Toc18742 \h </w:instrText>
        </w:r>
        <w:r>
          <w:fldChar w:fldCharType="separate"/>
        </w:r>
        <w:r>
          <w:t>21</w:t>
        </w:r>
        <w:r>
          <w:fldChar w:fldCharType="end"/>
        </w:r>
      </w:hyperlink>
    </w:p>
    <w:p>
      <w:pPr>
        <w:pStyle w:val="TOC2"/>
        <w:tabs>
          <w:tab w:val="right" w:leader="dot" w:pos="8306"/>
        </w:tabs>
      </w:pPr>
      <w:hyperlink w:anchor="_Toc27137" w:history="1">
        <w:r>
          <w:rPr>
            <w:rFonts w:ascii="仿宋" w:eastAsia="仿宋" w:hAnsi="仿宋" w:cs="仿宋" w:hint="eastAsia"/>
            <w:lang w:eastAsia="zh-CN"/>
          </w:rPr>
          <w:t>(二)、重要里程碑与进度控制</w:t>
        </w:r>
        <w:r>
          <w:tab/>
        </w:r>
        <w:r>
          <w:fldChar w:fldCharType="begin"/>
        </w:r>
        <w:r>
          <w:instrText xml:space="preserve"> PAGEREF _Toc27137 \h </w:instrText>
        </w:r>
        <w:r>
          <w:fldChar w:fldCharType="separate"/>
        </w:r>
        <w:r>
          <w:t>22</w:t>
        </w:r>
        <w:r>
          <w:fldChar w:fldCharType="end"/>
        </w:r>
      </w:hyperlink>
    </w:p>
    <w:p>
      <w:pPr>
        <w:pStyle w:val="TOC2"/>
        <w:tabs>
          <w:tab w:val="right" w:leader="dot" w:pos="8306"/>
        </w:tabs>
      </w:pPr>
      <w:hyperlink w:anchor="_Toc18137" w:history="1">
        <w:r>
          <w:rPr>
            <w:rFonts w:ascii="仿宋" w:eastAsia="仿宋" w:hAnsi="仿宋" w:cs="仿宋" w:hint="eastAsia"/>
            <w:lang w:eastAsia="zh-CN"/>
          </w:rPr>
          <w:t>(三)、问题识别与解决方案</w:t>
        </w:r>
        <w:r>
          <w:tab/>
        </w:r>
        <w:r>
          <w:fldChar w:fldCharType="begin"/>
        </w:r>
        <w:r>
          <w:instrText xml:space="preserve"> PAGEREF _Toc18137 \h </w:instrText>
        </w:r>
        <w:r>
          <w:fldChar w:fldCharType="separate"/>
        </w:r>
        <w:r>
          <w:t>24</w:t>
        </w:r>
        <w:r>
          <w:fldChar w:fldCharType="end"/>
        </w:r>
      </w:hyperlink>
    </w:p>
    <w:p>
      <w:pPr>
        <w:pStyle w:val="TOC1"/>
        <w:tabs>
          <w:tab w:val="right" w:leader="dot" w:pos="8306"/>
        </w:tabs>
      </w:pPr>
      <w:hyperlink w:anchor="_Toc469" w:history="1">
        <w:r>
          <w:rPr>
            <w:rFonts w:ascii="仿宋" w:eastAsia="仿宋" w:hAnsi="仿宋" w:cs="仿宋" w:hint="eastAsia"/>
            <w:lang w:eastAsia="zh-CN"/>
          </w:rPr>
          <w:t>六、投资方案</w:t>
        </w:r>
        <w:r>
          <w:tab/>
        </w:r>
        <w:r>
          <w:fldChar w:fldCharType="begin"/>
        </w:r>
        <w:r>
          <w:instrText xml:space="preserve"> PAGEREF _Toc469 \h </w:instrText>
        </w:r>
        <w:r>
          <w:fldChar w:fldCharType="separate"/>
        </w:r>
        <w:r>
          <w:t>25</w:t>
        </w:r>
        <w:r>
          <w:fldChar w:fldCharType="end"/>
        </w:r>
      </w:hyperlink>
    </w:p>
    <w:p>
      <w:pPr>
        <w:pStyle w:val="TOC2"/>
        <w:tabs>
          <w:tab w:val="right" w:leader="dot" w:pos="8306"/>
        </w:tabs>
      </w:pPr>
      <w:hyperlink w:anchor="_Toc28364" w:history="1">
        <w:r>
          <w:rPr>
            <w:rFonts w:ascii="仿宋" w:eastAsia="仿宋" w:hAnsi="仿宋" w:cs="仿宋" w:hint="eastAsia"/>
            <w:lang w:eastAsia="zh-CN"/>
          </w:rPr>
          <w:t>(一)、多功能水质现场监测仪项目总投资构成分析</w:t>
        </w:r>
        <w:r>
          <w:tab/>
        </w:r>
        <w:r>
          <w:fldChar w:fldCharType="begin"/>
        </w:r>
        <w:r>
          <w:instrText xml:space="preserve"> PAGEREF _Toc28364 \h </w:instrText>
        </w:r>
        <w:r>
          <w:fldChar w:fldCharType="separate"/>
        </w:r>
        <w:r>
          <w:t>25</w:t>
        </w:r>
        <w:r>
          <w:fldChar w:fldCharType="end"/>
        </w:r>
      </w:hyperlink>
    </w:p>
    <w:p>
      <w:pPr>
        <w:pStyle w:val="TOC2"/>
        <w:tabs>
          <w:tab w:val="right" w:leader="dot" w:pos="8306"/>
        </w:tabs>
      </w:pPr>
      <w:hyperlink w:anchor="_Toc22231" w:history="1">
        <w:r>
          <w:rPr>
            <w:rFonts w:ascii="仿宋" w:eastAsia="仿宋" w:hAnsi="仿宋" w:cs="仿宋" w:hint="eastAsia"/>
            <w:lang w:eastAsia="zh-CN"/>
          </w:rPr>
          <w:t>(二)、建设投资构成</w:t>
        </w:r>
        <w:r>
          <w:tab/>
        </w:r>
        <w:r>
          <w:fldChar w:fldCharType="begin"/>
        </w:r>
        <w:r>
          <w:instrText xml:space="preserve"> PAGEREF _Toc22231 \h </w:instrText>
        </w:r>
        <w:r>
          <w:fldChar w:fldCharType="separate"/>
        </w:r>
        <w:r>
          <w:t>26</w:t>
        </w:r>
        <w:r>
          <w:fldChar w:fldCharType="end"/>
        </w:r>
      </w:hyperlink>
    </w:p>
    <w:p>
      <w:pPr>
        <w:pStyle w:val="TOC2"/>
        <w:tabs>
          <w:tab w:val="right" w:leader="dot" w:pos="8306"/>
        </w:tabs>
      </w:pPr>
      <w:hyperlink w:anchor="_Toc14291" w:history="1">
        <w:r>
          <w:rPr>
            <w:rFonts w:ascii="仿宋" w:eastAsia="仿宋" w:hAnsi="仿宋" w:cs="仿宋" w:hint="eastAsia"/>
            <w:lang w:eastAsia="zh-CN"/>
          </w:rPr>
          <w:t>(三)、资金筹措方式</w:t>
        </w:r>
        <w:r>
          <w:tab/>
        </w:r>
        <w:r>
          <w:fldChar w:fldCharType="begin"/>
        </w:r>
        <w:r>
          <w:instrText xml:space="preserve"> PAGEREF _Toc14291 \h </w:instrText>
        </w:r>
        <w:r>
          <w:fldChar w:fldCharType="separate"/>
        </w:r>
        <w:r>
          <w:t>27</w:t>
        </w:r>
        <w:r>
          <w:fldChar w:fldCharType="end"/>
        </w:r>
      </w:hyperlink>
    </w:p>
    <w:p>
      <w:pPr>
        <w:pStyle w:val="TOC2"/>
        <w:tabs>
          <w:tab w:val="right" w:leader="dot" w:pos="8306"/>
        </w:tabs>
      </w:pPr>
      <w:hyperlink w:anchor="_Toc6069" w:history="1">
        <w:r>
          <w:rPr>
            <w:rFonts w:ascii="仿宋" w:eastAsia="仿宋" w:hAnsi="仿宋" w:cs="仿宋" w:hint="eastAsia"/>
            <w:lang w:eastAsia="zh-CN"/>
          </w:rPr>
          <w:t>(四)、投资分析</w:t>
        </w:r>
        <w:r>
          <w:tab/>
        </w:r>
        <w:r>
          <w:fldChar w:fldCharType="begin"/>
        </w:r>
        <w:r>
          <w:instrText xml:space="preserve"> PAGEREF _Toc6069 \h </w:instrText>
        </w:r>
        <w:r>
          <w:fldChar w:fldCharType="separate"/>
        </w:r>
        <w:r>
          <w:t>27</w:t>
        </w:r>
        <w:r>
          <w:fldChar w:fldCharType="end"/>
        </w:r>
      </w:hyperlink>
    </w:p>
    <w:p>
      <w:pPr>
        <w:pStyle w:val="TOC2"/>
        <w:tabs>
          <w:tab w:val="right" w:leader="dot" w:pos="8306"/>
        </w:tabs>
      </w:pPr>
      <w:hyperlink w:anchor="_Toc17659" w:history="1">
        <w:r>
          <w:rPr>
            <w:rFonts w:ascii="仿宋" w:eastAsia="仿宋" w:hAnsi="仿宋" w:cs="仿宋" w:hint="eastAsia"/>
            <w:lang w:eastAsia="zh-CN"/>
          </w:rPr>
          <w:t>(五)、资金使用计划</w:t>
        </w:r>
        <w:r>
          <w:tab/>
        </w:r>
        <w:r>
          <w:fldChar w:fldCharType="begin"/>
        </w:r>
        <w:r>
          <w:instrText xml:space="preserve"> PAGEREF _Toc17659 \h </w:instrText>
        </w:r>
        <w:r>
          <w:fldChar w:fldCharType="separate"/>
        </w:r>
        <w:r>
          <w:t>28</w:t>
        </w:r>
        <w:r>
          <w:fldChar w:fldCharType="end"/>
        </w:r>
      </w:hyperlink>
    </w:p>
    <w:p>
      <w:pPr>
        <w:pStyle w:val="TOC2"/>
        <w:tabs>
          <w:tab w:val="right" w:leader="dot" w:pos="8306"/>
        </w:tabs>
      </w:pPr>
      <w:hyperlink w:anchor="_Toc5653" w:history="1">
        <w:r>
          <w:rPr>
            <w:rFonts w:ascii="仿宋" w:eastAsia="仿宋" w:hAnsi="仿宋" w:cs="仿宋" w:hint="eastAsia"/>
            <w:lang w:eastAsia="zh-CN"/>
          </w:rPr>
          <w:t>(六)、多功能水质现场监测仪项目融资方案</w:t>
        </w:r>
        <w:r>
          <w:tab/>
        </w:r>
        <w:r>
          <w:fldChar w:fldCharType="begin"/>
        </w:r>
        <w:r>
          <w:instrText xml:space="preserve"> PAGEREF _Toc5653 \h </w:instrText>
        </w:r>
        <w:r>
          <w:fldChar w:fldCharType="separate"/>
        </w:r>
        <w:r>
          <w:t>29</w:t>
        </w:r>
        <w:r>
          <w:fldChar w:fldCharType="end"/>
        </w:r>
      </w:hyperlink>
    </w:p>
    <w:p>
      <w:pPr>
        <w:pStyle w:val="TOC2"/>
        <w:tabs>
          <w:tab w:val="right" w:leader="dot" w:pos="8306"/>
        </w:tabs>
      </w:pPr>
      <w:hyperlink w:anchor="_Toc6389" w:history="1">
        <w:r>
          <w:rPr>
            <w:rFonts w:ascii="仿宋" w:eastAsia="仿宋" w:hAnsi="仿宋" w:cs="仿宋" w:hint="eastAsia"/>
            <w:lang w:eastAsia="zh-CN"/>
          </w:rPr>
          <w:t>(七)、盈利模式和财务预测</w:t>
        </w:r>
        <w:r>
          <w:tab/>
        </w:r>
        <w:r>
          <w:fldChar w:fldCharType="begin"/>
        </w:r>
        <w:r>
          <w:instrText xml:space="preserve"> PAGEREF _Toc6389 \h </w:instrText>
        </w:r>
        <w:r>
          <w:fldChar w:fldCharType="separate"/>
        </w:r>
        <w:r>
          <w:t>31</w:t>
        </w:r>
        <w:r>
          <w:fldChar w:fldCharType="end"/>
        </w:r>
      </w:hyperlink>
    </w:p>
    <w:p>
      <w:pPr>
        <w:pStyle w:val="TOC1"/>
        <w:tabs>
          <w:tab w:val="right" w:leader="dot" w:pos="8306"/>
        </w:tabs>
      </w:pPr>
      <w:hyperlink w:anchor="_Toc27387" w:history="1">
        <w:r>
          <w:rPr>
            <w:rFonts w:ascii="仿宋" w:eastAsia="仿宋" w:hAnsi="仿宋" w:cs="仿宋" w:hint="eastAsia"/>
            <w:lang w:eastAsia="zh-CN"/>
          </w:rPr>
          <w:t>七、战略合作与合作伙伴关系</w:t>
        </w:r>
        <w:r>
          <w:tab/>
        </w:r>
        <w:r>
          <w:fldChar w:fldCharType="begin"/>
        </w:r>
        <w:r>
          <w:instrText xml:space="preserve"> PAGEREF _Toc27387 \h </w:instrText>
        </w:r>
        <w:r>
          <w:fldChar w:fldCharType="separate"/>
        </w:r>
        <w:r>
          <w:t>33</w:t>
        </w:r>
        <w:r>
          <w:fldChar w:fldCharType="end"/>
        </w:r>
      </w:hyperlink>
    </w:p>
    <w:p>
      <w:pPr>
        <w:pStyle w:val="TOC2"/>
        <w:tabs>
          <w:tab w:val="right" w:leader="dot" w:pos="8306"/>
        </w:tabs>
      </w:pPr>
      <w:hyperlink w:anchor="_Toc28003" w:history="1">
        <w:r>
          <w:rPr>
            <w:rFonts w:ascii="仿宋" w:eastAsia="仿宋" w:hAnsi="仿宋" w:cs="仿宋" w:hint="eastAsia"/>
            <w:lang w:eastAsia="zh-CN"/>
          </w:rPr>
          <w:t>(一)、合作战略与目标</w:t>
        </w:r>
        <w:r>
          <w:tab/>
        </w:r>
        <w:r>
          <w:fldChar w:fldCharType="begin"/>
        </w:r>
        <w:r>
          <w:instrText xml:space="preserve"> PAGEREF _Toc28003 \h </w:instrText>
        </w:r>
        <w:r>
          <w:fldChar w:fldCharType="separate"/>
        </w:r>
        <w:r>
          <w:t>33</w:t>
        </w:r>
        <w:r>
          <w:fldChar w:fldCharType="end"/>
        </w:r>
      </w:hyperlink>
    </w:p>
    <w:p>
      <w:pPr>
        <w:pStyle w:val="TOC2"/>
        <w:tabs>
          <w:tab w:val="right" w:leader="dot" w:pos="8306"/>
        </w:tabs>
      </w:pPr>
      <w:hyperlink w:anchor="_Toc9071" w:history="1">
        <w:r>
          <w:rPr>
            <w:rFonts w:ascii="仿宋" w:eastAsia="仿宋" w:hAnsi="仿宋" w:cs="仿宋" w:hint="eastAsia"/>
            <w:lang w:eastAsia="zh-CN"/>
          </w:rPr>
          <w:t>(二)、合作伙伴选择与评估</w:t>
        </w:r>
        <w:r>
          <w:tab/>
        </w:r>
        <w:r>
          <w:fldChar w:fldCharType="begin"/>
        </w:r>
        <w:r>
          <w:instrText xml:space="preserve"> PAGEREF _Toc9071 \h </w:instrText>
        </w:r>
        <w:r>
          <w:fldChar w:fldCharType="separate"/>
        </w:r>
        <w:r>
          <w:t>33</w:t>
        </w:r>
        <w:r>
          <w:fldChar w:fldCharType="end"/>
        </w:r>
      </w:hyperlink>
    </w:p>
    <w:p>
      <w:pPr>
        <w:pStyle w:val="TOC2"/>
        <w:tabs>
          <w:tab w:val="right" w:leader="dot" w:pos="8306"/>
        </w:tabs>
      </w:pPr>
      <w:hyperlink w:anchor="_Toc5493" w:history="1">
        <w:r>
          <w:rPr>
            <w:rFonts w:ascii="仿宋" w:eastAsia="仿宋" w:hAnsi="仿宋" w:cs="仿宋" w:hint="eastAsia"/>
            <w:lang w:eastAsia="zh-CN"/>
          </w:rPr>
          <w:t>(三)、合同与协议管理</w:t>
        </w:r>
        <w:r>
          <w:tab/>
        </w:r>
        <w:r>
          <w:fldChar w:fldCharType="begin"/>
        </w:r>
        <w:r>
          <w:instrText xml:space="preserve"> PAGEREF _Toc5493 \h </w:instrText>
        </w:r>
        <w:r>
          <w:fldChar w:fldCharType="separate"/>
        </w:r>
        <w:r>
          <w:t>35</w:t>
        </w:r>
        <w:r>
          <w:fldChar w:fldCharType="end"/>
        </w:r>
      </w:hyperlink>
    </w:p>
    <w:p>
      <w:pPr>
        <w:pStyle w:val="TOC2"/>
        <w:tabs>
          <w:tab w:val="right" w:leader="dot" w:pos="8306"/>
        </w:tabs>
      </w:pPr>
      <w:hyperlink w:anchor="_Toc24341" w:history="1">
        <w:r>
          <w:rPr>
            <w:rFonts w:ascii="仿宋" w:eastAsia="仿宋" w:hAnsi="仿宋" w:cs="仿宋" w:hint="eastAsia"/>
            <w:lang w:eastAsia="zh-CN"/>
          </w:rPr>
          <w:t>(四)、风险管理与纠纷解决</w:t>
        </w:r>
        <w:r>
          <w:tab/>
        </w:r>
        <w:r>
          <w:fldChar w:fldCharType="begin"/>
        </w:r>
        <w:r>
          <w:instrText xml:space="preserve"> PAGEREF _Toc24341 \h </w:instrText>
        </w:r>
        <w:r>
          <w:fldChar w:fldCharType="separate"/>
        </w:r>
        <w:r>
          <w:t>35</w:t>
        </w:r>
        <w:r>
          <w:fldChar w:fldCharType="end"/>
        </w:r>
      </w:hyperlink>
    </w:p>
    <w:p>
      <w:pPr>
        <w:pStyle w:val="TOC1"/>
        <w:tabs>
          <w:tab w:val="right" w:leader="dot" w:pos="8306"/>
        </w:tabs>
      </w:pPr>
      <w:hyperlink w:anchor="_Toc20105" w:history="1">
        <w:r>
          <w:rPr>
            <w:rFonts w:ascii="仿宋" w:eastAsia="仿宋" w:hAnsi="仿宋" w:cs="仿宋" w:hint="eastAsia"/>
            <w:lang w:eastAsia="zh-CN"/>
          </w:rPr>
          <w:t>八、劳动安全生产分析</w:t>
        </w:r>
        <w:r>
          <w:tab/>
        </w:r>
        <w:r>
          <w:fldChar w:fldCharType="begin"/>
        </w:r>
        <w:r>
          <w:instrText xml:space="preserve"> PAGEREF _Toc20105 \h </w:instrText>
        </w:r>
        <w:r>
          <w:fldChar w:fldCharType="separate"/>
        </w:r>
        <w:r>
          <w:t>36</w:t>
        </w:r>
        <w:r>
          <w:fldChar w:fldCharType="end"/>
        </w:r>
      </w:hyperlink>
    </w:p>
    <w:p>
      <w:pPr>
        <w:pStyle w:val="TOC2"/>
        <w:tabs>
          <w:tab w:val="right" w:leader="dot" w:pos="8306"/>
        </w:tabs>
      </w:pPr>
      <w:hyperlink w:anchor="_Toc22753" w:history="1">
        <w:r>
          <w:rPr>
            <w:rFonts w:ascii="仿宋" w:eastAsia="仿宋" w:hAnsi="仿宋" w:cs="仿宋" w:hint="eastAsia"/>
            <w:lang w:eastAsia="zh-CN"/>
          </w:rPr>
          <w:t>(一)、安全法规与依据</w:t>
        </w:r>
        <w:r>
          <w:tab/>
        </w:r>
        <w:r>
          <w:fldChar w:fldCharType="begin"/>
        </w:r>
        <w:r>
          <w:instrText xml:space="preserve"> PAGEREF _Toc22753 \h </w:instrText>
        </w:r>
        <w:r>
          <w:fldChar w:fldCharType="separate"/>
        </w:r>
        <w:r>
          <w:t>36</w:t>
        </w:r>
        <w:r>
          <w:fldChar w:fldCharType="end"/>
        </w:r>
      </w:hyperlink>
    </w:p>
    <w:p>
      <w:pPr>
        <w:pStyle w:val="TOC2"/>
        <w:tabs>
          <w:tab w:val="right" w:leader="dot" w:pos="8306"/>
        </w:tabs>
      </w:pPr>
      <w:hyperlink w:anchor="_Toc13994" w:history="1">
        <w:r>
          <w:rPr>
            <w:rFonts w:ascii="仿宋" w:eastAsia="仿宋" w:hAnsi="仿宋" w:cs="仿宋" w:hint="eastAsia"/>
            <w:lang w:eastAsia="zh-CN"/>
          </w:rPr>
          <w:t>(二)、安全措施与效果预估</w:t>
        </w:r>
        <w:r>
          <w:tab/>
        </w:r>
        <w:r>
          <w:fldChar w:fldCharType="begin"/>
        </w:r>
        <w:r>
          <w:instrText xml:space="preserve"> PAGEREF _Toc13994 \h </w:instrText>
        </w:r>
        <w:r>
          <w:fldChar w:fldCharType="separate"/>
        </w:r>
        <w:r>
          <w:t>36</w:t>
        </w:r>
        <w:r>
          <w:fldChar w:fldCharType="end"/>
        </w:r>
      </w:hyperlink>
    </w:p>
    <w:p>
      <w:pPr>
        <w:pStyle w:val="TOC1"/>
        <w:tabs>
          <w:tab w:val="right" w:leader="dot" w:pos="8306"/>
        </w:tabs>
      </w:pPr>
      <w:hyperlink w:anchor="_Toc21004" w:history="1">
        <w:r>
          <w:rPr>
            <w:rFonts w:ascii="仿宋" w:eastAsia="仿宋" w:hAnsi="仿宋" w:cs="仿宋" w:hint="eastAsia"/>
            <w:lang w:eastAsia="zh-CN"/>
          </w:rPr>
          <w:t>九、营销策略与品牌推广</w:t>
        </w:r>
        <w:r>
          <w:tab/>
        </w:r>
        <w:r>
          <w:fldChar w:fldCharType="begin"/>
        </w:r>
        <w:r>
          <w:instrText xml:space="preserve"> PAGEREF _Toc21004 \h </w:instrText>
        </w:r>
        <w:r>
          <w:fldChar w:fldCharType="separate"/>
        </w:r>
        <w:r>
          <w:t>40</w:t>
        </w:r>
        <w:r>
          <w:fldChar w:fldCharType="end"/>
        </w:r>
      </w:hyperlink>
    </w:p>
    <w:p>
      <w:pPr>
        <w:pStyle w:val="TOC2"/>
        <w:tabs>
          <w:tab w:val="right" w:leader="dot" w:pos="8306"/>
        </w:tabs>
      </w:pPr>
      <w:hyperlink w:anchor="_Toc8224" w:history="1">
        <w:r>
          <w:rPr>
            <w:rFonts w:ascii="仿宋" w:eastAsia="仿宋" w:hAnsi="仿宋" w:cs="仿宋" w:hint="eastAsia"/>
            <w:lang w:eastAsia="zh-CN"/>
          </w:rPr>
          <w:t>(一)、营销策略制定</w:t>
        </w:r>
        <w:r>
          <w:tab/>
        </w:r>
        <w:r>
          <w:fldChar w:fldCharType="begin"/>
        </w:r>
        <w:r>
          <w:instrText xml:space="preserve"> PAGEREF _Toc8224 \h </w:instrText>
        </w:r>
        <w:r>
          <w:fldChar w:fldCharType="separate"/>
        </w:r>
        <w:r>
          <w:t>40</w:t>
        </w:r>
        <w:r>
          <w:fldChar w:fldCharType="end"/>
        </w:r>
      </w:hyperlink>
    </w:p>
    <w:p>
      <w:pPr>
        <w:pStyle w:val="TOC2"/>
        <w:tabs>
          <w:tab w:val="right" w:leader="dot" w:pos="8306"/>
        </w:tabs>
      </w:pPr>
      <w:hyperlink w:anchor="_Toc23017" w:history="1">
        <w:r>
          <w:rPr>
            <w:rFonts w:ascii="仿宋" w:eastAsia="仿宋" w:hAnsi="仿宋" w:cs="仿宋" w:hint="eastAsia"/>
            <w:lang w:eastAsia="zh-CN"/>
          </w:rPr>
          <w:t>(二)、产品定位与定价策略</w:t>
        </w:r>
        <w:r>
          <w:tab/>
        </w:r>
        <w:r>
          <w:fldChar w:fldCharType="begin"/>
        </w:r>
        <w:r>
          <w:instrText xml:space="preserve"> PAGEREF _Toc23017 \h </w:instrText>
        </w:r>
        <w:r>
          <w:fldChar w:fldCharType="separate"/>
        </w:r>
        <w:r>
          <w:t>42</w:t>
        </w:r>
        <w:r>
          <w:fldChar w:fldCharType="end"/>
        </w:r>
      </w:hyperlink>
    </w:p>
    <w:p>
      <w:pPr>
        <w:pStyle w:val="TOC2"/>
        <w:tabs>
          <w:tab w:val="right" w:leader="dot" w:pos="8306"/>
        </w:tabs>
      </w:pPr>
      <w:hyperlink w:anchor="_Toc29297" w:history="1">
        <w:r>
          <w:rPr>
            <w:rFonts w:ascii="仿宋" w:eastAsia="仿宋" w:hAnsi="仿宋" w:cs="仿宋" w:hint="eastAsia"/>
            <w:lang w:eastAsia="zh-CN"/>
          </w:rPr>
          <w:t>(三)、促销与广告战略</w:t>
        </w:r>
        <w:r>
          <w:tab/>
        </w:r>
        <w:r>
          <w:fldChar w:fldCharType="begin"/>
        </w:r>
        <w:r>
          <w:instrText xml:space="preserve"> PAGEREF _Toc29297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8" w:history="1">
        <w:r>
          <w:rPr>
            <w:rFonts w:ascii="仿宋" w:eastAsia="仿宋" w:hAnsi="仿宋" w:cs="仿宋" w:hint="eastAsia"/>
            <w:lang w:eastAsia="zh-CN"/>
          </w:rPr>
          <w:t>(四)、品牌推广计划</w:t>
        </w:r>
        <w:r>
          <w:tab/>
        </w:r>
        <w:r>
          <w:fldChar w:fldCharType="begin"/>
        </w:r>
        <w:r>
          <w:instrText xml:space="preserve"> PAGEREF _Toc348 \h </w:instrText>
        </w:r>
        <w:r>
          <w:fldChar w:fldCharType="separate"/>
        </w:r>
        <w:r>
          <w:t>44</w:t>
        </w:r>
        <w:r>
          <w:fldChar w:fldCharType="end"/>
        </w:r>
      </w:hyperlink>
    </w:p>
    <w:p>
      <w:pPr>
        <w:pStyle w:val="TOC1"/>
        <w:tabs>
          <w:tab w:val="right" w:leader="dot" w:pos="8306"/>
        </w:tabs>
      </w:pPr>
      <w:hyperlink w:anchor="_Toc3207" w:history="1">
        <w:r>
          <w:rPr>
            <w:rFonts w:ascii="仿宋" w:eastAsia="仿宋" w:hAnsi="仿宋" w:cs="仿宋" w:hint="eastAsia"/>
            <w:lang w:eastAsia="zh-CN"/>
          </w:rPr>
          <w:t>十、法律与合规事项</w:t>
        </w:r>
        <w:r>
          <w:tab/>
        </w:r>
        <w:r>
          <w:fldChar w:fldCharType="begin"/>
        </w:r>
        <w:r>
          <w:instrText xml:space="preserve"> PAGEREF _Toc3207 \h </w:instrText>
        </w:r>
        <w:r>
          <w:fldChar w:fldCharType="separate"/>
        </w:r>
        <w:r>
          <w:t>46</w:t>
        </w:r>
        <w:r>
          <w:fldChar w:fldCharType="end"/>
        </w:r>
      </w:hyperlink>
    </w:p>
    <w:p>
      <w:pPr>
        <w:pStyle w:val="TOC2"/>
        <w:tabs>
          <w:tab w:val="right" w:leader="dot" w:pos="8306"/>
        </w:tabs>
      </w:pPr>
      <w:hyperlink w:anchor="_Toc16117" w:history="1">
        <w:r>
          <w:rPr>
            <w:rFonts w:ascii="仿宋" w:eastAsia="仿宋" w:hAnsi="仿宋" w:cs="仿宋" w:hint="eastAsia"/>
            <w:lang w:eastAsia="zh-CN"/>
          </w:rPr>
          <w:t>(一)、法律合规与风险</w:t>
        </w:r>
        <w:r>
          <w:tab/>
        </w:r>
        <w:r>
          <w:fldChar w:fldCharType="begin"/>
        </w:r>
        <w:r>
          <w:instrText xml:space="preserve"> PAGEREF _Toc16117 \h </w:instrText>
        </w:r>
        <w:r>
          <w:fldChar w:fldCharType="separate"/>
        </w:r>
        <w:r>
          <w:t>46</w:t>
        </w:r>
        <w:r>
          <w:fldChar w:fldCharType="end"/>
        </w:r>
      </w:hyperlink>
    </w:p>
    <w:p>
      <w:pPr>
        <w:pStyle w:val="TOC2"/>
        <w:tabs>
          <w:tab w:val="right" w:leader="dot" w:pos="8306"/>
        </w:tabs>
      </w:pPr>
      <w:hyperlink w:anchor="_Toc30927" w:history="1">
        <w:r>
          <w:rPr>
            <w:rFonts w:ascii="仿宋" w:eastAsia="仿宋" w:hAnsi="仿宋" w:cs="仿宋" w:hint="eastAsia"/>
            <w:lang w:eastAsia="zh-CN"/>
          </w:rPr>
          <w:t>(二)、合同管理</w:t>
        </w:r>
        <w:r>
          <w:tab/>
        </w:r>
        <w:r>
          <w:fldChar w:fldCharType="begin"/>
        </w:r>
        <w:r>
          <w:instrText xml:space="preserve"> PAGEREF _Toc30927 \h </w:instrText>
        </w:r>
        <w:r>
          <w:fldChar w:fldCharType="separate"/>
        </w:r>
        <w:r>
          <w:t>46</w:t>
        </w:r>
        <w:r>
          <w:fldChar w:fldCharType="end"/>
        </w:r>
      </w:hyperlink>
    </w:p>
    <w:p>
      <w:pPr>
        <w:pStyle w:val="TOC2"/>
        <w:tabs>
          <w:tab w:val="right" w:leader="dot" w:pos="8306"/>
        </w:tabs>
      </w:pPr>
      <w:hyperlink w:anchor="_Toc12546" w:history="1">
        <w:r>
          <w:rPr>
            <w:rFonts w:ascii="仿宋" w:eastAsia="仿宋" w:hAnsi="仿宋" w:cs="仿宋" w:hint="eastAsia"/>
            <w:lang w:eastAsia="zh-CN"/>
          </w:rPr>
          <w:t>(三)、知识产权保护</w:t>
        </w:r>
        <w:r>
          <w:tab/>
        </w:r>
        <w:r>
          <w:fldChar w:fldCharType="begin"/>
        </w:r>
        <w:r>
          <w:instrText xml:space="preserve"> PAGEREF _Toc12546 \h </w:instrText>
        </w:r>
        <w:r>
          <w:fldChar w:fldCharType="separate"/>
        </w:r>
        <w:r>
          <w:t>46</w:t>
        </w:r>
        <w:r>
          <w:fldChar w:fldCharType="end"/>
        </w:r>
      </w:hyperlink>
    </w:p>
    <w:p>
      <w:pPr>
        <w:pStyle w:val="TOC2"/>
        <w:tabs>
          <w:tab w:val="right" w:leader="dot" w:pos="8306"/>
        </w:tabs>
      </w:pPr>
      <w:hyperlink w:anchor="_Toc2962" w:history="1">
        <w:r>
          <w:rPr>
            <w:rFonts w:ascii="仿宋" w:eastAsia="仿宋" w:hAnsi="仿宋" w:cs="仿宋" w:hint="eastAsia"/>
            <w:lang w:eastAsia="zh-CN"/>
          </w:rPr>
          <w:t>(四)、法律事务与合规管理</w:t>
        </w:r>
        <w:r>
          <w:tab/>
        </w:r>
        <w:r>
          <w:fldChar w:fldCharType="begin"/>
        </w:r>
        <w:r>
          <w:instrText xml:space="preserve"> PAGEREF _Toc2962 \h </w:instrText>
        </w:r>
        <w:r>
          <w:fldChar w:fldCharType="separate"/>
        </w:r>
        <w:r>
          <w:t>47</w:t>
        </w:r>
        <w:r>
          <w:fldChar w:fldCharType="end"/>
        </w:r>
      </w:hyperlink>
    </w:p>
    <w:p>
      <w:pPr>
        <w:pStyle w:val="TOC1"/>
        <w:tabs>
          <w:tab w:val="right" w:leader="dot" w:pos="8306"/>
        </w:tabs>
      </w:pPr>
      <w:hyperlink w:anchor="_Toc5399" w:history="1">
        <w:r>
          <w:rPr>
            <w:rFonts w:ascii="仿宋" w:eastAsia="仿宋" w:hAnsi="仿宋" w:cs="仿宋" w:hint="eastAsia"/>
            <w:lang w:eastAsia="zh-CN"/>
          </w:rPr>
          <w:t>十一、多功能水质现场监测仪项目可行性风险分析</w:t>
        </w:r>
        <w:r>
          <w:tab/>
        </w:r>
        <w:r>
          <w:fldChar w:fldCharType="begin"/>
        </w:r>
        <w:r>
          <w:instrText xml:space="preserve"> PAGEREF _Toc5399 \h </w:instrText>
        </w:r>
        <w:r>
          <w:fldChar w:fldCharType="separate"/>
        </w:r>
        <w:r>
          <w:t>48</w:t>
        </w:r>
        <w:r>
          <w:fldChar w:fldCharType="end"/>
        </w:r>
      </w:hyperlink>
    </w:p>
    <w:p>
      <w:pPr>
        <w:pStyle w:val="TOC2"/>
        <w:tabs>
          <w:tab w:val="right" w:leader="dot" w:pos="8306"/>
        </w:tabs>
      </w:pPr>
      <w:hyperlink w:anchor="_Toc1240" w:history="1">
        <w:r>
          <w:rPr>
            <w:rFonts w:ascii="仿宋" w:eastAsia="仿宋" w:hAnsi="仿宋" w:cs="仿宋" w:hint="eastAsia"/>
            <w:lang w:eastAsia="zh-CN"/>
          </w:rPr>
          <w:t>(一)、多功能水质现场监测仪项目风险识别</w:t>
        </w:r>
        <w:r>
          <w:tab/>
        </w:r>
        <w:r>
          <w:fldChar w:fldCharType="begin"/>
        </w:r>
        <w:r>
          <w:instrText xml:space="preserve"> PAGEREF _Toc1240 \h </w:instrText>
        </w:r>
        <w:r>
          <w:fldChar w:fldCharType="separate"/>
        </w:r>
        <w:r>
          <w:t>48</w:t>
        </w:r>
        <w:r>
          <w:fldChar w:fldCharType="end"/>
        </w:r>
      </w:hyperlink>
    </w:p>
    <w:p>
      <w:pPr>
        <w:pStyle w:val="TOC2"/>
        <w:tabs>
          <w:tab w:val="right" w:leader="dot" w:pos="8306"/>
        </w:tabs>
      </w:pPr>
      <w:hyperlink w:anchor="_Toc18646" w:history="1">
        <w:r>
          <w:rPr>
            <w:rFonts w:ascii="仿宋" w:eastAsia="仿宋" w:hAnsi="仿宋" w:cs="仿宋" w:hint="eastAsia"/>
            <w:lang w:eastAsia="zh-CN"/>
          </w:rPr>
          <w:t>(二)、风险评估和定量分析</w:t>
        </w:r>
        <w:r>
          <w:tab/>
        </w:r>
        <w:r>
          <w:fldChar w:fldCharType="begin"/>
        </w:r>
        <w:r>
          <w:instrText xml:space="preserve"> PAGEREF _Toc18646 \h </w:instrText>
        </w:r>
        <w:r>
          <w:fldChar w:fldCharType="separate"/>
        </w:r>
        <w:r>
          <w:t>48</w:t>
        </w:r>
        <w:r>
          <w:fldChar w:fldCharType="end"/>
        </w:r>
      </w:hyperlink>
    </w:p>
    <w:p>
      <w:pPr>
        <w:pStyle w:val="TOC2"/>
        <w:tabs>
          <w:tab w:val="right" w:leader="dot" w:pos="8306"/>
        </w:tabs>
      </w:pPr>
      <w:hyperlink w:anchor="_Toc23181" w:history="1">
        <w:r>
          <w:rPr>
            <w:rFonts w:ascii="仿宋" w:eastAsia="仿宋" w:hAnsi="仿宋" w:cs="仿宋" w:hint="eastAsia"/>
            <w:lang w:eastAsia="zh-CN"/>
          </w:rPr>
          <w:t>(三)、风险管理计划</w:t>
        </w:r>
        <w:r>
          <w:tab/>
        </w:r>
        <w:r>
          <w:fldChar w:fldCharType="begin"/>
        </w:r>
        <w:r>
          <w:instrText xml:space="preserve"> PAGEREF _Toc23181 \h </w:instrText>
        </w:r>
        <w:r>
          <w:fldChar w:fldCharType="separate"/>
        </w:r>
        <w:r>
          <w:t>49</w:t>
        </w:r>
        <w:r>
          <w:fldChar w:fldCharType="end"/>
        </w:r>
      </w:hyperlink>
    </w:p>
    <w:p>
      <w:pPr>
        <w:pStyle w:val="TOC2"/>
        <w:tabs>
          <w:tab w:val="right" w:leader="dot" w:pos="8306"/>
        </w:tabs>
      </w:pPr>
      <w:hyperlink w:anchor="_Toc1536" w:history="1">
        <w:r>
          <w:rPr>
            <w:rFonts w:ascii="仿宋" w:eastAsia="仿宋" w:hAnsi="仿宋" w:cs="仿宋" w:hint="eastAsia"/>
            <w:lang w:eastAsia="zh-CN"/>
          </w:rPr>
          <w:t>(四)、风险缓解策略</w:t>
        </w:r>
        <w:r>
          <w:tab/>
        </w:r>
        <w:r>
          <w:fldChar w:fldCharType="begin"/>
        </w:r>
        <w:r>
          <w:instrText xml:space="preserve"> PAGEREF _Toc1536 \h </w:instrText>
        </w:r>
        <w:r>
          <w:fldChar w:fldCharType="separate"/>
        </w:r>
        <w:r>
          <w:t>49</w:t>
        </w:r>
        <w:r>
          <w:fldChar w:fldCharType="end"/>
        </w:r>
      </w:hyperlink>
    </w:p>
    <w:p>
      <w:pPr>
        <w:pStyle w:val="TOC1"/>
        <w:tabs>
          <w:tab w:val="right" w:leader="dot" w:pos="8306"/>
        </w:tabs>
      </w:pPr>
      <w:hyperlink w:anchor="_Toc13519" w:history="1">
        <w:r>
          <w:rPr>
            <w:rFonts w:ascii="仿宋" w:eastAsia="仿宋" w:hAnsi="仿宋" w:cs="仿宋" w:hint="eastAsia"/>
            <w:lang w:eastAsia="zh-CN"/>
          </w:rPr>
          <w:t>十二、战略退出计划</w:t>
        </w:r>
        <w:r>
          <w:tab/>
        </w:r>
        <w:r>
          <w:fldChar w:fldCharType="begin"/>
        </w:r>
        <w:r>
          <w:instrText xml:space="preserve"> PAGEREF _Toc13519 \h </w:instrText>
        </w:r>
        <w:r>
          <w:fldChar w:fldCharType="separate"/>
        </w:r>
        <w:r>
          <w:t>50</w:t>
        </w:r>
        <w:r>
          <w:fldChar w:fldCharType="end"/>
        </w:r>
      </w:hyperlink>
    </w:p>
    <w:p>
      <w:pPr>
        <w:pStyle w:val="TOC2"/>
        <w:tabs>
          <w:tab w:val="right" w:leader="dot" w:pos="8306"/>
        </w:tabs>
      </w:pPr>
      <w:hyperlink w:anchor="_Toc23579" w:history="1">
        <w:r>
          <w:rPr>
            <w:rFonts w:ascii="仿宋" w:eastAsia="仿宋" w:hAnsi="仿宋" w:cs="仿宋" w:hint="eastAsia"/>
            <w:lang w:eastAsia="zh-CN"/>
          </w:rPr>
          <w:t>(一)、多功能水质现场监测仪项目退出战略</w:t>
        </w:r>
        <w:r>
          <w:tab/>
        </w:r>
        <w:r>
          <w:fldChar w:fldCharType="begin"/>
        </w:r>
        <w:r>
          <w:instrText xml:space="preserve"> PAGEREF _Toc23579 \h </w:instrText>
        </w:r>
        <w:r>
          <w:fldChar w:fldCharType="separate"/>
        </w:r>
        <w:r>
          <w:t>50</w:t>
        </w:r>
        <w:r>
          <w:fldChar w:fldCharType="end"/>
        </w:r>
      </w:hyperlink>
    </w:p>
    <w:p>
      <w:pPr>
        <w:pStyle w:val="TOC2"/>
        <w:tabs>
          <w:tab w:val="right" w:leader="dot" w:pos="8306"/>
        </w:tabs>
      </w:pPr>
      <w:hyperlink w:anchor="_Toc13694" w:history="1">
        <w:r>
          <w:rPr>
            <w:rFonts w:ascii="仿宋" w:eastAsia="仿宋" w:hAnsi="仿宋" w:cs="仿宋" w:hint="eastAsia"/>
            <w:lang w:eastAsia="zh-CN"/>
          </w:rPr>
          <w:t>(二)、潜在退出方式</w:t>
        </w:r>
        <w:r>
          <w:tab/>
        </w:r>
        <w:r>
          <w:fldChar w:fldCharType="begin"/>
        </w:r>
        <w:r>
          <w:instrText xml:space="preserve"> PAGEREF _Toc13694 \h </w:instrText>
        </w:r>
        <w:r>
          <w:fldChar w:fldCharType="separate"/>
        </w:r>
        <w:r>
          <w:t>51</w:t>
        </w:r>
        <w:r>
          <w:fldChar w:fldCharType="end"/>
        </w:r>
      </w:hyperlink>
    </w:p>
    <w:p>
      <w:pPr>
        <w:pStyle w:val="TOC2"/>
        <w:tabs>
          <w:tab w:val="right" w:leader="dot" w:pos="8306"/>
        </w:tabs>
      </w:pPr>
      <w:hyperlink w:anchor="_Toc15404" w:history="1">
        <w:r>
          <w:rPr>
            <w:rFonts w:ascii="仿宋" w:eastAsia="仿宋" w:hAnsi="仿宋" w:cs="仿宋" w:hint="eastAsia"/>
            <w:lang w:eastAsia="zh-CN"/>
          </w:rPr>
          <w:t>(三)、退出时机与条件</w:t>
        </w:r>
        <w:r>
          <w:tab/>
        </w:r>
        <w:r>
          <w:fldChar w:fldCharType="begin"/>
        </w:r>
        <w:r>
          <w:instrText xml:space="preserve"> PAGEREF _Toc15404 \h </w:instrText>
        </w:r>
        <w:r>
          <w:fldChar w:fldCharType="separate"/>
        </w:r>
        <w:r>
          <w:t>51</w:t>
        </w:r>
        <w:r>
          <w:fldChar w:fldCharType="end"/>
        </w:r>
      </w:hyperlink>
    </w:p>
    <w:p>
      <w:pPr>
        <w:pStyle w:val="TOC2"/>
        <w:tabs>
          <w:tab w:val="right" w:leader="dot" w:pos="8306"/>
        </w:tabs>
      </w:pPr>
      <w:hyperlink w:anchor="_Toc11662" w:history="1">
        <w:r>
          <w:rPr>
            <w:rFonts w:ascii="仿宋" w:eastAsia="仿宋" w:hAnsi="仿宋" w:cs="仿宋" w:hint="eastAsia"/>
            <w:lang w:eastAsia="zh-CN"/>
          </w:rPr>
          <w:t>(四)、投资者回报与退出</w:t>
        </w:r>
        <w:r>
          <w:tab/>
        </w:r>
        <w:r>
          <w:fldChar w:fldCharType="begin"/>
        </w:r>
        <w:r>
          <w:instrText xml:space="preserve"> PAGEREF _Toc11662 \h </w:instrText>
        </w:r>
        <w:r>
          <w:fldChar w:fldCharType="separate"/>
        </w:r>
        <w:r>
          <w:t>52</w:t>
        </w:r>
        <w:r>
          <w:fldChar w:fldCharType="end"/>
        </w:r>
      </w:hyperlink>
    </w:p>
    <w:p>
      <w:pPr>
        <w:pStyle w:val="TOC1"/>
        <w:tabs>
          <w:tab w:val="right" w:leader="dot" w:pos="8306"/>
        </w:tabs>
      </w:pPr>
      <w:hyperlink w:anchor="_Toc20309" w:history="1">
        <w:r>
          <w:rPr>
            <w:rFonts w:ascii="仿宋" w:eastAsia="仿宋" w:hAnsi="仿宋" w:cs="仿宋" w:hint="eastAsia"/>
            <w:lang w:eastAsia="zh-CN"/>
          </w:rPr>
          <w:t>十三、战略合作伙伴与投资者关系</w:t>
        </w:r>
        <w:r>
          <w:tab/>
        </w:r>
        <w:r>
          <w:fldChar w:fldCharType="begin"/>
        </w:r>
        <w:r>
          <w:instrText xml:space="preserve"> PAGEREF _Toc20309 \h </w:instrText>
        </w:r>
        <w:r>
          <w:fldChar w:fldCharType="separate"/>
        </w:r>
        <w:r>
          <w:t>53</w:t>
        </w:r>
        <w:r>
          <w:fldChar w:fldCharType="end"/>
        </w:r>
      </w:hyperlink>
    </w:p>
    <w:p>
      <w:pPr>
        <w:pStyle w:val="TOC2"/>
        <w:tabs>
          <w:tab w:val="right" w:leader="dot" w:pos="8306"/>
        </w:tabs>
      </w:pPr>
      <w:hyperlink w:anchor="_Toc13739" w:history="1">
        <w:r>
          <w:rPr>
            <w:rFonts w:ascii="仿宋" w:eastAsia="仿宋" w:hAnsi="仿宋" w:cs="仿宋" w:hint="eastAsia"/>
            <w:lang w:eastAsia="zh-CN"/>
          </w:rPr>
          <w:t>(一)、投资者关系管理</w:t>
        </w:r>
        <w:r>
          <w:tab/>
        </w:r>
        <w:r>
          <w:fldChar w:fldCharType="begin"/>
        </w:r>
        <w:r>
          <w:instrText xml:space="preserve"> PAGEREF _Toc13739 \h </w:instrText>
        </w:r>
        <w:r>
          <w:fldChar w:fldCharType="separate"/>
        </w:r>
        <w:r>
          <w:t>53</w:t>
        </w:r>
        <w:r>
          <w:fldChar w:fldCharType="end"/>
        </w:r>
      </w:hyperlink>
    </w:p>
    <w:p>
      <w:pPr>
        <w:pStyle w:val="TOC2"/>
        <w:tabs>
          <w:tab w:val="right" w:leader="dot" w:pos="8306"/>
        </w:tabs>
      </w:pPr>
      <w:hyperlink w:anchor="_Toc22362" w:history="1">
        <w:r>
          <w:rPr>
            <w:rFonts w:ascii="仿宋" w:eastAsia="仿宋" w:hAnsi="仿宋" w:cs="仿宋" w:hint="eastAsia"/>
            <w:lang w:eastAsia="zh-CN"/>
          </w:rPr>
          <w:t>(二)、战略合作伙伴关系管理</w:t>
        </w:r>
        <w:r>
          <w:tab/>
        </w:r>
        <w:r>
          <w:fldChar w:fldCharType="begin"/>
        </w:r>
        <w:r>
          <w:instrText xml:space="preserve"> PAGEREF _Toc22362 \h </w:instrText>
        </w:r>
        <w:r>
          <w:fldChar w:fldCharType="separate"/>
        </w:r>
        <w:r>
          <w:t>53</w:t>
        </w:r>
        <w:r>
          <w:fldChar w:fldCharType="end"/>
        </w:r>
      </w:hyperlink>
    </w:p>
    <w:p>
      <w:pPr>
        <w:pStyle w:val="TOC2"/>
        <w:tabs>
          <w:tab w:val="right" w:leader="dot" w:pos="8306"/>
        </w:tabs>
      </w:pPr>
      <w:hyperlink w:anchor="_Toc3368" w:history="1">
        <w:r>
          <w:rPr>
            <w:rFonts w:ascii="仿宋" w:eastAsia="仿宋" w:hAnsi="仿宋" w:cs="仿宋" w:hint="eastAsia"/>
            <w:lang w:eastAsia="zh-CN"/>
          </w:rPr>
          <w:t>(三)、投资者关系沟通</w:t>
        </w:r>
        <w:r>
          <w:tab/>
        </w:r>
        <w:r>
          <w:fldChar w:fldCharType="begin"/>
        </w:r>
        <w:r>
          <w:instrText xml:space="preserve"> PAGEREF _Toc3368 \h </w:instrText>
        </w:r>
        <w:r>
          <w:fldChar w:fldCharType="separate"/>
        </w:r>
        <w:r>
          <w:t>53</w:t>
        </w:r>
        <w:r>
          <w:fldChar w:fldCharType="end"/>
        </w:r>
      </w:hyperlink>
    </w:p>
    <w:p>
      <w:pPr>
        <w:pStyle w:val="TOC2"/>
        <w:tabs>
          <w:tab w:val="right" w:leader="dot" w:pos="8306"/>
        </w:tabs>
      </w:pPr>
      <w:hyperlink w:anchor="_Toc4186" w:history="1">
        <w:r>
          <w:rPr>
            <w:rFonts w:ascii="仿宋" w:eastAsia="仿宋" w:hAnsi="仿宋" w:cs="仿宋" w:hint="eastAsia"/>
            <w:lang w:eastAsia="zh-CN"/>
          </w:rPr>
          <w:t>(四)、投资者服务计划</w:t>
        </w:r>
        <w:r>
          <w:tab/>
        </w:r>
        <w:r>
          <w:fldChar w:fldCharType="begin"/>
        </w:r>
        <w:r>
          <w:instrText xml:space="preserve"> PAGEREF _Toc4186 \h </w:instrText>
        </w:r>
        <w:r>
          <w:fldChar w:fldCharType="separate"/>
        </w:r>
        <w:r>
          <w:t>54</w:t>
        </w:r>
        <w:r>
          <w:fldChar w:fldCharType="end"/>
        </w:r>
      </w:hyperlink>
    </w:p>
    <w:p>
      <w:pPr>
        <w:pStyle w:val="TOC1"/>
        <w:tabs>
          <w:tab w:val="right" w:leader="dot" w:pos="8306"/>
        </w:tabs>
      </w:pPr>
      <w:hyperlink w:anchor="_Toc31068" w:history="1">
        <w:r>
          <w:rPr>
            <w:rFonts w:ascii="仿宋" w:eastAsia="仿宋" w:hAnsi="仿宋" w:cs="仿宋" w:hint="eastAsia"/>
            <w:lang w:eastAsia="zh-CN"/>
          </w:rPr>
          <w:t>十四、环境保护与可持续发展</w:t>
        </w:r>
        <w:r>
          <w:tab/>
        </w:r>
        <w:r>
          <w:fldChar w:fldCharType="begin"/>
        </w:r>
        <w:r>
          <w:instrText xml:space="preserve"> PAGEREF _Toc31068 \h </w:instrText>
        </w:r>
        <w:r>
          <w:fldChar w:fldCharType="separate"/>
        </w:r>
        <w:r>
          <w:t>54</w:t>
        </w:r>
        <w:r>
          <w:fldChar w:fldCharType="end"/>
        </w:r>
      </w:hyperlink>
    </w:p>
    <w:p>
      <w:pPr>
        <w:pStyle w:val="TOC2"/>
        <w:tabs>
          <w:tab w:val="right" w:leader="dot" w:pos="8306"/>
        </w:tabs>
      </w:pPr>
      <w:hyperlink w:anchor="_Toc1343" w:history="1">
        <w:r>
          <w:rPr>
            <w:rFonts w:ascii="仿宋" w:eastAsia="仿宋" w:hAnsi="仿宋" w:cs="仿宋" w:hint="eastAsia"/>
            <w:lang w:eastAsia="zh-CN"/>
          </w:rPr>
          <w:t>(一)、环境保护政策与承诺</w:t>
        </w:r>
        <w:r>
          <w:tab/>
        </w:r>
        <w:r>
          <w:fldChar w:fldCharType="begin"/>
        </w:r>
        <w:r>
          <w:instrText xml:space="preserve"> PAGEREF _Toc1343 \h </w:instrText>
        </w:r>
        <w:r>
          <w:fldChar w:fldCharType="separate"/>
        </w:r>
        <w:r>
          <w:t>54</w:t>
        </w:r>
        <w:r>
          <w:fldChar w:fldCharType="end"/>
        </w:r>
      </w:hyperlink>
    </w:p>
    <w:p>
      <w:pPr>
        <w:pStyle w:val="TOC2"/>
        <w:tabs>
          <w:tab w:val="right" w:leader="dot" w:pos="8306"/>
        </w:tabs>
      </w:pPr>
      <w:hyperlink w:anchor="_Toc28878" w:history="1">
        <w:r>
          <w:rPr>
            <w:rFonts w:ascii="仿宋" w:eastAsia="仿宋" w:hAnsi="仿宋" w:cs="仿宋" w:hint="eastAsia"/>
            <w:lang w:eastAsia="zh-CN"/>
          </w:rPr>
          <w:t>(二)、可持续生产与绿色供应链</w:t>
        </w:r>
        <w:r>
          <w:tab/>
        </w:r>
        <w:r>
          <w:fldChar w:fldCharType="begin"/>
        </w:r>
        <w:r>
          <w:instrText xml:space="preserve"> PAGEREF _Toc28878 \h </w:instrText>
        </w:r>
        <w:r>
          <w:fldChar w:fldCharType="separate"/>
        </w:r>
        <w:r>
          <w:t>55</w:t>
        </w:r>
        <w:r>
          <w:fldChar w:fldCharType="end"/>
        </w:r>
      </w:hyperlink>
    </w:p>
    <w:p>
      <w:pPr>
        <w:pStyle w:val="TOC2"/>
        <w:tabs>
          <w:tab w:val="right" w:leader="dot" w:pos="8306"/>
        </w:tabs>
      </w:pPr>
      <w:hyperlink w:anchor="_Toc5292" w:history="1">
        <w:r>
          <w:rPr>
            <w:rFonts w:ascii="仿宋" w:eastAsia="仿宋" w:hAnsi="仿宋" w:cs="仿宋" w:hint="eastAsia"/>
            <w:lang w:eastAsia="zh-CN"/>
          </w:rPr>
          <w:t>(三)、减少废物和碳足迹</w:t>
        </w:r>
        <w:r>
          <w:tab/>
        </w:r>
        <w:r>
          <w:fldChar w:fldCharType="begin"/>
        </w:r>
        <w:r>
          <w:instrText xml:space="preserve"> PAGEREF _Toc5292 \h </w:instrText>
        </w:r>
        <w:r>
          <w:fldChar w:fldCharType="separate"/>
        </w:r>
        <w:r>
          <w:t>56</w:t>
        </w:r>
        <w:r>
          <w:fldChar w:fldCharType="end"/>
        </w:r>
      </w:hyperlink>
    </w:p>
    <w:p>
      <w:pPr>
        <w:pStyle w:val="TOC2"/>
        <w:tabs>
          <w:tab w:val="right" w:leader="dot" w:pos="8306"/>
        </w:tabs>
      </w:pPr>
      <w:hyperlink w:anchor="_Toc30946" w:history="1">
        <w:r>
          <w:rPr>
            <w:rFonts w:ascii="仿宋" w:eastAsia="仿宋" w:hAnsi="仿宋" w:cs="仿宋" w:hint="eastAsia"/>
            <w:lang w:eastAsia="zh-CN"/>
          </w:rPr>
          <w:t>(四)、知识产权保护与创新</w:t>
        </w:r>
        <w:r>
          <w:tab/>
        </w:r>
        <w:r>
          <w:fldChar w:fldCharType="begin"/>
        </w:r>
        <w:r>
          <w:instrText xml:space="preserve"> PAGEREF _Toc30946 \h </w:instrText>
        </w:r>
        <w:r>
          <w:fldChar w:fldCharType="separate"/>
        </w:r>
        <w:r>
          <w:t>56</w:t>
        </w:r>
        <w:r>
          <w:fldChar w:fldCharType="end"/>
        </w:r>
      </w:hyperlink>
    </w:p>
    <w:p>
      <w:pPr>
        <w:pStyle w:val="TOC2"/>
        <w:tabs>
          <w:tab w:val="right" w:leader="dot" w:pos="8306"/>
        </w:tabs>
      </w:pPr>
      <w:hyperlink w:anchor="_Toc4731" w:history="1">
        <w:r>
          <w:rPr>
            <w:rFonts w:ascii="仿宋" w:eastAsia="仿宋" w:hAnsi="仿宋" w:cs="仿宋" w:hint="eastAsia"/>
            <w:lang w:eastAsia="zh-CN"/>
          </w:rPr>
          <w:t>(五)、社区参与与教育</w:t>
        </w:r>
        <w:r>
          <w:tab/>
        </w:r>
        <w:r>
          <w:fldChar w:fldCharType="begin"/>
        </w:r>
        <w:r>
          <w:instrText xml:space="preserve"> PAGEREF _Toc4731 \h </w:instrText>
        </w:r>
        <w:r>
          <w:fldChar w:fldCharType="separate"/>
        </w:r>
        <w:r>
          <w:t>57</w:t>
        </w:r>
        <w:r>
          <w:fldChar w:fldCharType="end"/>
        </w:r>
      </w:hyperlink>
    </w:p>
    <w:p>
      <w:pPr>
        <w:pStyle w:val="TOC1"/>
        <w:tabs>
          <w:tab w:val="right" w:leader="dot" w:pos="8306"/>
        </w:tabs>
      </w:pPr>
      <w:hyperlink w:anchor="_Toc4591" w:history="1">
        <w:r>
          <w:rPr>
            <w:rFonts w:ascii="仿宋" w:eastAsia="仿宋" w:hAnsi="仿宋" w:cs="仿宋" w:hint="eastAsia"/>
            <w:lang w:eastAsia="zh-CN"/>
          </w:rPr>
          <w:t>十五、未来展望与增长策略</w:t>
        </w:r>
        <w:r>
          <w:tab/>
        </w:r>
        <w:r>
          <w:fldChar w:fldCharType="begin"/>
        </w:r>
        <w:r>
          <w:instrText xml:space="preserve"> PAGEREF _Toc4591 \h </w:instrText>
        </w:r>
        <w:r>
          <w:fldChar w:fldCharType="separate"/>
        </w:r>
        <w:r>
          <w:t>58</w:t>
        </w:r>
        <w:r>
          <w:fldChar w:fldCharType="end"/>
        </w:r>
      </w:hyperlink>
    </w:p>
    <w:p>
      <w:pPr>
        <w:pStyle w:val="TOC2"/>
        <w:tabs>
          <w:tab w:val="right" w:leader="dot" w:pos="8306"/>
        </w:tabs>
      </w:pPr>
      <w:hyperlink w:anchor="_Toc4614" w:history="1">
        <w:r>
          <w:rPr>
            <w:rFonts w:ascii="仿宋" w:eastAsia="仿宋" w:hAnsi="仿宋" w:cs="仿宋" w:hint="eastAsia"/>
            <w:lang w:eastAsia="zh-CN"/>
          </w:rPr>
          <w:t>(一)、未来市场趋势分析</w:t>
        </w:r>
        <w:r>
          <w:tab/>
        </w:r>
        <w:r>
          <w:fldChar w:fldCharType="begin"/>
        </w:r>
        <w:r>
          <w:instrText xml:space="preserve"> PAGEREF _Toc4614 \h </w:instrText>
        </w:r>
        <w:r>
          <w:fldChar w:fldCharType="separate"/>
        </w:r>
        <w:r>
          <w:t>58</w:t>
        </w:r>
        <w:r>
          <w:fldChar w:fldCharType="end"/>
        </w:r>
      </w:hyperlink>
    </w:p>
    <w:p>
      <w:pPr>
        <w:pStyle w:val="TOC2"/>
        <w:tabs>
          <w:tab w:val="right" w:leader="dot" w:pos="8306"/>
        </w:tabs>
      </w:pPr>
      <w:hyperlink w:anchor="_Toc11480" w:history="1">
        <w:r>
          <w:rPr>
            <w:rFonts w:ascii="仿宋" w:eastAsia="仿宋" w:hAnsi="仿宋" w:cs="仿宋" w:hint="eastAsia"/>
            <w:lang w:eastAsia="zh-CN"/>
          </w:rPr>
          <w:t>(二)、增长机会与战略</w:t>
        </w:r>
        <w:r>
          <w:tab/>
        </w:r>
        <w:r>
          <w:fldChar w:fldCharType="begin"/>
        </w:r>
        <w:r>
          <w:instrText xml:space="preserve"> PAGEREF _Toc11480 \h </w:instrText>
        </w:r>
        <w:r>
          <w:fldChar w:fldCharType="separate"/>
        </w:r>
        <w:r>
          <w:t>59</w:t>
        </w:r>
        <w:r>
          <w:fldChar w:fldCharType="end"/>
        </w:r>
      </w:hyperlink>
    </w:p>
    <w:p>
      <w:pPr>
        <w:pStyle w:val="TOC2"/>
        <w:tabs>
          <w:tab w:val="right" w:leader="dot" w:pos="8306"/>
        </w:tabs>
      </w:pPr>
      <w:hyperlink w:anchor="_Toc1996" w:history="1">
        <w:r>
          <w:rPr>
            <w:rFonts w:ascii="仿宋" w:eastAsia="仿宋" w:hAnsi="仿宋" w:cs="仿宋" w:hint="eastAsia"/>
            <w:lang w:eastAsia="zh-CN"/>
          </w:rPr>
          <w:t>(三)、扩展计划与新市场进入</w:t>
        </w:r>
        <w:r>
          <w:tab/>
        </w:r>
        <w:r>
          <w:fldChar w:fldCharType="begin"/>
        </w:r>
        <w:r>
          <w:instrText xml:space="preserve"> PAGEREF _Toc1996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是对多功能水质现场监测仪市场调研项目的综合评价分析，通过深入研究市场需求、竞争状况和未来趋势，为企业制定合适的营销策略和发展规划提供参考依据。报告采用标准的分析方法和模型，对可行性进行了综合评估，并提出了优化建议。请注意，本报告仅供学习交流使用，不可做为商业用途。</w:t>
      </w:r>
    </w:p>
    <w:p>
      <w:pPr>
        <w:pStyle w:val="Heading1"/>
        <w:ind w:firstLine="560" w:firstLineChars="200"/>
        <w:rPr>
          <w:rFonts w:ascii="仿宋" w:eastAsia="仿宋" w:hAnsi="仿宋" w:cs="仿宋" w:hint="eastAsia"/>
          <w:sz w:val="28"/>
          <w:lang w:eastAsia="zh-CN"/>
        </w:rPr>
      </w:pPr>
      <w:bookmarkStart w:id="2" w:name="_Toc3133"/>
      <w:r>
        <w:rPr>
          <w:rFonts w:ascii="仿宋" w:eastAsia="仿宋" w:hAnsi="仿宋" w:cs="仿宋" w:hint="eastAsia"/>
          <w:sz w:val="28"/>
          <w:lang w:eastAsia="zh-CN"/>
        </w:rPr>
        <w:t>一、组织架构与人力资源配置</w:t>
      </w:r>
      <w:bookmarkEnd w:id="2"/>
    </w:p>
    <w:p>
      <w:pPr>
        <w:pStyle w:val="Heading2"/>
        <w:rPr>
          <w:rFonts w:ascii="仿宋" w:eastAsia="仿宋" w:hAnsi="仿宋" w:cs="仿宋" w:hint="eastAsia"/>
          <w:lang w:eastAsia="zh-CN"/>
        </w:rPr>
      </w:pPr>
      <w:bookmarkStart w:id="3" w:name="_Toc3634"/>
      <w:r>
        <w:rPr>
          <w:rFonts w:ascii="仿宋" w:eastAsia="仿宋" w:hAnsi="仿宋" w:cs="仿宋" w:hint="eastAsia"/>
          <w:lang w:eastAsia="zh-CN"/>
        </w:rPr>
        <w:t>(一)、人员资源需求</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当考虑公司的人员资源需求时，需要具体考虑不同职能领域的要求和每个职位的具体需求。每个领域的具体人员资源需求：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核心管理团队：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总裁：高度战略和领导能力，有丰富的管理经验，能够制定公司的长期战略和目标。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副总裁：各自负责公司的不同领域，例如市场、销售、财务等。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财务总监：负责财务管理、预算控制和财务报告，需要具备财务专业背景和相关资格认证。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市场总监：负责市场推广、品牌建设和市场战略制定，需要熟悉市场分析和竞争对手情况。</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专业技术人员：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工程师：根据多功能水质现场监测仪项目需求，需要不同领域的工程师，例如电子工程师、机械工程师、软件工程师等。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科学家：从事研究和开发工作，需要相关学科的博士学位和研究经验。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设计师：负责产品设计和创新，需要创造力和设计技能。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3. 销售和市场人员：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销售代表：负责销售产品或服务，需要沟通和谈判技巧。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市场营销经理：制定市场策略、广告计划和推广活动，需要市场分析和策略制定的经验。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客户关系管理人员：维护客户关系，提供客户支持和解决问题。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4. 运营和生产人员：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生产工人：从事产品制造，需要相关领域的技术知识。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供应链管理人员：负责供应链规划、物流和库存管理。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质量控制专员：确保产品质量，进行质量检测和控制。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行政和支持人员：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行政助理：协助日常行政工作，如文件管理、会议组织。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人力资源专员：招聘、员工培训、绩效评估和员工关系管理。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会计师：负责财务和会计工作，如账目处理、报表编制。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6. 研发和创新人员：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研究员：从事研究和开发工作，需要具备相关领域的专业知识。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创新团队：推动新产品和技术的研发，需要具备创新和创造力。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7. 人才招聘和管理：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人力资源经理：负责招聘策略、员工绩效评估和薪酬管理。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培训专员：设计和执行培训计划，提高员工的技能和知识。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8. 多元文化团队：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多语种客户服务团队：满足不同市场的多语种需求。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跨文化专家：了解不同文化和市场的差异，以更好地服务客户。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9. 高级管理培训：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高级管理培训师：制定高级管理培训计划，培养未来的领导者。</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每个职能领域的具体需求将取决于公司的业务规模、行业、战略目标和市场需求。公司应该根据实际情况拟定招聘计划，确保有足够的人才来支持公司的长期发展。</w:t>
      </w:r>
    </w:p>
    <w:p>
      <w:pPr>
        <w:pStyle w:val="Heading2"/>
        <w:ind w:firstLine="560" w:firstLineChars="200"/>
        <w:rPr>
          <w:rFonts w:ascii="仿宋" w:eastAsia="仿宋" w:hAnsi="仿宋" w:cs="仿宋" w:hint="eastAsia"/>
          <w:sz w:val="28"/>
          <w:lang w:eastAsia="zh-CN"/>
        </w:rPr>
      </w:pPr>
      <w:bookmarkStart w:id="4" w:name="_Toc10884"/>
      <w:r>
        <w:rPr>
          <w:rFonts w:ascii="仿宋" w:eastAsia="仿宋" w:hAnsi="仿宋" w:cs="仿宋" w:hint="eastAsia"/>
          <w:sz w:val="28"/>
          <w:lang w:eastAsia="zh-CN"/>
        </w:rPr>
        <w:t>(二)、员工培训与发展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为确保生产线的顺利投产并保障生产安全与产品质量，公司将有序组织技术人员和生产操作人员的培训，这一培训过程将分阶段进行：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1. 设备安装初期培训：</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设备安装的初期，生产骨干和技术人员将前往施工现场与施工队伍一同协作，参与设备的安装工作。这个阶段的目标是在设备安装的过程中，让技术人员熟悉设备结构，以便为后续的单机调试和试生产做好准备。</w:t>
      </w:r>
    </w:p>
    <w:p>
      <w:pPr>
        <w:ind w:firstLine="560" w:firstLineChars="200"/>
        <w:rPr>
          <w:rFonts w:ascii="仿宋" w:eastAsia="仿宋" w:hAnsi="仿宋" w:cs="仿宋" w:hint="eastAsia"/>
          <w:sz w:val="28"/>
        </w:rPr>
      </w:pPr>
      <w:r>
        <w:rPr>
          <w:rFonts w:ascii="仿宋" w:eastAsia="仿宋" w:hAnsi="仿宋" w:cs="仿宋" w:hint="eastAsia"/>
          <w:sz w:val="28"/>
          <w:lang w:eastAsia="zh-CN"/>
        </w:rPr>
        <w:t>2. 理论培训与实际操作训练：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试车前的两个月左右，公司将组织主要生产岗位的操作人员进行培训。这个过程将分阶段、分批次进行。首先，员工将接受理论培训，然后进行实际操作训练。此外，操作人员还将有机会前往同类型、同规模的工厂进行实习操作，以提高他们的操作技能和熟练度，为设备调试和生产做好充分准备。</w:t>
      </w:r>
    </w:p>
    <w:p>
      <w:pPr>
        <w:ind w:firstLine="560" w:firstLineChars="200"/>
        <w:rPr>
          <w:rFonts w:ascii="仿宋" w:eastAsia="仿宋" w:hAnsi="仿宋" w:cs="仿宋" w:hint="eastAsia"/>
          <w:sz w:val="28"/>
        </w:rPr>
      </w:pPr>
      <w:r>
        <w:rPr>
          <w:rFonts w:ascii="仿宋" w:eastAsia="仿宋" w:hAnsi="仿宋" w:cs="仿宋" w:hint="eastAsia"/>
          <w:sz w:val="28"/>
          <w:lang w:eastAsia="zh-CN"/>
        </w:rPr>
        <w:t>3. 调试前详细介绍：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设备调试前，技术人员和操作工人将接受详细介绍，包括工艺流程、设备特点、操作要点、安全生产规程等内容。此阶段的目标是确保所有相关人员对整个生产线的工艺和设备有充分的了解，并能熟练掌握各工艺工序的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设备调试阶段：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在设备调试过程中，操作人员将在安装调试人员和设计人员的指导监督下，逐渐掌握各工艺工序的操作，了解并掌握各工段设备的操作规程。这一阶段的培训将直接应用于设备的调试和准备投产。</w:t>
      </w:r>
    </w:p>
    <w:p>
      <w:pPr>
        <w:ind w:firstLine="560" w:firstLineChars="200"/>
        <w:rPr>
          <w:rFonts w:ascii="仿宋" w:eastAsia="仿宋" w:hAnsi="仿宋" w:cs="仿宋" w:hint="eastAsia"/>
          <w:sz w:val="28"/>
        </w:rPr>
      </w:pPr>
      <w:r>
        <w:rPr>
          <w:rFonts w:ascii="仿宋" w:eastAsia="仿宋" w:hAnsi="仿宋" w:cs="仿宋" w:hint="eastAsia"/>
          <w:sz w:val="28"/>
          <w:lang w:eastAsia="zh-CN"/>
        </w:rPr>
        <w:t>5. 投产前技术讲座：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投产前，公司将组织有关技术讲座，以确保公司技术人员充分了解生产工艺、技术装备以及多功能水质现场监测仪项目采用的技术发展情况。这有助于确保技术人员的专业知识与技术水平与多功能水质现场监测仪项目要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严格考核与操作上岗：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在投产前，公司将对操作人员进行严格的考核。只有经过考核并合格的员工才能上岗操作，以确保他们在操作生产线时具备足够的操作技能和知识水平。</w:t>
      </w:r>
    </w:p>
    <w:p>
      <w:pPr>
        <w:pStyle w:val="Heading1"/>
        <w:ind w:firstLine="560" w:firstLineChars="200"/>
        <w:rPr>
          <w:rFonts w:ascii="仿宋" w:eastAsia="仿宋" w:hAnsi="仿宋" w:cs="仿宋" w:hint="eastAsia"/>
          <w:sz w:val="28"/>
          <w:lang w:eastAsia="zh-CN"/>
        </w:rPr>
      </w:pPr>
      <w:bookmarkStart w:id="5" w:name="_Toc24049"/>
      <w:r>
        <w:rPr>
          <w:rFonts w:ascii="仿宋" w:eastAsia="仿宋" w:hAnsi="仿宋" w:cs="仿宋" w:hint="eastAsia"/>
          <w:sz w:val="28"/>
          <w:lang w:eastAsia="zh-CN"/>
        </w:rPr>
        <w:t>二、法人治理架构</w:t>
      </w:r>
      <w:bookmarkEnd w:id="5"/>
    </w:p>
    <w:p>
      <w:pPr>
        <w:pStyle w:val="Heading2"/>
        <w:rPr>
          <w:rFonts w:ascii="仿宋" w:eastAsia="仿宋" w:hAnsi="仿宋" w:cs="仿宋" w:hint="eastAsia"/>
          <w:lang w:eastAsia="zh-CN"/>
        </w:rPr>
      </w:pPr>
      <w:bookmarkStart w:id="6" w:name="_Toc7599"/>
      <w:r>
        <w:rPr>
          <w:rFonts w:ascii="仿宋" w:eastAsia="仿宋" w:hAnsi="仿宋" w:cs="仿宋" w:hint="eastAsia"/>
          <w:lang w:eastAsia="zh-CN"/>
        </w:rPr>
        <w:t>(一)、股东权益与义务</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股东权益：</w:t>
      </w:r>
    </w:p>
    <w:p>
      <w:pPr>
        <w:ind w:firstLine="560" w:firstLineChars="200"/>
        <w:rPr>
          <w:rFonts w:ascii="仿宋" w:eastAsia="仿宋" w:hAnsi="仿宋" w:cs="仿宋" w:hint="eastAsia"/>
          <w:sz w:val="28"/>
        </w:rPr>
      </w:pPr>
      <w:r>
        <w:rPr>
          <w:rFonts w:ascii="仿宋" w:eastAsia="仿宋" w:hAnsi="仿宋" w:cs="仿宋" w:hint="eastAsia"/>
          <w:sz w:val="28"/>
          <w:lang w:eastAsia="zh-CN"/>
        </w:rPr>
        <w:t>1. 所有权权益：股东持有公司股份，代表他们在公司的所有权。这些所有权权益赋予股东公司的股东大会选举公司领导层、审批公司的关键决策和政策，以及分享公司盈利的权利。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红利权：股东有权分享公司的盈利。公司盈余分配方案一般在股东大会上通过，股东按其所持股份比例分享利润。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3. 知情权：股东有权了解公司的财务状况、运营情况和重要决策。公司应向股东提供相关信息，使他们能够有效行使其知情权。</w:t>
      </w:r>
    </w:p>
    <w:p>
      <w:pPr>
        <w:ind w:firstLine="560" w:firstLineChars="200"/>
        <w:rPr>
          <w:rFonts w:ascii="仿宋" w:eastAsia="仿宋" w:hAnsi="仿宋" w:cs="仿宋" w:hint="eastAsia"/>
          <w:sz w:val="28"/>
        </w:rPr>
      </w:pPr>
      <w:r>
        <w:rPr>
          <w:rFonts w:ascii="仿宋" w:eastAsia="仿宋" w:hAnsi="仿宋" w:cs="仿宋" w:hint="eastAsia"/>
          <w:sz w:val="28"/>
          <w:lang w:eastAsia="zh-CN"/>
        </w:rPr>
        <w:t>4. 监督权：股东可以参与公司治理，包括选举董事会成员、审计公司财务报表，以及提出和审批公司政策和决策。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5. 资产分配权：在公司解散或清算时，股东有权分享公司净资产。这确保了股东对公司资产的权益。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二、股东义务：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资本注入义务：股东必须按照其认购的股份金额，按时履行资本注入义务。这确保了公司有足够的资本来运营和发展。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法律合规义务：股东有责任确保公司的运营合法合规。他们应遵守所有适用的法律法规，包括公司法、证券法等。</w:t>
      </w:r>
    </w:p>
    <w:p>
      <w:pPr>
        <w:ind w:firstLine="560" w:firstLineChars="200"/>
        <w:rPr>
          <w:rFonts w:ascii="仿宋" w:eastAsia="仿宋" w:hAnsi="仿宋" w:cs="仿宋" w:hint="eastAsia"/>
          <w:sz w:val="28"/>
        </w:rPr>
      </w:pPr>
      <w:r>
        <w:rPr>
          <w:rFonts w:ascii="仿宋" w:eastAsia="仿宋" w:hAnsi="仿宋" w:cs="仿宋" w:hint="eastAsia"/>
          <w:sz w:val="28"/>
          <w:lang w:eastAsia="zh-CN"/>
        </w:rPr>
        <w:t>3. 诚信义务：股东有义务以诚信原则参与公司治理。这包括避免利益冲突，维护公司和其他股东的利益。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合同义务：股东必须遵守公司章程和其他公司文件中规定的合同义务，包括不得私自转让股份等。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公司治理义务：股东应积极参与公司治理，包括参加股东大会、投票选举董事会成员，审计公司财务报表，提出建议和投票支持公司政策和决策。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股东的权益和义务是公司治理和管理的基础，它们确保了公司的透明度、合法合规运营以及股东的权益得到保护。通过积极履行义务和行使权益，股东可以推动公司的可持续发展和长期成功。因此，股东在公司中的地位至关重要，他们不仅仅是投资者，更是公司治理的参与者和监督者。</w:t>
      </w:r>
    </w:p>
    <w:p>
      <w:pPr>
        <w:pStyle w:val="Heading2"/>
        <w:ind w:firstLine="560" w:firstLineChars="200"/>
        <w:rPr>
          <w:rFonts w:ascii="仿宋" w:eastAsia="仿宋" w:hAnsi="仿宋" w:cs="仿宋" w:hint="eastAsia"/>
          <w:sz w:val="28"/>
          <w:lang w:eastAsia="zh-CN"/>
        </w:rPr>
      </w:pPr>
      <w:bookmarkStart w:id="7" w:name="_Toc14033"/>
      <w:r>
        <w:rPr>
          <w:rFonts w:ascii="仿宋" w:eastAsia="仿宋" w:hAnsi="仿宋" w:cs="仿宋" w:hint="eastAsia"/>
          <w:sz w:val="28"/>
          <w:lang w:eastAsia="zh-CN"/>
        </w:rPr>
        <w:t>(二)、公司董事会</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董事会组成：</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公司董事会通常由董事组成，董事的数量和身份多样化，以确保各种利益得到代表。董事的任命和撤换一般由公司章程规定，也可能受到监管机构的法律规定。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董事会职责：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公司董事会的主要职责包括：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监督公司管理层的决策和行为，确保其符合法律法规和公司政策。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审查和批准公司的战略计划和预算。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选择、评估和奖励公司高级管理层。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监督公司的财务状况，审计报告和内部控制。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决定股东分红政策和公司的分配政策。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对公司的社会责任、可持续发展和风险管理提供建议和监督。</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董事会按照事先安排的计划举行定期会议，以讨论公司的重大事务和决策。会议通常由董事会主席主持，出席的董事需要达成一致意见或根据表决结果做出决策。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4. 董事会决策：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董事会通过投票决定公司的重大事项，决策通常要得到多数董事的支持。不同公司可能对决策和表决规则有不同的要求，取决于公司章程和法律法规。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董事会监督：</w:t>
      </w:r>
    </w:p>
    <w:p>
      <w:pPr>
        <w:ind w:firstLine="560" w:firstLineChars="200"/>
        <w:rPr>
          <w:rFonts w:ascii="仿宋" w:eastAsia="仿宋" w:hAnsi="仿宋" w:cs="仿宋" w:hint="eastAsia"/>
          <w:sz w:val="28"/>
        </w:rPr>
      </w:pPr>
      <w:r>
        <w:rPr>
          <w:rFonts w:ascii="仿宋" w:eastAsia="仿宋" w:hAnsi="仿宋" w:cs="仿宋" w:hint="eastAsia"/>
          <w:sz w:val="28"/>
          <w:lang w:eastAsia="zh-CN"/>
        </w:rPr>
        <w:t>董事会通过内部和外部审计、监管报告以及高级管理层的报告来监督公司的运营。他们确保公司的行为合法合规，同时也要确保公司的长期战略与股东的利益相一致。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董事会职能：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公司董事会的职能包括执行、监督和咨询。他们执行公司的日常管理，监督高级管理层的决策，并为公司提供重要建议和战略方向。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公司董事会的作用在于平衡公司内部各方利益，确保公司的决策和行为符合法律和道德要求。一个高效的董事会有助于公司的长期成功和可持续发展。</w:t>
      </w:r>
    </w:p>
    <w:p>
      <w:pPr>
        <w:pStyle w:val="Heading2"/>
        <w:ind w:firstLine="560" w:firstLineChars="200"/>
        <w:rPr>
          <w:rFonts w:ascii="仿宋" w:eastAsia="仿宋" w:hAnsi="仿宋" w:cs="仿宋" w:hint="eastAsia"/>
          <w:sz w:val="28"/>
          <w:lang w:eastAsia="zh-CN"/>
        </w:rPr>
      </w:pPr>
      <w:bookmarkStart w:id="8" w:name="_Toc28424"/>
      <w:r>
        <w:rPr>
          <w:rFonts w:ascii="仿宋" w:eastAsia="仿宋" w:hAnsi="仿宋" w:cs="仿宋" w:hint="eastAsia"/>
          <w:sz w:val="28"/>
          <w:lang w:eastAsia="zh-CN"/>
        </w:rPr>
        <w:t>(三)、高级管理层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公司的高级管理层组成如下：公司设总裁一名，由董事会聘任或解聘，同时设副总裁若干名和财务总监一名，同样由董事会聘任或解聘。这些高级管理人员均代表公司高级管理层。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公司章程中的规定适用于所有高级管理人员，包括总裁、副总裁、财务总监等。高级管理层的成员必须遵守这些规定。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3. 在公司控股股东和实际控制人单位担任非董事或监事职务的个人，不得同时担任公司的高级管理职位。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的总裁每届任期为3年，可以连任。总裁对董事会负有责任，并行使多项职权，包括主持公司的生产经营管理、制定年度经营计划和投资方案、设定公司内部管理机构和基本管理制度、制定具体规章、提请董事会聘任或解聘副总裁和财务负责人、决定其他负责管理人员的聘任或解聘等。总裁也列席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5. 总裁应制定总裁工作细则，其中包括总裁会议的召开条件、程序和参与人员，以及高级管理人员的具体职责和分工，公司资金和资产运用的权限，以及其他必要事项。</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总裁可以在任期届满之前提出辞职，具体辞职程序和办法将在总裁与公司之间的劳动合同中规定。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7. 副总裁协助总裁工作，负责特定方面的生产经营管理工作。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公司还设有董事会秘书，负责筹备公司股东大会和董事会、监事会的会议，管理相关文件和股东资料，以及处理信息披露事务。董事会秘书需要遵守法律、法规、部门规章和公司章程的相关规定。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9. 董事会秘书也应制定董事会秘书工作细则，其中包括董事会秘书的资格、聘任程序、权力职责以及其他必要事项。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10. 高级管理人员在履行公司职务时如果违反法律、法规、规章或公司章程的规定，导致公司损失，应当承担赔偿责任。这一原则旨在确保高级管理层合法合规地履行其职责，维护公司的权益。</w:t>
      </w:r>
    </w:p>
    <w:p>
      <w:pPr>
        <w:pStyle w:val="Heading2"/>
        <w:ind w:firstLine="560" w:firstLineChars="200"/>
        <w:rPr>
          <w:rFonts w:ascii="仿宋" w:eastAsia="仿宋" w:hAnsi="仿宋" w:cs="仿宋" w:hint="eastAsia"/>
          <w:sz w:val="28"/>
          <w:lang w:eastAsia="zh-CN"/>
        </w:rPr>
      </w:pPr>
      <w:bookmarkStart w:id="9" w:name="_Toc21883"/>
      <w:r>
        <w:rPr>
          <w:rFonts w:ascii="仿宋" w:eastAsia="仿宋" w:hAnsi="仿宋" w:cs="仿宋" w:hint="eastAsia"/>
          <w:sz w:val="28"/>
          <w:lang w:eastAsia="zh-CN"/>
        </w:rPr>
        <w:t>(四)、监督管理层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公司的监督管理层是公司治理结构的重要组成部分，负责监督和管理公司的经营活动，确保公司合规运营、风险管理、财务透明度和公司治理的有效性。监督管理层包括监事会和监事长。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1. 监事会： 监事会是公司治理结构中的独立监督机构，独立于董事会和管理层，其成员通常由公司股东选举产生。监事会的主要职责包括监督公司管理层的决策，审计公司的财务报表，审核公司内部控制制度的有效性，监督公司的风险管理和合规程序，提出对公司经营活动的建议。监事会通过定期会议和报告向股东和董事会提供有关公司经营状况和决策的信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监事长：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通常由一位监事长领导，监事长是监事会的主席，负责协调监事会的工作，领导监事会的决策，以及代表监事会与董事会和公司管理层进行沟通。监事长的角色非常关键，需要确保监事会的独立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监督管理层的设立有助于维护公司的合法权益，监督公司管理层的决策，保障公司股东和利益相关者的利益。监督管理层的工作有助于确保公司合规运营，遵守法律法规，管理风险，保护公司的声誉，提高公司治理的透明度和质量。</w:t>
      </w:r>
    </w:p>
    <w:p>
      <w:pPr>
        <w:pStyle w:val="Heading1"/>
        <w:ind w:firstLine="560" w:firstLineChars="200"/>
        <w:rPr>
          <w:rFonts w:ascii="仿宋" w:eastAsia="仿宋" w:hAnsi="仿宋" w:cs="仿宋" w:hint="eastAsia"/>
          <w:sz w:val="28"/>
          <w:lang w:eastAsia="zh-CN"/>
        </w:rPr>
      </w:pPr>
      <w:bookmarkStart w:id="10" w:name="_Toc26380"/>
      <w:r>
        <w:rPr>
          <w:rFonts w:ascii="仿宋" w:eastAsia="仿宋" w:hAnsi="仿宋" w:cs="仿宋" w:hint="eastAsia"/>
          <w:sz w:val="28"/>
          <w:lang w:eastAsia="zh-CN"/>
        </w:rPr>
        <w:t>三、背景及必要性</w:t>
      </w:r>
      <w:bookmarkEnd w:id="10"/>
    </w:p>
    <w:p>
      <w:pPr>
        <w:pStyle w:val="Heading2"/>
        <w:rPr>
          <w:rFonts w:ascii="仿宋" w:eastAsia="仿宋" w:hAnsi="仿宋" w:cs="仿宋" w:hint="eastAsia"/>
          <w:lang w:eastAsia="zh-CN"/>
        </w:rPr>
      </w:pPr>
      <w:bookmarkStart w:id="11" w:name="_Toc19720"/>
      <w:r>
        <w:rPr>
          <w:rFonts w:ascii="仿宋" w:eastAsia="仿宋" w:hAnsi="仿宋" w:cs="仿宋" w:hint="eastAsia"/>
          <w:lang w:eastAsia="zh-CN"/>
        </w:rPr>
        <w:t>(一)、多功能水质现场监测仪项目背景分析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多功能水质现场监测仪项目背景分析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水质现场监测仪项目是一个具有重要战略意义的新兴多功能水质现场监测仪项目，其背景涵盖了多个关键因素，包括市场需求、技术发展、行业趋势以及社会影响。这些因素在多功能水质现场监测仪项目的规划和实施中起着关键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需求：随着市场竞争的加剧，客户对多功能水质现场监测仪产品的需求不断增加。市场研究表明，多功能水质现场监测仪项目的产品在当前市场中有广阔的应用前景。客户对高质量、可靠性和性能卓越的产品的需求正不断增长，这为多功能水质现场监测仪项目提供了巨大的市场机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发展：多功能水质现场监测仪项目的背景包括了当前技术发展的趋势。新的材料和制造技术的出现为多功能水质现场监测仪项目的成功实施提供了有利条件。多功能水质现场监测仪项目将采用最新的技术，以确保产品的高质量和创新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行业趋势：所在行业正在发生快速变化，其中一些趋势将对多功能水质现场监测仪项目产生深远影响。这包括市场竞争格局、政策法规变化以及行业标准的演进。多功能水质现场监测仪项目必须密切关注这些趋势，以保持竞争力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社会影响：多功能水质现场监测仪项目将对社会产生积极影响，包括创造就业机会、提高产品质量、促进技术创新以及支持可持续发展。这些因素将有助于多功能水质现场监测仪项目的可持续发展和长期成功。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深入的多功能水质现场监测仪项目背景分析，我们可以更好地理解多功能水质现场监测仪项目的价值和市场地位，为多功能水质现场监测仪项目的规划和实施提供了有力的支持。多功能水质现场监测仪项目的背景分析不仅有助于多功能水质现场监测仪项目的成功，还为投资者、利益相关方和决策者提供了全面的信息，以确保多功能水质现场监测仪项目能够取得长期的商业和社会价值。</w:t>
      </w:r>
    </w:p>
    <w:p>
      <w:pPr>
        <w:pStyle w:val="Heading2"/>
        <w:ind w:firstLine="560" w:firstLineChars="200"/>
        <w:rPr>
          <w:rFonts w:ascii="仿宋" w:eastAsia="仿宋" w:hAnsi="仿宋" w:cs="仿宋" w:hint="eastAsia"/>
          <w:sz w:val="28"/>
          <w:lang w:eastAsia="zh-CN"/>
        </w:rPr>
      </w:pPr>
      <w:bookmarkStart w:id="12" w:name="_Toc20158"/>
      <w:r>
        <w:rPr>
          <w:rFonts w:ascii="仿宋" w:eastAsia="仿宋" w:hAnsi="仿宋" w:cs="仿宋" w:hint="eastAsia"/>
          <w:sz w:val="28"/>
          <w:lang w:eastAsia="zh-CN"/>
        </w:rPr>
        <w:t>(二)、实施多功能水质现场监测仪项目的必要性</w:t>
      </w:r>
      <w:bookmarkEnd w:id="12"/>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升公司核心竞争力：本多功能水质现场监测仪项目的实施将有助于提升公司的核心竞争力。随着市场的竞争加剧，企业需要不断创新和改进，以满足客户的需求。该多功能水质现场监测仪项目将引入先进的技术和工艺，提高产品质量和性能，从而使公司在市场上具备更强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满足市场需求：市场需求是多功能水质现场监测仪项目实施的主要动力之一。随着市场对高质量产品的需求不断增加，多功能水质现场监测仪项目的产品将填补市场上的需求缺口，满足客户的要求。这有助于增加市场份额，扩大销售规模，提高企业的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促进技术创新：多功能水质现场监测仪项目的实施将促进技术创新。通过引入新的技术和工艺，企业可以不断改进产品，提高生产效率，降低成本，并开发新的市场。这将使公司在行业中保持领先地位。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支持可持续发展：多功能水质现场监测仪项目实施将有助于企业的可持续发展。它将提高产品的可靠性，延长产品的使用寿命，减少资源浪费，降低环境影响。这有助于企业更好地履行社会责任，推动可持续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提高综合经济效益：多功能水质现场监测仪项目的实施将提高公司的综合经济效益。尽管多功能水质现场监测仪项目投资初期可能较高，但通过提高产品质量、降低生产成本和扩大市场份额，公司将获得更多的经济回报。这将使多功能水质现场监测仪项目成本得到合理回收，为企业创造更多的价值。</w:t>
      </w:r>
    </w:p>
    <w:p>
      <w:pPr>
        <w:pStyle w:val="Heading1"/>
        <w:ind w:firstLine="560" w:firstLineChars="200"/>
        <w:rPr>
          <w:rFonts w:ascii="仿宋" w:eastAsia="仿宋" w:hAnsi="仿宋" w:cs="仿宋" w:hint="eastAsia"/>
          <w:sz w:val="28"/>
          <w:lang w:eastAsia="zh-CN"/>
        </w:rPr>
      </w:pPr>
      <w:bookmarkStart w:id="13" w:name="_Toc25490"/>
      <w:r>
        <w:rPr>
          <w:rFonts w:ascii="仿宋" w:eastAsia="仿宋" w:hAnsi="仿宋" w:cs="仿宋" w:hint="eastAsia"/>
          <w:sz w:val="28"/>
          <w:lang w:eastAsia="zh-CN"/>
        </w:rPr>
        <w:t>四、运营与管理</w:t>
      </w:r>
      <w:bookmarkEnd w:id="13"/>
    </w:p>
    <w:p>
      <w:pPr>
        <w:pStyle w:val="Heading2"/>
        <w:rPr>
          <w:rFonts w:ascii="仿宋" w:eastAsia="仿宋" w:hAnsi="仿宋" w:cs="仿宋" w:hint="eastAsia"/>
          <w:lang w:eastAsia="zh-CN"/>
        </w:rPr>
      </w:pPr>
      <w:bookmarkStart w:id="14" w:name="_Toc30817"/>
      <w:r>
        <w:rPr>
          <w:rFonts w:ascii="仿宋" w:eastAsia="仿宋" w:hAnsi="仿宋" w:cs="仿宋" w:hint="eastAsia"/>
          <w:lang w:eastAsia="zh-CN"/>
        </w:rPr>
        <w:t>(一)、公司经营理念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公司经营理念：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"以客户为中心，创造卓越品质。"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这一经营理念强调以下几个核心价值观：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客户至上： 我们的首要任务是满足客户的需求和期望。客户的满意度和信任是我们成功的关键。我们积极倾听客户的反馈，不断改进产品和服务，确保提供高质量的解决方案。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品质卓越： 我们致力于追求卓越的品质。无论是产品还是服务，我们都不妥协于品质。通过不断的创新和精益生产，我们保证产品的卓越性能和可靠性。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团队合作： 我们相信协作和团队精神是成功的基础。我们鼓励员工之间的合作和知识分享，以促进创新和解决问题。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社会责任： 我们认识到公司对社会和环境的责任。我们致力于可持续经营，降低环境影响，支持社区，并遵守道德和法规。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5. 员工发展： 我们为员工提供学习和成长的机会，鼓励他们不断提升技能和知识。我们认识到员工的成功是公司成功的基础。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6. 创新精神： 我们鼓励创新，不断寻求新的解决方案和机会。我们相信创新是持续成功的关键。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这一经营理念是公司文化的基础，它指导我们的日常决策和行为，确保我们在市场竞争中脱颖而出，实现长期的成功。</w:t>
      </w:r>
    </w:p>
    <w:p>
      <w:pPr>
        <w:pStyle w:val="Heading2"/>
        <w:ind w:firstLine="560" w:firstLineChars="200"/>
        <w:rPr>
          <w:rFonts w:ascii="仿宋" w:eastAsia="仿宋" w:hAnsi="仿宋" w:cs="仿宋" w:hint="eastAsia"/>
          <w:sz w:val="28"/>
          <w:lang w:eastAsia="zh-CN"/>
        </w:rPr>
      </w:pPr>
      <w:bookmarkStart w:id="15" w:name="_Toc7294"/>
      <w:r>
        <w:rPr>
          <w:rFonts w:ascii="仿宋" w:eastAsia="仿宋" w:hAnsi="仿宋" w:cs="仿宋" w:hint="eastAsia"/>
          <w:sz w:val="28"/>
          <w:lang w:eastAsia="zh-CN"/>
        </w:rPr>
        <w:t>(二)、公司目标与职责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实现持续增长： 我们的主要目标是实现业务的持续增长，扩大市场份额，提高盈利能力，确保公司的长期可持续性。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客户满意度： 我们致力于提供卓越的产品和服务，以满足客户的需求和期望，从而建立长期的客户关系。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员工发展： 我们鼓励员工不断提升技能，提供职业发展机会，并创造一个积极的工作环境。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社会责任： 我们承担社会和环境的责任，通过可持续经营和社区支持来回馈社会。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提供高质量产品和服务： 我们的首要职责是提供高品质的产品和服务，确保客户的满意度。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2. 创新和研发： 我们不断进行研发和创新，以保持竞争力，开发新产品和技术。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3. 维护财务健康： 我们负责维护公司的财务健康，确保资金充足，提高效率，降低成本。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社会和环境责任： 我们致力于降低环境影响，遵守法规，支持社区，并积极参与公益事业。</w:t>
      </w:r>
    </w:p>
    <w:p>
      <w:pPr>
        <w:ind w:firstLine="560" w:firstLineChars="200"/>
        <w:rPr>
          <w:rFonts w:ascii="仿宋" w:eastAsia="仿宋" w:hAnsi="仿宋" w:cs="仿宋" w:hint="eastAsia"/>
          <w:sz w:val="28"/>
        </w:rPr>
      </w:pPr>
      <w:r>
        <w:rPr>
          <w:rFonts w:ascii="仿宋" w:eastAsia="仿宋" w:hAnsi="仿宋" w:cs="仿宋" w:hint="eastAsia"/>
          <w:sz w:val="28"/>
          <w:lang w:eastAsia="zh-CN"/>
        </w:rPr>
        <w:t>5. 员工培训和发展： 我们提供员工培训和职业发展机会，帮助他们提升技能和知识。</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客户关系管理：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我们建立和维护客户关系，满足客户需求，了解市场动态。</w:t>
      </w:r>
    </w:p>
    <w:p>
      <w:pPr>
        <w:pStyle w:val="Heading2"/>
        <w:ind w:firstLine="560" w:firstLineChars="200"/>
        <w:rPr>
          <w:rFonts w:ascii="仿宋" w:eastAsia="仿宋" w:hAnsi="仿宋" w:cs="仿宋" w:hint="eastAsia"/>
          <w:sz w:val="28"/>
          <w:lang w:eastAsia="zh-CN"/>
        </w:rPr>
      </w:pPr>
      <w:bookmarkStart w:id="16" w:name="_Toc13111"/>
      <w:r>
        <w:rPr>
          <w:rFonts w:ascii="仿宋" w:eastAsia="仿宋" w:hAnsi="仿宋" w:cs="仿宋" w:hint="eastAsia"/>
          <w:sz w:val="28"/>
          <w:lang w:eastAsia="zh-CN"/>
        </w:rPr>
        <w:t>(三)、部门任务与权利</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销售部门：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销售部门的主要任务是制定销售策略，与客户建立联系，推动产品和服务的销售，实现销售目标。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销售部门有权制定销售计划、价格策略和促销活动，与客户谈判和签署销售合同。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生产部门负责生产公司的产品或提供服务。他们需要按时、按质生产产品。</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生产部门有权制定生产计划，购买必要的原材料和设备，确保生产线的运行顺畅。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财务部门负责管理公司的财务事务，包括会计、预算、财务报表等。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财务部门有权审查公司的财务状况，制定预算，确保公司合法合规运营。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人力资源部门：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人力资源部门负责招聘、培训、员工绩效管理和员工满意度。</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人力资源部门有权招聘员工，制定培训计划，处理员工纠纷，并制定员工政策。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5. 研发与创新部门：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研发与创新部门负责新产品研发、技术创新和持续改进。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研发与创新部门有权决定研发多功能水质现场监测仪项目的优先级，分配研发资源，保护知识产权。</w:t>
      </w:r>
    </w:p>
    <w:p>
      <w:pPr>
        <w:ind w:firstLine="560" w:firstLineChars="200"/>
        <w:rPr>
          <w:rFonts w:ascii="仿宋" w:eastAsia="仿宋" w:hAnsi="仿宋" w:cs="仿宋" w:hint="eastAsia"/>
          <w:sz w:val="28"/>
        </w:rPr>
      </w:pPr>
      <w:r>
        <w:rPr>
          <w:rFonts w:ascii="仿宋" w:eastAsia="仿宋" w:hAnsi="仿宋" w:cs="仿宋" w:hint="eastAsia"/>
          <w:sz w:val="28"/>
          <w:lang w:eastAsia="zh-CN"/>
        </w:rPr>
        <w:t>6. 客户服务部门：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客户服务部门负责与客户建立联系，解决问题，提供支持和处理客户投诉。</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客户服务部门有权与客户联系，提供支持，提出建议以改进客户体验。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7. 采购部门：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采购部门负责采购原材料、设备和服务，以满足生产和业务需求。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采购部门有权与供应商谈判、签署采购合同，确保物资的供应。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8. 市场营销部门：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市场营销部门负责市场研究、品牌推广、广告宣传以及制定市场策略。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市场营销部门有权进行市场调查，推广产品或服务，制定市场营销计划。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9. 管理层：</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任务：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管理层负责决策制定、公司战略、目标设定、资源分配、风险管理和绩效评估。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管理层有权制定公司政策、战略，进行重大决策，指导部门领导执行战略。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10. 管理员与行政人员：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管理员与行政人员负责公司内部运营和日常管理事务。</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管理员与行政人员有权制定内部管理政策、管理公司资产、安排员工的日常工作。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11. 技术支持部门：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技术支持部门负责提供产品或服务的技术支持、解决客户问题和维护技术设备。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技术支持部门有权与客户联系，解决技术问题，提供培训和维护服务。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12. 内审部门：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内审部门负责审计和监督公司内部运营，确保合规性和有效性。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内审部门有权进行内部审计，发现违规行为，建议改进和提供监督。</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这些部门和职能共同构成了公司的组织架构，通过协作和合作，它们为公司的整体运营和成功做出贡献。每个部门的任务和权责都需要与公司的战略和目标保持一致，以确保协同工作，实现公司的长期发展计划。</w:t>
      </w:r>
    </w:p>
    <w:p>
      <w:pPr>
        <w:pStyle w:val="Heading2"/>
        <w:ind w:firstLine="560" w:firstLineChars="200"/>
        <w:rPr>
          <w:rFonts w:ascii="仿宋" w:eastAsia="仿宋" w:hAnsi="仿宋" w:cs="仿宋" w:hint="eastAsia"/>
          <w:sz w:val="28"/>
          <w:lang w:eastAsia="zh-CN"/>
        </w:rPr>
      </w:pPr>
      <w:bookmarkStart w:id="17" w:name="_Toc9678"/>
      <w:r>
        <w:rPr>
          <w:rFonts w:ascii="仿宋" w:eastAsia="仿宋" w:hAnsi="仿宋" w:cs="仿宋" w:hint="eastAsia"/>
          <w:sz w:val="28"/>
          <w:lang w:eastAsia="zh-CN"/>
        </w:rPr>
        <w:t>(四)、财务与会计制度</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会计政策：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公司将明确会计政策，包括会计准则的采用，会计政策变更的程序以及任何重要会计政策的解释和解释。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2. 财务报表编制：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公司将规定财务报表的编制要求，包括财务报表的频率、时间表，财务报表的格式和结构。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公司将明确核算流程，包括会计记录的时间点，会计期间的划分，交易和事项的记录和识别。</w:t>
      </w:r>
    </w:p>
    <w:p>
      <w:pPr>
        <w:ind w:firstLine="560" w:firstLineChars="200"/>
        <w:rPr>
          <w:rFonts w:ascii="仿宋" w:eastAsia="仿宋" w:hAnsi="仿宋" w:cs="仿宋" w:hint="eastAsia"/>
          <w:sz w:val="28"/>
        </w:rPr>
      </w:pPr>
      <w:r>
        <w:rPr>
          <w:rFonts w:ascii="仿宋" w:eastAsia="仿宋" w:hAnsi="仿宋" w:cs="仿宋" w:hint="eastAsia"/>
          <w:sz w:val="28"/>
          <w:lang w:eastAsia="zh-CN"/>
        </w:rPr>
        <w:t>4. 费用和成本分摊：</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公司将规定费用和成本的分摊方法，以确保相关成本与其相关的收入期间匹配。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5. 凭证和文档保存：</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公司将明确会计凭证的要求和保存期限，以及相关文档的保存要求。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6. 收入核算：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公司将规定收入核算政策，包括销售合同的识别、服务完成的确认，以及与收入有关的所有问题。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7. 资产和负债核算：</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公司将制定资产和负债核算政策，包括资产的折旧和摊销，减值测试，以及负债的计量和分类。</w:t>
      </w:r>
    </w:p>
    <w:p>
      <w:pPr>
        <w:ind w:firstLine="560" w:firstLineChars="200"/>
        <w:rPr>
          <w:rFonts w:ascii="仿宋" w:eastAsia="仿宋" w:hAnsi="仿宋" w:cs="仿宋" w:hint="eastAsia"/>
          <w:sz w:val="28"/>
        </w:rPr>
      </w:pPr>
      <w:r>
        <w:rPr>
          <w:rFonts w:ascii="仿宋" w:eastAsia="仿宋" w:hAnsi="仿宋" w:cs="仿宋" w:hint="eastAsia"/>
          <w:sz w:val="28"/>
          <w:lang w:eastAsia="zh-CN"/>
        </w:rPr>
        <w:t>8. 现金和银行：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公司将规定现金和银行管理政策，包括现金处理程序、银行账户管理和资金投资。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9. 预算和预测：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公司将明确预算和预测的编制程序，以及财务绩效与实际结果的比较。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10. 审计与内部控制：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公司将规定内部审计和控制的要求，包括审计委员会的角色，内部控制的评估和改进。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11. 税务合规：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公司将确保遵守相关税收法规，包括报告、纳税和税务申报要求。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12. 财务政策和程序手册：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公司将编制和维护财务政策和程序手册，以便员工理解和遵守财务与会计制度。</w:t>
      </w:r>
    </w:p>
    <w:p>
      <w:pPr>
        <w:pStyle w:val="Heading1"/>
        <w:ind w:firstLine="560" w:firstLineChars="200"/>
        <w:rPr>
          <w:rFonts w:ascii="仿宋" w:eastAsia="仿宋" w:hAnsi="仿宋" w:cs="仿宋" w:hint="eastAsia"/>
          <w:sz w:val="28"/>
          <w:lang w:eastAsia="zh-CN"/>
        </w:rPr>
      </w:pPr>
      <w:bookmarkStart w:id="18" w:name="_Toc10740"/>
      <w:r>
        <w:rPr>
          <w:rFonts w:ascii="仿宋" w:eastAsia="仿宋" w:hAnsi="仿宋" w:cs="仿宋" w:hint="eastAsia"/>
          <w:sz w:val="28"/>
          <w:lang w:eastAsia="zh-CN"/>
        </w:rPr>
        <w:t>五、多功能水质现场监测仪项目进展与里程碑</w:t>
      </w:r>
      <w:bookmarkEnd w:id="18"/>
    </w:p>
    <w:p>
      <w:pPr>
        <w:pStyle w:val="Heading2"/>
        <w:rPr>
          <w:rFonts w:ascii="仿宋" w:eastAsia="仿宋" w:hAnsi="仿宋" w:cs="仿宋" w:hint="eastAsia"/>
          <w:lang w:eastAsia="zh-CN"/>
        </w:rPr>
      </w:pPr>
      <w:bookmarkStart w:id="19" w:name="_Toc18742"/>
      <w:r>
        <w:rPr>
          <w:rFonts w:ascii="仿宋" w:eastAsia="仿宋" w:hAnsi="仿宋" w:cs="仿宋" w:hint="eastAsia"/>
          <w:lang w:eastAsia="zh-CN"/>
        </w:rPr>
        <w:t>(一)、多功能水质现场监测仪项目进展</w:t>
      </w:r>
      <w:bookmarkEnd w:id="19"/>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定详细的多功能水质现场监测仪项目计划：在多功能水质现场监测仪项目启动阶段，公司将制定详细的多功能水质现场监测仪项目计划，包括多功能水质现场监测仪项目的各个阶段、任务、时间表、资源分配和负责人。这将为多功能水质现场监测仪项目提供明确的框架，使团队能够清晰了解多功能水质现场监测仪项目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多功能水质现场监测仪项目进展会议：公司将定期召开多功能水质现场监测仪项目进展会议，团队成员将在会议上汇报各自的任务进展情况，讨论可能的问题和挑战，并采取必要的纠正措施。这有助于确保多功能水质现场监测仪项目团队保持沟通，并能够共同应对任何潜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使用多功能水质现场监测仪项目管理工具：公司将采用多功能水质现场监测仪项目管理软件和工具来跟踪多功能水质现场监测仪项目进展。这些工具可以帮助管理团队了解任务的状态，检查是否有任务延误，并及时采取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监控多功能水质现场监测仪项目指标：公司将设立多功能水质现场监测仪项目进展的关键绩效指标（KPIs），用于度量多功能水质现场监测仪项目的成功。这些KPIs可以包括进度完成百分比、成本控制、资源利用率等，有助于了解多功能水质现场监测仪项目的整体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风险管理：公司将积极进行风险管理，识别可能影响多功能水质现场监测仪项目进展的风险因素，并制定应对措施。这可以包括制定备用计划、重新分配资源或调整时间表。</w:t>
      </w:r>
    </w:p>
    <w:p>
      <w:pPr>
        <w:pStyle w:val="Heading2"/>
        <w:ind w:firstLine="560" w:firstLineChars="200"/>
        <w:rPr>
          <w:rFonts w:ascii="仿宋" w:eastAsia="仿宋" w:hAnsi="仿宋" w:cs="仿宋" w:hint="eastAsia"/>
          <w:sz w:val="28"/>
          <w:lang w:eastAsia="zh-CN"/>
        </w:rPr>
      </w:pPr>
      <w:bookmarkStart w:id="20" w:name="_Toc27137"/>
      <w:r>
        <w:rPr>
          <w:rFonts w:ascii="仿宋" w:eastAsia="仿宋" w:hAnsi="仿宋" w:cs="仿宋" w:hint="eastAsia"/>
          <w:sz w:val="28"/>
          <w:lang w:eastAsia="zh-CN"/>
        </w:rPr>
        <w:t>(二)、重要里程碑与进度控制</w:t>
      </w:r>
      <w:bookmarkEnd w:id="20"/>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明确定义重要里程碑：在多功能水质现场监测仪项目计划中，公司将明确定义关键的里程碑，这些里程碑代表多功能水质现场监测仪项目的不同阶段或重要任务的完成。这些里程碑可能包括多功能水质现场监测仪项目启动、设计完成、生产开始、测试结束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制定里程碑计划：公司将为每个重要里程碑制定详细的计划，包括里程碑的具体日期、所需资源、负责人和相关任务。这将有助于确保每个里程碑都得到充分的准备和关注。</w:t>
      </w:r>
    </w:p>
    <w:p>
      <w:pPr>
        <w:ind w:firstLine="560" w:firstLineChars="200"/>
        <w:rPr>
          <w:rFonts w:ascii="仿宋" w:eastAsia="仿宋" w:hAnsi="仿宋" w:cs="仿宋" w:hint="eastAsia"/>
          <w:sz w:val="28"/>
        </w:rPr>
      </w:pPr>
      <w:r>
        <w:rPr>
          <w:rFonts w:ascii="仿宋" w:eastAsia="仿宋" w:hAnsi="仿宋" w:cs="仿宋" w:hint="eastAsia"/>
          <w:sz w:val="28"/>
          <w:lang w:eastAsia="zh-CN"/>
        </w:rPr>
        <w:t>3. 定期检查里程碑进展：公司将定期检查每个重要里程碑的进展情况。这包括审查任务的状态、任务是否按计划进行、是否有延误或问题出现。</w:t>
      </w:r>
    </w:p>
    <w:p>
      <w:pPr>
        <w:ind w:firstLine="560" w:firstLineChars="200"/>
        <w:rPr>
          <w:rFonts w:ascii="仿宋" w:eastAsia="仿宋" w:hAnsi="仿宋" w:cs="仿宋" w:hint="eastAsia"/>
          <w:sz w:val="28"/>
        </w:rPr>
      </w:pPr>
      <w:r>
        <w:rPr>
          <w:rFonts w:ascii="仿宋" w:eastAsia="仿宋" w:hAnsi="仿宋" w:cs="仿宋" w:hint="eastAsia"/>
          <w:sz w:val="28"/>
          <w:lang w:eastAsia="zh-CN"/>
        </w:rPr>
        <w:t>4. 采取纠正措施：如果发现里程碑的进展不如预期，公司将采取必要的纠正措施。这可能包括重新分配资源、调整时间表、提供额外支持或解决潜在问题。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5. 利用多功能水质现场监测仪项目管理工具：公司将使用多功能水质现场监测仪项目管理软件和工具来跟踪里程碑的进展，以便管理团队能够实时了解多功能水质现场监测仪项目状态。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6. 通报相关方：公司将定期向多功能水质现场监测仪项目的利益相关方通报重要里程碑的进展情况，以保持透明度和沟通。</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通过明确定义、计划、监控和纠正重要里程碑，公司将能够更好地控制多功能水质现场监测仪项目的进度，确保多功能水质现场监测仪项目按照计划完成，并减少延误的风险。这有助于提高多功能水质现场监测仪项目的管理效率和成功交付。</w:t>
      </w:r>
    </w:p>
    <w:p>
      <w:pPr>
        <w:pStyle w:val="Heading2"/>
        <w:ind w:firstLine="560" w:firstLineChars="200"/>
        <w:rPr>
          <w:rFonts w:ascii="仿宋" w:eastAsia="仿宋" w:hAnsi="仿宋" w:cs="仿宋" w:hint="eastAsia"/>
          <w:sz w:val="28"/>
          <w:lang w:eastAsia="zh-CN"/>
        </w:rPr>
      </w:pPr>
      <w:bookmarkStart w:id="21" w:name="_Toc18137"/>
      <w:r>
        <w:rPr>
          <w:rFonts w:ascii="仿宋" w:eastAsia="仿宋" w:hAnsi="仿宋" w:cs="仿宋" w:hint="eastAsia"/>
          <w:sz w:val="28"/>
          <w:lang w:eastAsia="zh-CN"/>
        </w:rPr>
        <w:t>(三)、问题识别与解决方案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建立问题识别机制：公司将建立一个问题识别机制，鼓励多功能水质现场监测仪项目团队成员主动报告问题。这可以包括定期的多功能水质现场监测仪项目会议、问题反馈通道或问题报告系统。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问题分类和优先级：一旦问题被识别，公司将对问题进行分类和确定优先级。问题的严重性和紧急性将有助于确定解决方案的紧急程度。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形成问题解决团队：对于较大或复杂的问题，公司将组建问题解决团队。这个团队将由专业人员组成，他们有能力分析问题、提出解决方案并执行计划。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根本原因分析：公司将采用根本原因分析方法来确定问题的根本原因。这可以包括使用鱼骨图、5为什么分析或其他问题分析工具。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制定解决方案计划：一旦问题的根本原因被确定，公司将制定解决方案计划。这将包括指定责任人、设置截止日期和跟踪进度。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执行解决方案：问题解决方案计划将被执行，确保问题得到解决。公司将确保所有相关方知晓并参与解决过程。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跟踪和反馈：公司将持续跟踪解决方案的执行，以确保问题被解决，并采取必要措施来纠正问题。反馈将被提供给多功能水质现场监测仪项目团队和利益相关方。</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记录问题和解决方案：公司将记录所有问题和相关的解决方案，以便将来的多功能水质现场监测仪项目可以从中吸取教训，并避免再次发生相似的问题。</w:t>
      </w:r>
    </w:p>
    <w:p>
      <w:pPr>
        <w:pStyle w:val="Heading1"/>
        <w:ind w:firstLine="560" w:firstLineChars="200"/>
        <w:rPr>
          <w:rFonts w:ascii="仿宋" w:eastAsia="仿宋" w:hAnsi="仿宋" w:cs="仿宋" w:hint="eastAsia"/>
          <w:sz w:val="28"/>
          <w:lang w:eastAsia="zh-CN"/>
        </w:rPr>
      </w:pPr>
      <w:bookmarkStart w:id="22" w:name="_Toc469"/>
      <w:r>
        <w:rPr>
          <w:rFonts w:ascii="仿宋" w:eastAsia="仿宋" w:hAnsi="仿宋" w:cs="仿宋" w:hint="eastAsia"/>
          <w:sz w:val="28"/>
          <w:lang w:eastAsia="zh-CN"/>
        </w:rPr>
        <w:t>六、投资方案</w:t>
      </w:r>
      <w:bookmarkEnd w:id="22"/>
    </w:p>
    <w:p>
      <w:pPr>
        <w:pStyle w:val="Heading2"/>
        <w:rPr>
          <w:rFonts w:ascii="仿宋" w:eastAsia="仿宋" w:hAnsi="仿宋" w:cs="仿宋" w:hint="eastAsia"/>
          <w:lang w:eastAsia="zh-CN"/>
        </w:rPr>
      </w:pPr>
      <w:bookmarkStart w:id="23" w:name="_Toc28364"/>
      <w:r>
        <w:rPr>
          <w:rFonts w:ascii="仿宋" w:eastAsia="仿宋" w:hAnsi="仿宋" w:cs="仿宋" w:hint="eastAsia"/>
          <w:lang w:eastAsia="zh-CN"/>
        </w:rPr>
        <w:t>(一)、多功能水质现场监测仪项目总投资构成分析</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建设投资、建设期利息和流动资金是多功能水质现场监测仪项目总投资的主要组成部分。根据谨慎财务估算，多功能水质现场监测仪项目总投资XXX万元，其中：建设投资XXX万元，占多功能水质现场监测仪项目总投资的XXX%；建设期利息XXX万元，占多功能水质现场监测仪项目总投资的XXX%；流动资金XXX万元，占多功能水质现场监测仪项目总投资的XXX%。</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投资是多功能水质现场监测仪项目总投资的重要组成部分，包括工程费用、工程建设其他费用和预备费。本期多功能水质现场监测仪项目建设投资XXX万元，其中：工程费用XXX万元，工程建设其他费用XXX万元，预备费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建设期利息是指多功能水质现场监测仪项目在建设期间需要支付的利息，包括银行贷款和其他债务利息。根据谨慎财务估算，本期多功能水质现场监测仪项目建设期利息XXX万元。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流动资金是指多功能水质现场监测仪项目在运营期间所需的短期流动资金，包括原材料采购、人工成本、市场营销等方面的费用。根据谨慎财务估算，本期多功能水质现场监测仪项目流动资金XXX万元。</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本多功能水质现场监测仪项目总投资构成合理，各项费用估算科学，投资风险可控。通过实施本多功能水质现场监测仪项目，将有助于提高企业的经济效益和社会效益，为企业的可持续发展提供有力保障。</w:t>
      </w:r>
    </w:p>
    <w:p>
      <w:pPr>
        <w:pStyle w:val="Heading2"/>
        <w:ind w:firstLine="560" w:firstLineChars="200"/>
        <w:rPr>
          <w:rFonts w:ascii="仿宋" w:eastAsia="仿宋" w:hAnsi="仿宋" w:cs="仿宋" w:hint="eastAsia"/>
          <w:sz w:val="28"/>
          <w:lang w:eastAsia="zh-CN"/>
        </w:rPr>
      </w:pPr>
      <w:bookmarkStart w:id="24" w:name="_Toc22231"/>
      <w:r>
        <w:rPr>
          <w:rFonts w:ascii="仿宋" w:eastAsia="仿宋" w:hAnsi="仿宋" w:cs="仿宋" w:hint="eastAsia"/>
          <w:sz w:val="28"/>
          <w:lang w:eastAsia="zh-CN"/>
        </w:rPr>
        <w:t>(二)、建设投资构成</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建设投资是多功能水质现场监测仪项目总投资的重要组成部分，包括工程费用、工程建设其他费用和预备费。根据谨慎财务估算，本期多功能水质现场监测仪项目建设投资XXX万元，其中：</w:t>
      </w:r>
    </w:p>
    <w:p>
      <w:pPr>
        <w:ind w:firstLine="560" w:firstLineChars="200"/>
        <w:rPr>
          <w:rFonts w:ascii="仿宋" w:eastAsia="仿宋" w:hAnsi="仿宋" w:cs="仿宋" w:hint="eastAsia"/>
          <w:sz w:val="28"/>
        </w:rPr>
      </w:pPr>
      <w:r>
        <w:rPr>
          <w:rFonts w:ascii="仿宋" w:eastAsia="仿宋" w:hAnsi="仿宋" w:cs="仿宋" w:hint="eastAsia"/>
          <w:sz w:val="28"/>
          <w:lang w:eastAsia="zh-CN"/>
        </w:rPr>
        <w:t>1. 工程费用：XXX万元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这包括设备及工器具购置费和建筑安装工程费。设备及工器具购置费是指购买多功能水质现场监测仪项目所需的机器设备、仪器仪表等费用；建筑安装工程费是指建造建筑物和安装设备的费用。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工程建设其他费用：XXX万元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这包括多功能水质现场监测仪项目设计、监理、招标、咨询、管理等费用，以及建设单位管理费、土地费用、市政工程费用等。</w:t>
      </w:r>
    </w:p>
    <w:p>
      <w:pPr>
        <w:ind w:firstLine="560" w:firstLineChars="200"/>
        <w:rPr>
          <w:rFonts w:ascii="仿宋" w:eastAsia="仿宋" w:hAnsi="仿宋" w:cs="仿宋" w:hint="eastAsia"/>
          <w:sz w:val="28"/>
        </w:rPr>
      </w:pPr>
      <w:r>
        <w:rPr>
          <w:rFonts w:ascii="仿宋" w:eastAsia="仿宋" w:hAnsi="仿宋" w:cs="仿宋" w:hint="eastAsia"/>
          <w:sz w:val="28"/>
          <w:lang w:eastAsia="zh-CN"/>
        </w:rPr>
        <w:t>3. 预备费：XXX万元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预备费是指为应对多功能水质现场监测仪项目实施过程中可能出现的不可预见费用而设立的准备金。其包括基本预备费和涨价预备费。基本预备费是指为应对一般不可预见因素而预留的费用；涨价预备费是指为应对未来可能发生的物价上涨而预留的费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6" w:history="1">
        <w:r>
          <w:rPr>
            <w:rFonts w:ascii="SimSun" w:eastAsia="SimSun" w:hAnsi="SimSun" w:cs="SimSun"/>
            <w:b/>
            <w:bCs/>
            <w:color w:val="0000EE"/>
            <w:kern w:val="0"/>
            <w:sz w:val="30"/>
            <w:szCs w:val="30"/>
            <w:u w:val="single" w:color="0000EE"/>
          </w:rPr>
          <w:t>https://d.book118.com/517126013143006051</w:t>
        </w:r>
      </w:hyperlink>
    </w:p>
    <w:p>
      <w:pPr>
        <w:ind w:firstLine="560" w:firstLineChars="200"/>
        <w:rPr>
          <w:rFonts w:ascii="仿宋" w:eastAsia="仿宋" w:hAnsi="仿宋" w:cs="仿宋" w:hint="eastAsia"/>
          <w:sz w:val="28"/>
        </w:rPr>
      </w:pPr>
    </w:p>
    <w:sectPr>
      <w:headerReference w:type="default" r:id="rId57"/>
      <w:footerReference w:type="default" r:id="rId58"/>
      <w:type w:val="nextPage"/>
      <w:pgSz w:w="11906" w:h="16838"/>
      <w:pgMar w:top="1440" w:right="1800" w:bottom="1440" w:left="1800" w:header="851" w:footer="992" w:gutter="0"/>
      <w:pgNumType w:start="2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多功能水质现场监测仪项目成效分析报告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CC09E8"/>
    <w:rsid w:val="02CC09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yperlink" Target="https://d.book118.com/517126013143006051" TargetMode="Externa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theme" Target="theme/theme1.xml" /><Relationship Id="rId6" Type="http://schemas.openxmlformats.org/officeDocument/2006/relationships/header" Target="header2.xml" /><Relationship Id="rId60"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PHL</dc:creator>
  <cp:lastModifiedBy>PHL</cp:lastModifiedBy>
  <cp:revision>1</cp:revision>
  <dcterms:created xsi:type="dcterms:W3CDTF">2024-01-15T16:42:00Z</dcterms:created>
  <dcterms:modified xsi:type="dcterms:W3CDTF">2024-01-15T16:42:41Z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D98097E12DF54CF593FE5D3BF1C4AA6F_11</vt:lpwstr>
  </property>
  <property fmtid="{D5CDD505-2E9C-101B-9397-08002B2CF9AE}" pid="3" name="KSOProductBuildVer">
    <vt:lpwstr>2052-12.1.0.16120</vt:lpwstr>
  </property>
</Properties>
</file>