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015F" w14:paraId="5FBB3445" w14:textId="77777777">
      <w:pPr>
        <w:adjustRightInd w:val="0"/>
        <w:spacing w:line="360" w:lineRule="auto"/>
        <w:ind w:firstLine="480"/>
        <w:rPr>
          <w:rFonts w:eastAsia="仿宋_GB2312"/>
          <w:sz w:val="24"/>
        </w:rPr>
      </w:pPr>
    </w:p>
    <w:p w:rsidR="001B015F" w14:paraId="2BD128B0" w14:textId="0FFE506F">
      <w:pPr>
        <w:ind w:firstLine="883"/>
        <w:jc w:val="left"/>
        <w:rPr>
          <w:rFonts w:eastAsia="楷体_GB2312"/>
          <w:b/>
          <w:sz w:val="44"/>
        </w:rPr>
      </w:pPr>
    </w:p>
    <w:p w:rsidR="001B015F" w14:paraId="1212B7D0" w14:textId="77777777">
      <w:pPr>
        <w:ind w:firstLine="883"/>
        <w:jc w:val="left"/>
        <w:rPr>
          <w:rFonts w:eastAsia="楷体_GB2312"/>
          <w:b/>
          <w:sz w:val="44"/>
        </w:rPr>
      </w:pPr>
    </w:p>
    <w:p w:rsidR="001B015F" w14:paraId="7322722A" w14:textId="77777777">
      <w:pPr>
        <w:spacing w:before="120" w:after="120"/>
        <w:ind w:firstLine="0" w:firstLineChars="0"/>
        <w:rPr>
          <w:rFonts w:eastAsia="黑体"/>
          <w:bCs/>
          <w:sz w:val="72"/>
        </w:rPr>
      </w:pPr>
      <w:r>
        <w:rPr>
          <w:rFonts w:eastAsia="黑体"/>
          <w:bCs/>
          <w:sz w:val="72"/>
        </w:rPr>
        <w:t>本</w:t>
      </w:r>
      <w:r>
        <w:rPr>
          <w:rFonts w:eastAsia="黑体"/>
          <w:bCs/>
          <w:sz w:val="72"/>
        </w:rPr>
        <w:t xml:space="preserve"> </w:t>
      </w:r>
      <w:r>
        <w:rPr>
          <w:rFonts w:eastAsia="黑体"/>
          <w:bCs/>
          <w:sz w:val="72"/>
        </w:rPr>
        <w:t>科</w:t>
      </w:r>
      <w:r>
        <w:rPr>
          <w:rFonts w:eastAsia="黑体"/>
          <w:bCs/>
          <w:sz w:val="72"/>
        </w:rPr>
        <w:t xml:space="preserve"> </w:t>
      </w:r>
      <w:r>
        <w:rPr>
          <w:rFonts w:eastAsia="黑体"/>
          <w:bCs/>
          <w:sz w:val="72"/>
        </w:rPr>
        <w:t>毕</w:t>
      </w:r>
      <w:r>
        <w:rPr>
          <w:rFonts w:eastAsia="黑体"/>
          <w:bCs/>
          <w:sz w:val="72"/>
        </w:rPr>
        <w:t xml:space="preserve"> </w:t>
      </w:r>
      <w:r>
        <w:rPr>
          <w:rFonts w:eastAsia="黑体"/>
          <w:bCs/>
          <w:sz w:val="72"/>
        </w:rPr>
        <w:t>业</w:t>
      </w:r>
      <w:r>
        <w:rPr>
          <w:rFonts w:eastAsia="黑体"/>
          <w:bCs/>
          <w:sz w:val="72"/>
        </w:rPr>
        <w:t xml:space="preserve"> </w:t>
      </w:r>
      <w:r>
        <w:rPr>
          <w:rFonts w:eastAsia="黑体"/>
          <w:bCs/>
          <w:sz w:val="72"/>
        </w:rPr>
        <w:t>论</w:t>
      </w:r>
      <w:r>
        <w:rPr>
          <w:rFonts w:eastAsia="黑体"/>
          <w:bCs/>
          <w:sz w:val="72"/>
        </w:rPr>
        <w:t xml:space="preserve"> </w:t>
      </w:r>
      <w:r>
        <w:rPr>
          <w:rFonts w:eastAsia="黑体"/>
          <w:bCs/>
          <w:sz w:val="72"/>
        </w:rPr>
        <w:t>文（设</w:t>
      </w:r>
      <w:r>
        <w:rPr>
          <w:rFonts w:eastAsia="黑体"/>
          <w:bCs/>
          <w:sz w:val="72"/>
        </w:rPr>
        <w:t xml:space="preserve"> </w:t>
      </w:r>
      <w:r>
        <w:rPr>
          <w:rFonts w:eastAsia="黑体"/>
          <w:bCs/>
          <w:sz w:val="72"/>
        </w:rPr>
        <w:t>计）</w:t>
      </w:r>
    </w:p>
    <w:p w:rsidR="001B015F" w14:paraId="0B8299AA" w14:textId="77777777">
      <w:pPr>
        <w:spacing w:line="480" w:lineRule="auto"/>
        <w:ind w:firstLine="883"/>
        <w:rPr>
          <w:rFonts w:eastAsia="楷体_GB2312"/>
          <w:b/>
          <w:sz w:val="44"/>
        </w:rPr>
      </w:pPr>
    </w:p>
    <w:p w:rsidR="001B015F" w14:paraId="2C4DD185" w14:textId="77777777">
      <w:pPr>
        <w:spacing w:line="480" w:lineRule="auto"/>
        <w:ind w:firstLine="883"/>
        <w:rPr>
          <w:rFonts w:eastAsia="楷体_GB2312"/>
          <w:b/>
          <w:sz w:val="44"/>
        </w:rPr>
      </w:pPr>
    </w:p>
    <w:p w:rsidR="001B015F" w14:paraId="406BAF16" w14:textId="77777777">
      <w:pPr>
        <w:ind w:firstLine="600"/>
        <w:rPr>
          <w:rFonts w:eastAsia="楷体_GB2312"/>
          <w:bCs/>
          <w:sz w:val="28"/>
          <w:u w:val="single"/>
        </w:rPr>
      </w:pPr>
      <w:r>
        <w:rPr>
          <w:rFonts w:eastAsia="楷体_GB2312"/>
          <w:bCs/>
          <w:sz w:val="30"/>
          <w:szCs w:val="30"/>
        </w:rPr>
        <w:t>论文题目：</w:t>
      </w:r>
      <w:r>
        <w:rPr>
          <w:rFonts w:eastAsia="楷体_GB2312"/>
          <w:bCs/>
          <w:sz w:val="28"/>
          <w:u w:val="single"/>
        </w:rPr>
        <w:t xml:space="preserve">    </w:t>
      </w:r>
      <w:r>
        <w:rPr>
          <w:rFonts w:eastAsia="楷体_GB2312" w:hint="eastAsia"/>
          <w:sz w:val="44"/>
          <w:szCs w:val="44"/>
          <w:u w:val="single"/>
        </w:rPr>
        <w:t>直流电桥灵敏度及其影响因素</w:t>
      </w:r>
      <w:r>
        <w:rPr>
          <w:rFonts w:eastAsia="楷体_GB2312"/>
          <w:bCs/>
          <w:sz w:val="28"/>
          <w:u w:val="single"/>
        </w:rPr>
        <w:t xml:space="preserve">         </w:t>
      </w:r>
    </w:p>
    <w:p w:rsidR="001B015F" w14:paraId="7E28BBAD" w14:textId="77777777">
      <w:pPr>
        <w:ind w:firstLine="560"/>
        <w:rPr>
          <w:rFonts w:eastAsia="楷体_GB2312"/>
          <w:bCs/>
          <w:sz w:val="28"/>
          <w:u w:val="single"/>
        </w:rPr>
      </w:pPr>
    </w:p>
    <w:p w:rsidR="000C29B6" w14:paraId="581ADDB4" w14:textId="77777777">
      <w:pPr>
        <w:pStyle w:val="Heading1"/>
        <w:jc w:val="center"/>
        <w:sectPr w:rsidSect="000874C3">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418" w:left="1418" w:header="1418" w:footer="1134" w:gutter="0"/>
          <w:pgNumType w:fmt="upperRoman" w:start="1"/>
          <w:cols w:space="425"/>
          <w:docGrid w:linePitch="326" w:charSpace="-2048"/>
        </w:sectPr>
      </w:pPr>
      <w:bookmarkStart w:id="0" w:name="_Toc22331"/>
      <w:bookmarkStart w:id="1" w:name="_Toc17195"/>
    </w:p>
    <w:p w:rsidR="001B015F" w14:paraId="3F7E3387" w14:textId="55CA974A">
      <w:pPr>
        <w:pStyle w:val="Heading1"/>
        <w:jc w:val="center"/>
      </w:pPr>
      <w:r>
        <w:rPr>
          <w:rFonts w:hint="eastAsia"/>
        </w:rPr>
        <w:t>摘    要</w:t>
      </w:r>
      <w:bookmarkEnd w:id="0"/>
      <w:bookmarkEnd w:id="1"/>
    </w:p>
    <w:p w:rsidR="001B015F" w14:paraId="678B9C7B" w14:textId="77777777">
      <w:pPr>
        <w:snapToGrid w:val="0"/>
        <w:ind w:firstLine="480"/>
        <w:rPr>
          <w:sz w:val="24"/>
        </w:rPr>
      </w:pPr>
      <w:r>
        <w:rPr>
          <w:rFonts w:hint="eastAsia"/>
          <w:sz w:val="24"/>
        </w:rPr>
        <w:t>直流电桥广泛应用于科学研究和工业制造中，其灵敏度是衡量其性能的重要指标。因此，研究直流电桥灵敏度及其影响因素具有重要意义。其是一种广泛应用于电子测量领域的传感器，它是利用电桥平衡原理，将被测量物理量转换为电信号输出实现测量目的。</w:t>
      </w:r>
    </w:p>
    <w:p w:rsidR="001B015F" w14:paraId="71FEFDBC" w14:textId="77777777">
      <w:pPr>
        <w:snapToGrid w:val="0"/>
        <w:ind w:firstLine="480"/>
        <w:rPr>
          <w:sz w:val="24"/>
        </w:rPr>
      </w:pPr>
      <w:r>
        <w:rPr>
          <w:rFonts w:hint="eastAsia"/>
          <w:sz w:val="24"/>
        </w:rPr>
        <w:t>本研究旨在探究直流电桥灵敏度的计算方法和实验验证，改进前人实验过程中实验方式单一，未将仿真与实验相结合的缺点，从而分析其中的影响因素，通过深入研究直流电桥的基本原理，提高直流电桥的计算精度，为其应用于实验控制领域提供理论依据。同时介绍了直流电桥基本原理，分析了直流电桥灵敏度的计算方法。通过</w:t>
      </w:r>
      <w:r>
        <w:rPr>
          <w:rFonts w:eastAsiaTheme="minorEastAsia" w:hint="eastAsia"/>
          <w:bCs/>
          <w:sz w:val="24"/>
        </w:rPr>
        <w:t>Multisim</w:t>
      </w:r>
      <w:r>
        <w:rPr>
          <w:rFonts w:hint="eastAsia"/>
          <w:sz w:val="24"/>
        </w:rPr>
        <w:t>仿真实验</w:t>
      </w:r>
      <w:r>
        <w:rPr>
          <w:rFonts w:hint="eastAsia"/>
          <w:sz w:val="24"/>
        </w:rPr>
        <w:t>跟具体</w:t>
      </w:r>
      <w:r>
        <w:rPr>
          <w:rFonts w:hint="eastAsia"/>
          <w:sz w:val="24"/>
        </w:rPr>
        <w:t>实验相结合，猜想直流电桥灵敏度的影响因素，并进行仿真与实验验证，从而达到提高直流电桥的精度的目的。仿真实验结果</w:t>
      </w:r>
      <w:r>
        <w:rPr>
          <w:rFonts w:hint="eastAsia"/>
          <w:sz w:val="24"/>
        </w:rPr>
        <w:t>跟具体</w:t>
      </w:r>
      <w:r>
        <w:rPr>
          <w:rFonts w:hint="eastAsia"/>
          <w:sz w:val="24"/>
        </w:rPr>
        <w:t>实验进行对比表明，直流电桥灵敏度受到电桥元件等因素的影响，对这些因素进行了分析，并给出了优化方案。最终，在保证实验准确性的前提下，成功提高了直流电桥的计算精度。综上所述，本次研究通过仿真实验研究和分析，深入探究了直流电桥灵敏度及其影响因素，提高了直流电桥的计算精度，在应用于实验控制领域中具有重要意义。未来，可进一步研究如何更好地利用直流电桥，将在控制领域的应用中发挥更大的作用。</w:t>
      </w:r>
    </w:p>
    <w:p w:rsidR="001B015F" w14:paraId="5E591A71" w14:textId="77777777">
      <w:pPr>
        <w:ind w:firstLine="420"/>
      </w:pPr>
    </w:p>
    <w:p w:rsidR="001B015F" w14:paraId="1B5858B7" w14:textId="77777777">
      <w:pPr>
        <w:ind w:firstLine="0" w:firstLineChars="0"/>
        <w:rPr>
          <w:rFonts w:ascii="黑体" w:eastAsia="黑体"/>
          <w:b/>
          <w:sz w:val="24"/>
        </w:rPr>
      </w:pPr>
      <w:r>
        <w:rPr>
          <w:rFonts w:ascii="黑体" w:eastAsia="黑体" w:hint="eastAsia"/>
          <w:b/>
          <w:sz w:val="24"/>
        </w:rPr>
        <w:t>关键词：直流电桥；灵敏度；影响因素；电阻；仿真</w:t>
      </w:r>
    </w:p>
    <w:p w:rsidR="001B015F" w14:paraId="27501B08" w14:textId="77777777">
      <w:pPr>
        <w:ind w:firstLine="480"/>
        <w:rPr>
          <w:sz w:val="24"/>
        </w:rPr>
      </w:pPr>
    </w:p>
    <w:p w:rsidR="001B015F" w14:paraId="4729BE60" w14:textId="77777777">
      <w:pPr>
        <w:ind w:firstLine="0" w:firstLineChars="0"/>
        <w:rPr>
          <w:rFonts w:ascii="黑体" w:eastAsia="黑体"/>
          <w:b/>
        </w:rPr>
      </w:pPr>
      <w:bookmarkStart w:id="2" w:name="OLE_LINK1"/>
      <w:r>
        <w:rPr>
          <w:rFonts w:ascii="黑体" w:eastAsia="黑体" w:hint="eastAsia"/>
          <w:b/>
          <w:sz w:val="24"/>
        </w:rPr>
        <w:t>论文类型：理论研究</w:t>
      </w:r>
    </w:p>
    <w:bookmarkEnd w:id="2"/>
    <w:p w:rsidR="001B015F" w14:paraId="277932C2" w14:textId="77777777">
      <w:pPr>
        <w:ind w:firstLine="420"/>
      </w:pPr>
    </w:p>
    <w:p w:rsidR="001B015F" w14:paraId="6F9CF3B2" w14:textId="77777777">
      <w:pPr>
        <w:ind w:firstLine="420"/>
        <w:jc w:val="center"/>
        <w:sectPr w:rsidSect="000874C3">
          <w:headerReference w:type="even" r:id="rId14"/>
          <w:headerReference w:type="default" r:id="rId15"/>
          <w:footerReference w:type="even" r:id="rId16"/>
          <w:footerReference w:type="default" r:id="rId17"/>
          <w:headerReference w:type="first" r:id="rId18"/>
          <w:footerReference w:type="first" r:id="rId19"/>
          <w:type w:val="nextPage"/>
          <w:pgSz w:w="11906" w:h="16838"/>
          <w:pgMar w:top="1985" w:right="1418" w:bottom="1418" w:left="1418" w:header="1418" w:footer="1134" w:gutter="0"/>
          <w:pgNumType w:fmt="upperRoman" w:start="2"/>
          <w:cols w:space="425"/>
          <w:titlePg w:val="0"/>
          <w:docGrid w:linePitch="326" w:charSpace="-2048"/>
        </w:sectPr>
      </w:pPr>
    </w:p>
    <w:p w:rsidR="001B015F" w14:paraId="733DEED8" w14:textId="77777777">
      <w:pPr>
        <w:pStyle w:val="Heading1"/>
        <w:jc w:val="center"/>
      </w:pPr>
      <w:bookmarkStart w:id="3" w:name="_Toc742"/>
      <w:bookmarkStart w:id="4" w:name="_Toc16207"/>
      <w:r>
        <w:rPr>
          <w:rFonts w:hint="eastAsia"/>
        </w:rPr>
        <w:t>Abstract</w:t>
      </w:r>
      <w:bookmarkEnd w:id="3"/>
      <w:bookmarkEnd w:id="4"/>
    </w:p>
    <w:p w:rsidR="001B015F" w14:paraId="2A00C5FD" w14:textId="77777777">
      <w:pPr>
        <w:pStyle w:val="NormalWeb"/>
        <w:shd w:val="clear" w:color="auto" w:fill="FFFFFF"/>
        <w:spacing w:before="0" w:beforeAutospacing="0" w:after="0" w:afterAutospacing="0" w:line="158" w:lineRule="atLeast"/>
        <w:ind w:firstLine="480"/>
        <w:rPr>
          <w:rFonts w:ascii="Times New Roman" w:eastAsia="Segoe UI" w:hAnsi="Times New Roman" w:cs="Times New Roman"/>
          <w:color w:val="101214"/>
        </w:rPr>
      </w:pPr>
      <w:r>
        <w:rPr>
          <w:rFonts w:ascii="Times New Roman" w:eastAsia="Segoe UI" w:hAnsi="Times New Roman" w:cs="Times New Roman"/>
          <w:color w:val="101214"/>
          <w:shd w:val="clear" w:color="auto" w:fill="FFFFFF"/>
        </w:rPr>
        <w:t xml:space="preserve">Dc bridge is widely used in scientific research and industrial manufacturing, and its sensitivity is an important index to measure its performance. Therefore, it is of great significance to study the sensitivity of DC bridge and its influencing factors. It is a kind of sensor widely used in the field of electronic measurement. It uses the principle of bridge balance to convert the measured physical quantity into electrical signal output to achieve the purpose of measurement. </w:t>
      </w:r>
    </w:p>
    <w:p w:rsidR="001B015F" w14:paraId="7AB83593" w14:textId="77777777">
      <w:pPr>
        <w:pStyle w:val="NormalWeb"/>
        <w:shd w:val="clear" w:color="auto" w:fill="FFFFFF"/>
        <w:spacing w:before="0" w:beforeAutospacing="0" w:after="0" w:afterAutospacing="0" w:line="158" w:lineRule="atLeast"/>
        <w:ind w:firstLine="480"/>
        <w:rPr>
          <w:rFonts w:ascii="Times New Roman" w:eastAsia="Segoe UI" w:hAnsi="Times New Roman" w:cs="Times New Roman"/>
          <w:color w:val="101214"/>
        </w:rPr>
      </w:pPr>
      <w:r>
        <w:rPr>
          <w:rFonts w:ascii="Times New Roman" w:eastAsia="Segoe UI" w:hAnsi="Times New Roman" w:cs="Times New Roman"/>
          <w:color w:val="101214"/>
          <w:shd w:val="clear" w:color="auto" w:fill="FFFFFF"/>
        </w:rPr>
        <w:t>The purpose of this study is to explore the calculation method and experimental verification of the sensitivity of DC bridge, improve the previous experimental process of a single experimental method, did not combine simulation with experiment shortcomings, so as to analyze the influencing factors, through in-depth study of the basic principle of DC bridge, improve the calculation accuracy of DC bridge, for its application in the field of experimental control to provide a theoretical basis. At the same time, the basic principle of DC bridge is introduced, and the calculation method of the sensitivity of DC bridge is analyzed. By combining the Multisim simulation experiment with the concrete experiment, the factors influencing the sensitivity of the DC bridge are guessed, and the simulation and experimental verification are carried out, so as to achieve the purpose of improving the accuracy of the DC bridge. The simulation results are compared with the concrete experiments, which show that the sensitivity of DC bridge is affected by the bridge components and other factors, and these factors are analyzed, and the optimization scheme is given. Finally, on the premise of ensuring the experimental accuracy, the calculation accuracy of DC bridge is successfully improved. To sum up, through simulation experiment research and analysis, this study deeply explored the sensitivity of DC bridge and its influencing factors, improved the calculation accuracy of DC bridge, and has great significance in the field of experimental control. In the future, further research on how to make better use of DC bridge will play a greater role in the application of control field</w:t>
      </w:r>
    </w:p>
    <w:p w:rsidR="001B015F" w14:paraId="07EC513A" w14:textId="77777777">
      <w:pPr>
        <w:ind w:firstLine="420"/>
      </w:pPr>
    </w:p>
    <w:p w:rsidR="001B015F" w14:paraId="0FF4C543" w14:textId="77777777">
      <w:pPr>
        <w:ind w:firstLine="0" w:firstLineChars="0"/>
        <w:rPr>
          <w:b/>
          <w:sz w:val="24"/>
        </w:rPr>
      </w:pPr>
      <w:r>
        <w:rPr>
          <w:b/>
          <w:sz w:val="24"/>
        </w:rPr>
        <w:t>Key Words</w:t>
      </w:r>
      <w:r>
        <w:rPr>
          <w:b/>
          <w:sz w:val="24"/>
        </w:rPr>
        <w:t>：</w:t>
      </w:r>
      <w:r>
        <w:rPr>
          <w:b/>
          <w:sz w:val="24"/>
        </w:rPr>
        <w:t xml:space="preserve">DC </w:t>
      </w:r>
      <w:r>
        <w:rPr>
          <w:b/>
          <w:sz w:val="24"/>
        </w:rPr>
        <w:t>Bridge</w:t>
      </w:r>
      <w:r>
        <w:rPr>
          <w:rFonts w:hint="eastAsia"/>
          <w:b/>
          <w:sz w:val="24"/>
        </w:rPr>
        <w:t>;</w:t>
      </w:r>
      <w:r>
        <w:rPr>
          <w:b/>
          <w:sz w:val="24"/>
        </w:rPr>
        <w:t>Sensitivity</w:t>
      </w:r>
      <w:r>
        <w:rPr>
          <w:rFonts w:hint="eastAsia"/>
          <w:b/>
          <w:sz w:val="24"/>
        </w:rPr>
        <w:t>;</w:t>
      </w:r>
      <w:r>
        <w:rPr>
          <w:b/>
          <w:sz w:val="24"/>
        </w:rPr>
        <w:t>Influencing</w:t>
      </w:r>
      <w:r>
        <w:rPr>
          <w:b/>
          <w:sz w:val="24"/>
        </w:rPr>
        <w:t xml:space="preserve"> </w:t>
      </w:r>
      <w:r>
        <w:rPr>
          <w:b/>
          <w:sz w:val="24"/>
        </w:rPr>
        <w:t>Factors</w:t>
      </w:r>
      <w:r>
        <w:rPr>
          <w:rFonts w:hint="eastAsia"/>
          <w:b/>
          <w:sz w:val="24"/>
        </w:rPr>
        <w:t>;</w:t>
      </w:r>
      <w:r>
        <w:rPr>
          <w:b/>
          <w:sz w:val="24"/>
        </w:rPr>
        <w:t>Resistance</w:t>
      </w:r>
      <w:r>
        <w:rPr>
          <w:rFonts w:hint="eastAsia"/>
          <w:b/>
          <w:sz w:val="24"/>
        </w:rPr>
        <w:t>;</w:t>
      </w:r>
      <w:r>
        <w:rPr>
          <w:b/>
          <w:sz w:val="24"/>
        </w:rPr>
        <w:t>Capacitance</w:t>
      </w:r>
    </w:p>
    <w:p w:rsidR="001B015F" w14:paraId="3C404EBE" w14:textId="77777777">
      <w:pPr>
        <w:ind w:firstLine="0" w:firstLineChars="0"/>
        <w:rPr>
          <w:sz w:val="24"/>
        </w:rPr>
      </w:pPr>
    </w:p>
    <w:p w:rsidR="001B015F" w14:paraId="0A1999BB" w14:textId="77777777">
      <w:pPr>
        <w:ind w:firstLine="420"/>
      </w:pPr>
    </w:p>
    <w:p w:rsidR="001B015F" w14:paraId="132B5215" w14:textId="77777777">
      <w:pPr>
        <w:ind w:firstLine="420"/>
        <w:jc w:val="center"/>
      </w:pPr>
    </w:p>
    <w:p w:rsidR="001B015F" w14:paraId="7FF8BD7A" w14:textId="77777777">
      <w:pPr>
        <w:tabs>
          <w:tab w:val="left" w:pos="7584"/>
        </w:tabs>
        <w:ind w:firstLine="420"/>
        <w:jc w:val="left"/>
      </w:pPr>
      <w:r>
        <w:rPr>
          <w:rFonts w:hint="eastAsia"/>
        </w:rPr>
        <w:tab/>
      </w:r>
    </w:p>
    <w:p w:rsidR="001B015F" w14:paraId="0489E6F6" w14:textId="77777777">
      <w:pPr>
        <w:ind w:firstLine="420"/>
      </w:pPr>
    </w:p>
    <w:p w:rsidR="001B015F" w14:paraId="396E25BD" w14:textId="77777777">
      <w:pPr>
        <w:ind w:firstLine="420"/>
      </w:pPr>
    </w:p>
    <w:p w:rsidR="001B015F" w14:paraId="51AA8A3E" w14:textId="77777777">
      <w:pPr>
        <w:ind w:firstLine="420"/>
      </w:pPr>
    </w:p>
    <w:p w:rsidR="001B015F" w14:paraId="16864A69" w14:textId="77777777">
      <w:pPr>
        <w:ind w:firstLine="420"/>
      </w:pPr>
    </w:p>
    <w:p w:rsidR="001B015F" w14:paraId="38E16879" w14:textId="77777777">
      <w:pPr>
        <w:ind w:firstLine="420"/>
      </w:pPr>
    </w:p>
    <w:p w:rsidR="001B015F" w14:paraId="3A71CAFD" w14:textId="77777777">
      <w:pPr>
        <w:ind w:firstLine="420"/>
      </w:pPr>
    </w:p>
    <w:p w:rsidR="001B015F" w14:paraId="3A852E5E" w14:textId="77777777">
      <w:pPr>
        <w:ind w:firstLine="420"/>
      </w:pPr>
    </w:p>
    <w:p w:rsidR="001B015F" w14:paraId="2250998D" w14:textId="77777777">
      <w:pPr>
        <w:ind w:firstLine="420"/>
      </w:pPr>
    </w:p>
    <w:p w:rsidR="001B015F" w14:paraId="091F820E" w14:textId="77777777">
      <w:pPr>
        <w:ind w:firstLine="420"/>
      </w:pPr>
    </w:p>
    <w:p w:rsidR="001B015F" w14:paraId="18CCFFAC" w14:textId="77777777">
      <w:pPr>
        <w:ind w:firstLine="420"/>
      </w:pPr>
    </w:p>
    <w:p w:rsidR="001B015F" w14:paraId="0B791FE3" w14:textId="77777777">
      <w:pPr>
        <w:ind w:firstLine="420"/>
      </w:pPr>
    </w:p>
    <w:p w:rsidR="001B015F" w14:paraId="40C8F5FF" w14:textId="77777777">
      <w:pPr>
        <w:ind w:firstLine="420"/>
      </w:pPr>
    </w:p>
    <w:p w:rsidR="001B015F" w14:paraId="789209C1" w14:textId="77777777">
      <w:pPr>
        <w:tabs>
          <w:tab w:val="left" w:pos="7449"/>
        </w:tabs>
        <w:ind w:firstLine="0" w:firstLineChars="0"/>
        <w:jc w:val="left"/>
        <w:sectPr w:rsidSect="000874C3">
          <w:headerReference w:type="even" r:id="rId20"/>
          <w:headerReference w:type="default" r:id="rId21"/>
          <w:footerReference w:type="even" r:id="rId22"/>
          <w:footerReference w:type="default" r:id="rId23"/>
          <w:headerReference w:type="first" r:id="rId24"/>
          <w:footerReference w:type="first" r:id="rId25"/>
          <w:pgSz w:w="11906" w:h="16838"/>
          <w:pgMar w:top="1985" w:right="1418" w:bottom="1418" w:left="1418" w:header="1418" w:footer="1134" w:gutter="0"/>
          <w:pgNumType w:fmt="upperRoman" w:start="3"/>
          <w:cols w:space="425"/>
          <w:docGrid w:linePitch="326" w:charSpace="-2048"/>
        </w:sectPr>
      </w:pPr>
    </w:p>
    <w:p>
      <w:pPr>
        <w:sectPr w:rsidSect="000874C3">
          <w:headerReference w:type="even" r:id="rId26"/>
          <w:headerReference w:type="default" r:id="rId27"/>
          <w:footerReference w:type="even" r:id="rId28"/>
          <w:footerReference w:type="default" r:id="rId29"/>
          <w:headerReference w:type="first" r:id="rId30"/>
          <w:footerReference w:type="first" r:id="rId31"/>
          <w:pgSz w:w="11906" w:h="16838"/>
          <w:pgMar w:top="1984" w:right="1418" w:bottom="1417" w:left="1418" w:header="1418" w:footer="1134" w:gutter="0"/>
          <w:pgNumType w:fmt="upperRoman" w:start="3"/>
          <w:cols w:space="0"/>
          <w:docGrid w:linePitch="326"/>
        </w:sectPr>
      </w:pPr>
    </w:p>
    <w:p>
      <w:r>
        <w:br/>
      </w:r>
      <w:r>
        <w:br/>
      </w:r>
    </w:p>
    <w:p>
      <w:pPr>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https://d.book118.com/517126116035006053</w:t>
        </w:r>
      </w:hyperlink>
    </w:p>
    <w:p/>
    <w:sectPr w:rsidSect="000874C3">
      <w:headerReference w:type="even" r:id="rId33"/>
      <w:headerReference w:type="default" r:id="rId34"/>
      <w:footerReference w:type="even" r:id="rId35"/>
      <w:footerReference w:type="default" r:id="rId36"/>
      <w:headerReference w:type="first" r:id="rId37"/>
      <w:footerReference w:type="first" r:id="rId38"/>
      <w:pgSz w:w="11906" w:h="16838"/>
      <w:pgMar w:top="1984" w:right="1418" w:bottom="1417" w:left="1418" w:header="1418" w:footer="1134" w:gutter="0"/>
      <w:pgNumType w:fmt="upperRoman" w:start="3"/>
      <w:cols w:space="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0874C3" w14:paraId="4CCBB94C" w14:textId="77777777">
      <w:pPr>
        <w:spacing w:line="240" w:lineRule="auto"/>
        <w:ind w:firstLine="420"/>
      </w:pPr>
    </w:p>
  </w:endnote>
  <w:endnote w:type="continuationSeparator" w:id="1">
    <w:p w:rsidR="000874C3" w14:paraId="45D6FF35" w14:textId="77777777">
      <w:pPr>
        <w:spacing w:line="240" w:lineRule="auto"/>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paraId="47A7FFA9" w14:textId="77777777">
    <w:pPr>
      <w:pStyle w:val="Footer"/>
      <w:ind w:firstLine="360"/>
      <w:jc w:val="center"/>
      <w:rPr>
        <w:rFonts w:ascii="宋体" w:hAnsi="宋体"/>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1B015F" w14:paraId="59E3CDBB"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paraId="303C2368" w14:textId="77777777">
    <w:pPr>
      <w:pStyle w:val="Footer"/>
      <w:ind w:firstLine="360"/>
      <w:jc w:val="center"/>
      <w:rPr>
        <w:rFonts w:ascii="宋体" w:hAnsi="宋体"/>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1B015F" w14:paraId="2BE75FC2"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paraId="3895F84B"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77777777">
    <w:pPr>
      <w:pStyle w:val="Footer"/>
      <w:ind w:firstLine="360"/>
      <w:jc w:val="center"/>
      <w:rPr>
        <w:rFonts w:ascii="宋体" w:hAnsi="宋体"/>
      </w:rP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093301"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1B015F"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77777777">
    <w:pPr>
      <w:pStyle w:val="Footer"/>
      <w:ind w:firstLine="360"/>
      <w:jc w:val="center"/>
      <w:rPr>
        <w:rFonts w:ascii="宋体" w:hAnsi="宋体"/>
      </w:rP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462625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1B015F"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paraId="0D2728C7" w14:textId="77777777">
    <w:pPr>
      <w:pStyle w:val="Footer"/>
      <w:ind w:firstLine="360"/>
      <w:jc w:val="center"/>
      <w:rPr>
        <w:rFonts w:ascii="宋体" w:hAnsi="宋体"/>
      </w:rP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1B015F" w14:paraId="524F7138" w14:textId="77777777">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paraId="5BFA833F" w14:textId="77777777">
    <w:pPr>
      <w:pStyle w:val="Footer"/>
      <w:ind w:firstLine="360"/>
      <w:jc w:val="center"/>
      <w:rPr>
        <w:rFonts w:ascii="宋体" w:hAnsi="宋体"/>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1B015F" w14:paraId="40BF852D" w14:textId="77777777">
                    <w:pPr>
                      <w:pStyle w:val="Footer"/>
                      <w:ind w:firstLine="360"/>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paraId="2D205AA5" w14:textId="77777777">
    <w:pPr>
      <w:pStyle w:val="Footer"/>
      <w:ind w:firstLine="360"/>
      <w:jc w:val="center"/>
      <w:rPr>
        <w:rFonts w:ascii="宋体" w:hAnsi="宋体"/>
      </w:rP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1B015F" w14:paraId="095B58E3" w14:textId="77777777">
                    <w:pPr>
                      <w:pStyle w:val="Footer"/>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r>
      <w:rPr>
        <w:rFonts w:ascii="宋体" w:hAnsi="宋体"/>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paraId="7D76F522" w14:textId="77777777">
    <w:pPr>
      <w:pStyle w:val="Footer"/>
      <w:ind w:firstLine="360"/>
      <w:jc w:val="cen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1B015F" w14:paraId="2EA6BD6E" w14:textId="77777777">
                    <w:pPr>
                      <w:pStyle w:val="Footer"/>
                      <w:ind w:firstLine="360"/>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77777777">
    <w:pPr>
      <w:pStyle w:val="Footer"/>
      <w:ind w:firstLine="360"/>
      <w:jc w:val="center"/>
      <w:rPr>
        <w:rFonts w:ascii="宋体" w:hAnsi="宋体"/>
      </w:rP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656424"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1B015F" w14:textId="77777777">
                    <w:pPr>
                      <w:pStyle w:val="Footer"/>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r>
      <w:rPr>
        <w:rFonts w:ascii="宋体" w:hAnsi="宋体"/>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77777777">
    <w:pPr>
      <w:pStyle w:val="Footer"/>
      <w:ind w:firstLine="360"/>
      <w:jc w:val="cen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3358549"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B015F" w14:textId="77777777">
                          <w:pPr>
                            <w:pStyle w:val="Footer"/>
                            <w:ind w:firstLine="360"/>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1B015F" w14:textId="77777777">
                    <w:pPr>
                      <w:pStyle w:val="Footer"/>
                      <w:ind w:firstLine="360"/>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0874C3" w14:paraId="1F201F9C" w14:textId="77777777">
      <w:pPr>
        <w:ind w:firstLine="420"/>
      </w:pPr>
    </w:p>
  </w:footnote>
  <w:footnote w:type="continuationSeparator" w:id="1">
    <w:p w:rsidR="000874C3" w14:paraId="1BB10DED" w14:textId="77777777">
      <w:pPr>
        <w:ind w:firstLine="42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paraId="6CB04FD5" w14:textId="77777777">
    <w:pPr>
      <w:pStyle w:val="Header"/>
      <w:ind w:firstLine="420"/>
    </w:pPr>
    <w:r>
      <w:rPr>
        <w:rFonts w:hint="eastAsia"/>
        <w:sz w:val="21"/>
        <w:szCs w:val="21"/>
      </w:rPr>
      <w:t>直流电桥灵敏度及其影响因素</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paraId="12D61CD1" w14:textId="6C6324D1">
    <w:pPr>
      <w:pStyle w:val="Header"/>
      <w:ind w:firstLine="42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paraId="49505BE3"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77777777">
    <w:pPr>
      <w:pStyle w:val="Header"/>
      <w:ind w:firstLine="420"/>
    </w:pPr>
    <w:r>
      <w:rPr>
        <w:rFonts w:hint="eastAsia"/>
        <w:sz w:val="21"/>
        <w:szCs w:val="21"/>
      </w:rPr>
      <w:t>直流电桥灵敏度及其影响因素</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6C6324D1">
    <w:pPr>
      <w:pStyle w:val="Header"/>
      <w:ind w:firstLine="42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77777777">
    <w:pPr>
      <w:pStyle w:val="Header"/>
      <w:ind w:firstLine="420"/>
    </w:pPr>
    <w:r>
      <w:rPr>
        <w:rFonts w:hint="eastAsia"/>
        <w:sz w:val="21"/>
        <w:szCs w:val="21"/>
      </w:rPr>
      <w:t>直流电桥灵敏度及其影响因素</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6C6324D1">
    <w:pPr>
      <w:pStyle w:val="Header"/>
      <w:ind w:firstLine="42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77777777">
    <w:pPr>
      <w:pStyle w:val="Header"/>
      <w:ind w:firstLine="420"/>
    </w:pPr>
    <w:r>
      <w:rPr>
        <w:rFonts w:hint="eastAsia"/>
        <w:sz w:val="21"/>
        <w:szCs w:val="21"/>
      </w:rPr>
      <w:t>直流电桥灵敏度及其影响因素</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6C6324D1">
    <w:pPr>
      <w:pStyle w:val="Header"/>
      <w:ind w:firstLine="420"/>
      <w:rPr>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textId="77777777">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77777777">
    <w:pPr>
      <w:pStyle w:val="Header"/>
      <w:ind w:firstLine="420"/>
    </w:pPr>
    <w:r>
      <w:rPr>
        <w:rFonts w:hint="eastAsia"/>
        <w:sz w:val="21"/>
        <w:szCs w:val="21"/>
      </w:rPr>
      <w:t>直流电桥灵敏度及其影响因素</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1B015F" w14:textId="6C6324D1">
    <w:pPr>
      <w:pStyle w:val="Header"/>
      <w:ind w:firstLine="420"/>
      <w:rPr>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C29B6"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B7BF55B2"/>
    <w:multiLevelType w:val="singleLevel"/>
    <w:tmpl w:val="B7BF55B2"/>
    <w:lvl w:ilvl="0">
      <w:start w:val="1"/>
      <w:numFmt w:val="decimal"/>
      <w:lvlText w:val="%1."/>
      <w:lvlJc w:val="left"/>
      <w:pPr>
        <w:tabs>
          <w:tab w:val="left" w:pos="312"/>
        </w:tabs>
      </w:pPr>
    </w:lvl>
  </w:abstractNum>
  <w:abstractNum w:abstractNumId="1">
    <w:nsid w:val="FFCF388A"/>
    <w:multiLevelType w:val="singleLevel"/>
    <w:tmpl w:val="FFCF388A"/>
    <w:lvl w:ilvl="0">
      <w:start w:val="1"/>
      <w:numFmt w:val="decimal"/>
      <w:suff w:val="nothing"/>
      <w:lvlText w:val="（%1）"/>
      <w:lvlJc w:val="left"/>
    </w:lvl>
  </w:abstractNum>
  <w:abstractNum w:abstractNumId="2">
    <w:nsid w:val="322BFC46"/>
    <w:multiLevelType w:val="singleLevel"/>
    <w:tmpl w:val="322BFC46"/>
    <w:lvl w:ilvl="0">
      <w:start w:val="1"/>
      <w:numFmt w:val="decimal"/>
      <w:lvlText w:val="%1."/>
      <w:lvlJc w:val="left"/>
      <w:pPr>
        <w:tabs>
          <w:tab w:val="left" w:pos="312"/>
        </w:tabs>
      </w:pPr>
    </w:lvl>
  </w:abstractNum>
  <w:abstractNum w:abstractNumId="3">
    <w:nsid w:val="7A735BD5"/>
    <w:multiLevelType w:val="multilevel"/>
    <w:tmpl w:val="7A735BD5"/>
    <w:lvl w:ilvl="0">
      <w:start w:val="1"/>
      <w:numFmt w:val="decimal"/>
      <w:lvlText w:val="%1."/>
      <w:lvlJc w:val="left"/>
      <w:pPr>
        <w:tabs>
          <w:tab w:val="left" w:pos="420"/>
        </w:tabs>
        <w:ind w:left="420"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16cid:durableId="1604146425">
    <w:abstractNumId w:val="0"/>
  </w:num>
  <w:num w:numId="2" w16cid:durableId="1043555215">
    <w:abstractNumId w:val="1"/>
  </w:num>
  <w:num w:numId="3" w16cid:durableId="19940689">
    <w:abstractNumId w:val="2"/>
  </w:num>
  <w:num w:numId="4" w16cid:durableId="18263887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CB4"/>
    <w:rsid w:val="0001248E"/>
    <w:rsid w:val="000214E9"/>
    <w:rsid w:val="00022901"/>
    <w:rsid w:val="0002416B"/>
    <w:rsid w:val="0002581F"/>
    <w:rsid w:val="00037361"/>
    <w:rsid w:val="00037D06"/>
    <w:rsid w:val="00043B6B"/>
    <w:rsid w:val="0004430E"/>
    <w:rsid w:val="00054012"/>
    <w:rsid w:val="00061801"/>
    <w:rsid w:val="00065D5D"/>
    <w:rsid w:val="000709CD"/>
    <w:rsid w:val="00072CD2"/>
    <w:rsid w:val="0007533E"/>
    <w:rsid w:val="00080F16"/>
    <w:rsid w:val="00082CB4"/>
    <w:rsid w:val="000874C3"/>
    <w:rsid w:val="0009136C"/>
    <w:rsid w:val="00092709"/>
    <w:rsid w:val="0009447F"/>
    <w:rsid w:val="00094C1F"/>
    <w:rsid w:val="000A3699"/>
    <w:rsid w:val="000B5593"/>
    <w:rsid w:val="000B7FD9"/>
    <w:rsid w:val="000C29B6"/>
    <w:rsid w:val="000D2DF6"/>
    <w:rsid w:val="000D47FC"/>
    <w:rsid w:val="000F04CD"/>
    <w:rsid w:val="001054FA"/>
    <w:rsid w:val="0011681B"/>
    <w:rsid w:val="00132B38"/>
    <w:rsid w:val="00161A39"/>
    <w:rsid w:val="00162A41"/>
    <w:rsid w:val="00180256"/>
    <w:rsid w:val="001976C1"/>
    <w:rsid w:val="001A50CC"/>
    <w:rsid w:val="001B015F"/>
    <w:rsid w:val="001C0642"/>
    <w:rsid w:val="001C0E3E"/>
    <w:rsid w:val="001C32CA"/>
    <w:rsid w:val="001D5D5C"/>
    <w:rsid w:val="001E08BC"/>
    <w:rsid w:val="001F7DF8"/>
    <w:rsid w:val="002005D1"/>
    <w:rsid w:val="00201889"/>
    <w:rsid w:val="002057D5"/>
    <w:rsid w:val="00210CEB"/>
    <w:rsid w:val="00222A2D"/>
    <w:rsid w:val="002231A4"/>
    <w:rsid w:val="002330BF"/>
    <w:rsid w:val="0023713E"/>
    <w:rsid w:val="00243966"/>
    <w:rsid w:val="002676F5"/>
    <w:rsid w:val="00267DDA"/>
    <w:rsid w:val="00270ECB"/>
    <w:rsid w:val="00277D9C"/>
    <w:rsid w:val="002818F4"/>
    <w:rsid w:val="00285DBE"/>
    <w:rsid w:val="00286ED3"/>
    <w:rsid w:val="002A469F"/>
    <w:rsid w:val="002B3223"/>
    <w:rsid w:val="002B3FD0"/>
    <w:rsid w:val="002D2B6F"/>
    <w:rsid w:val="002D67A0"/>
    <w:rsid w:val="002E4691"/>
    <w:rsid w:val="002F1017"/>
    <w:rsid w:val="002F1CC6"/>
    <w:rsid w:val="0030179A"/>
    <w:rsid w:val="00305172"/>
    <w:rsid w:val="00317793"/>
    <w:rsid w:val="0031779D"/>
    <w:rsid w:val="00326C7C"/>
    <w:rsid w:val="003272B6"/>
    <w:rsid w:val="00351A41"/>
    <w:rsid w:val="00356A79"/>
    <w:rsid w:val="003725D1"/>
    <w:rsid w:val="00396D3D"/>
    <w:rsid w:val="003A09DF"/>
    <w:rsid w:val="003E0D70"/>
    <w:rsid w:val="003E2044"/>
    <w:rsid w:val="003E754A"/>
    <w:rsid w:val="003F5681"/>
    <w:rsid w:val="003F6435"/>
    <w:rsid w:val="004164B8"/>
    <w:rsid w:val="00417F2E"/>
    <w:rsid w:val="00421027"/>
    <w:rsid w:val="0043067D"/>
    <w:rsid w:val="004419DF"/>
    <w:rsid w:val="00442F5C"/>
    <w:rsid w:val="00444CBB"/>
    <w:rsid w:val="00445472"/>
    <w:rsid w:val="00445931"/>
    <w:rsid w:val="0045294C"/>
    <w:rsid w:val="00454E49"/>
    <w:rsid w:val="00472E0F"/>
    <w:rsid w:val="004730AC"/>
    <w:rsid w:val="00473416"/>
    <w:rsid w:val="00481BAD"/>
    <w:rsid w:val="00486E0D"/>
    <w:rsid w:val="004A132E"/>
    <w:rsid w:val="004A1B08"/>
    <w:rsid w:val="004A4D21"/>
    <w:rsid w:val="004A6A53"/>
    <w:rsid w:val="004B208E"/>
    <w:rsid w:val="004C1D49"/>
    <w:rsid w:val="004C4827"/>
    <w:rsid w:val="004C50DB"/>
    <w:rsid w:val="004C661F"/>
    <w:rsid w:val="004E1029"/>
    <w:rsid w:val="00500460"/>
    <w:rsid w:val="00513F60"/>
    <w:rsid w:val="005168A3"/>
    <w:rsid w:val="00517F15"/>
    <w:rsid w:val="00520C70"/>
    <w:rsid w:val="005233EE"/>
    <w:rsid w:val="005273E7"/>
    <w:rsid w:val="00543011"/>
    <w:rsid w:val="00543BF2"/>
    <w:rsid w:val="005450AD"/>
    <w:rsid w:val="00551C22"/>
    <w:rsid w:val="00556077"/>
    <w:rsid w:val="00576460"/>
    <w:rsid w:val="00581F9C"/>
    <w:rsid w:val="00595A07"/>
    <w:rsid w:val="005A1575"/>
    <w:rsid w:val="005B3789"/>
    <w:rsid w:val="005B7C93"/>
    <w:rsid w:val="005C0FE9"/>
    <w:rsid w:val="005C2C5C"/>
    <w:rsid w:val="005C6F0F"/>
    <w:rsid w:val="005D681D"/>
    <w:rsid w:val="005E28C5"/>
    <w:rsid w:val="00607691"/>
    <w:rsid w:val="006121CA"/>
    <w:rsid w:val="0061236C"/>
    <w:rsid w:val="006124FD"/>
    <w:rsid w:val="00621613"/>
    <w:rsid w:val="0063662A"/>
    <w:rsid w:val="006371F4"/>
    <w:rsid w:val="00646D40"/>
    <w:rsid w:val="006473D5"/>
    <w:rsid w:val="006535F4"/>
    <w:rsid w:val="00653B1F"/>
    <w:rsid w:val="00663DCC"/>
    <w:rsid w:val="00670AF3"/>
    <w:rsid w:val="00672AFF"/>
    <w:rsid w:val="00681B9B"/>
    <w:rsid w:val="00683345"/>
    <w:rsid w:val="006936E3"/>
    <w:rsid w:val="006C4227"/>
    <w:rsid w:val="006D036E"/>
    <w:rsid w:val="006D06C3"/>
    <w:rsid w:val="006D15D6"/>
    <w:rsid w:val="006F0E7D"/>
    <w:rsid w:val="006F5883"/>
    <w:rsid w:val="006F5EEF"/>
    <w:rsid w:val="00706125"/>
    <w:rsid w:val="00734CE7"/>
    <w:rsid w:val="00736A49"/>
    <w:rsid w:val="007554B5"/>
    <w:rsid w:val="007555B1"/>
    <w:rsid w:val="00774119"/>
    <w:rsid w:val="00775A1F"/>
    <w:rsid w:val="00781D39"/>
    <w:rsid w:val="00786C44"/>
    <w:rsid w:val="007905DF"/>
    <w:rsid w:val="00795D18"/>
    <w:rsid w:val="00795E3C"/>
    <w:rsid w:val="00796072"/>
    <w:rsid w:val="007A676E"/>
    <w:rsid w:val="007A7C13"/>
    <w:rsid w:val="007B2FA2"/>
    <w:rsid w:val="007C3145"/>
    <w:rsid w:val="007D2226"/>
    <w:rsid w:val="007F40D7"/>
    <w:rsid w:val="007F6CFF"/>
    <w:rsid w:val="0081365F"/>
    <w:rsid w:val="008142C0"/>
    <w:rsid w:val="00846D1B"/>
    <w:rsid w:val="00847DBB"/>
    <w:rsid w:val="00860751"/>
    <w:rsid w:val="0086079E"/>
    <w:rsid w:val="0086386F"/>
    <w:rsid w:val="00864487"/>
    <w:rsid w:val="00866422"/>
    <w:rsid w:val="00875FEE"/>
    <w:rsid w:val="008810D5"/>
    <w:rsid w:val="00883509"/>
    <w:rsid w:val="0088788B"/>
    <w:rsid w:val="00892AEB"/>
    <w:rsid w:val="0089311F"/>
    <w:rsid w:val="00893887"/>
    <w:rsid w:val="00893CAB"/>
    <w:rsid w:val="008A341D"/>
    <w:rsid w:val="008A3745"/>
    <w:rsid w:val="008C1196"/>
    <w:rsid w:val="008C23B4"/>
    <w:rsid w:val="008D0BFF"/>
    <w:rsid w:val="008D390D"/>
    <w:rsid w:val="008E55D4"/>
    <w:rsid w:val="008F48CB"/>
    <w:rsid w:val="00905A73"/>
    <w:rsid w:val="00906170"/>
    <w:rsid w:val="00906898"/>
    <w:rsid w:val="009070CB"/>
    <w:rsid w:val="0091598C"/>
    <w:rsid w:val="0092314A"/>
    <w:rsid w:val="00924C03"/>
    <w:rsid w:val="00933582"/>
    <w:rsid w:val="0094124C"/>
    <w:rsid w:val="00941C4D"/>
    <w:rsid w:val="00944704"/>
    <w:rsid w:val="0096432A"/>
    <w:rsid w:val="00970C05"/>
    <w:rsid w:val="00973331"/>
    <w:rsid w:val="00984BCF"/>
    <w:rsid w:val="00993F4D"/>
    <w:rsid w:val="00997472"/>
    <w:rsid w:val="009A0A28"/>
    <w:rsid w:val="009B15AB"/>
    <w:rsid w:val="009B2B9D"/>
    <w:rsid w:val="009B4395"/>
    <w:rsid w:val="009B6B00"/>
    <w:rsid w:val="009D0AE8"/>
    <w:rsid w:val="009D775B"/>
    <w:rsid w:val="009D79B3"/>
    <w:rsid w:val="009E6E74"/>
    <w:rsid w:val="009F599D"/>
    <w:rsid w:val="00A047C6"/>
    <w:rsid w:val="00A23242"/>
    <w:rsid w:val="00A268CF"/>
    <w:rsid w:val="00A278FE"/>
    <w:rsid w:val="00A27955"/>
    <w:rsid w:val="00A30388"/>
    <w:rsid w:val="00A408C8"/>
    <w:rsid w:val="00A56ACC"/>
    <w:rsid w:val="00A715CA"/>
    <w:rsid w:val="00A732C9"/>
    <w:rsid w:val="00A82640"/>
    <w:rsid w:val="00A94371"/>
    <w:rsid w:val="00A9447D"/>
    <w:rsid w:val="00A972E6"/>
    <w:rsid w:val="00AA7ED7"/>
    <w:rsid w:val="00AB3CFB"/>
    <w:rsid w:val="00AB4B75"/>
    <w:rsid w:val="00AC3DA9"/>
    <w:rsid w:val="00AD004B"/>
    <w:rsid w:val="00AD0D18"/>
    <w:rsid w:val="00AE1D75"/>
    <w:rsid w:val="00AE36CF"/>
    <w:rsid w:val="00AE61E7"/>
    <w:rsid w:val="00AE7E24"/>
    <w:rsid w:val="00AF38C3"/>
    <w:rsid w:val="00AF416E"/>
    <w:rsid w:val="00AF54ED"/>
    <w:rsid w:val="00AF687F"/>
    <w:rsid w:val="00B003E4"/>
    <w:rsid w:val="00B27674"/>
    <w:rsid w:val="00B35C43"/>
    <w:rsid w:val="00B35EE0"/>
    <w:rsid w:val="00B4158B"/>
    <w:rsid w:val="00B41E35"/>
    <w:rsid w:val="00B54624"/>
    <w:rsid w:val="00B60265"/>
    <w:rsid w:val="00B61AFD"/>
    <w:rsid w:val="00B7064C"/>
    <w:rsid w:val="00B949A9"/>
    <w:rsid w:val="00B963F4"/>
    <w:rsid w:val="00B96F85"/>
    <w:rsid w:val="00B97319"/>
    <w:rsid w:val="00BA271F"/>
    <w:rsid w:val="00BB3F5C"/>
    <w:rsid w:val="00BB541B"/>
    <w:rsid w:val="00BC05E8"/>
    <w:rsid w:val="00BC4FF5"/>
    <w:rsid w:val="00BE4F71"/>
    <w:rsid w:val="00C07CF5"/>
    <w:rsid w:val="00C13271"/>
    <w:rsid w:val="00C338FB"/>
    <w:rsid w:val="00C352A1"/>
    <w:rsid w:val="00C4553E"/>
    <w:rsid w:val="00C57E08"/>
    <w:rsid w:val="00C66A52"/>
    <w:rsid w:val="00C72B4B"/>
    <w:rsid w:val="00C75289"/>
    <w:rsid w:val="00C90836"/>
    <w:rsid w:val="00C936CE"/>
    <w:rsid w:val="00CA2BA8"/>
    <w:rsid w:val="00CA563E"/>
    <w:rsid w:val="00CB286B"/>
    <w:rsid w:val="00CD3593"/>
    <w:rsid w:val="00CF4798"/>
    <w:rsid w:val="00D070CF"/>
    <w:rsid w:val="00D264C4"/>
    <w:rsid w:val="00D3181F"/>
    <w:rsid w:val="00D348F4"/>
    <w:rsid w:val="00D47D45"/>
    <w:rsid w:val="00D55DE8"/>
    <w:rsid w:val="00D94A21"/>
    <w:rsid w:val="00D97BD2"/>
    <w:rsid w:val="00DA2B2B"/>
    <w:rsid w:val="00DA2EF5"/>
    <w:rsid w:val="00DD5E9F"/>
    <w:rsid w:val="00DE24C8"/>
    <w:rsid w:val="00DE3D43"/>
    <w:rsid w:val="00DF16D7"/>
    <w:rsid w:val="00DF5E29"/>
    <w:rsid w:val="00E006BA"/>
    <w:rsid w:val="00E1218C"/>
    <w:rsid w:val="00E332BB"/>
    <w:rsid w:val="00E5550E"/>
    <w:rsid w:val="00E6003F"/>
    <w:rsid w:val="00E6057C"/>
    <w:rsid w:val="00E672A3"/>
    <w:rsid w:val="00E71D38"/>
    <w:rsid w:val="00E72A1C"/>
    <w:rsid w:val="00E9608E"/>
    <w:rsid w:val="00E9652B"/>
    <w:rsid w:val="00E9744C"/>
    <w:rsid w:val="00EA24C3"/>
    <w:rsid w:val="00EB32BE"/>
    <w:rsid w:val="00EB5A4D"/>
    <w:rsid w:val="00EE2490"/>
    <w:rsid w:val="00EE6A6F"/>
    <w:rsid w:val="00EF63D0"/>
    <w:rsid w:val="00EF7180"/>
    <w:rsid w:val="00F01E5B"/>
    <w:rsid w:val="00F065AA"/>
    <w:rsid w:val="00F2483C"/>
    <w:rsid w:val="00F32E82"/>
    <w:rsid w:val="00F330F4"/>
    <w:rsid w:val="00F37053"/>
    <w:rsid w:val="00F8266E"/>
    <w:rsid w:val="00F90A9B"/>
    <w:rsid w:val="00FA1958"/>
    <w:rsid w:val="00FA7AA9"/>
    <w:rsid w:val="00FC129C"/>
    <w:rsid w:val="00FC57B5"/>
    <w:rsid w:val="00FC6D4D"/>
    <w:rsid w:val="00FD53CA"/>
    <w:rsid w:val="00FD768B"/>
    <w:rsid w:val="00FF5590"/>
    <w:rsid w:val="01E7250B"/>
    <w:rsid w:val="030661AE"/>
    <w:rsid w:val="0335362C"/>
    <w:rsid w:val="06C16EA5"/>
    <w:rsid w:val="07CF04AF"/>
    <w:rsid w:val="08881E1C"/>
    <w:rsid w:val="089416A4"/>
    <w:rsid w:val="0D70049C"/>
    <w:rsid w:val="0DB0380A"/>
    <w:rsid w:val="136655C8"/>
    <w:rsid w:val="152A6BAA"/>
    <w:rsid w:val="16062A7E"/>
    <w:rsid w:val="16CB58D4"/>
    <w:rsid w:val="17506A39"/>
    <w:rsid w:val="1A257145"/>
    <w:rsid w:val="1BCC6C13"/>
    <w:rsid w:val="1E1D1970"/>
    <w:rsid w:val="1E6A3EA8"/>
    <w:rsid w:val="1E7E6AAA"/>
    <w:rsid w:val="1F161B8C"/>
    <w:rsid w:val="1F373BCB"/>
    <w:rsid w:val="217C78A6"/>
    <w:rsid w:val="22F60355"/>
    <w:rsid w:val="25205520"/>
    <w:rsid w:val="25EB640E"/>
    <w:rsid w:val="26755C6E"/>
    <w:rsid w:val="26B40D36"/>
    <w:rsid w:val="27A31634"/>
    <w:rsid w:val="27A7194B"/>
    <w:rsid w:val="28784754"/>
    <w:rsid w:val="2E954374"/>
    <w:rsid w:val="2EAC05CF"/>
    <w:rsid w:val="2EAE7B03"/>
    <w:rsid w:val="2F294594"/>
    <w:rsid w:val="331A44CC"/>
    <w:rsid w:val="37110A59"/>
    <w:rsid w:val="383738C8"/>
    <w:rsid w:val="3E720F55"/>
    <w:rsid w:val="3EF878CA"/>
    <w:rsid w:val="40596823"/>
    <w:rsid w:val="45D04885"/>
    <w:rsid w:val="4603018E"/>
    <w:rsid w:val="46207D0B"/>
    <w:rsid w:val="495A7044"/>
    <w:rsid w:val="4B293082"/>
    <w:rsid w:val="4B731C6D"/>
    <w:rsid w:val="4D5155D7"/>
    <w:rsid w:val="4D9C7AE5"/>
    <w:rsid w:val="4DE1758D"/>
    <w:rsid w:val="520709BE"/>
    <w:rsid w:val="52B63C07"/>
    <w:rsid w:val="55566128"/>
    <w:rsid w:val="56424FA2"/>
    <w:rsid w:val="56C8471A"/>
    <w:rsid w:val="573D2E54"/>
    <w:rsid w:val="578B6887"/>
    <w:rsid w:val="58A772C9"/>
    <w:rsid w:val="5B4A7990"/>
    <w:rsid w:val="61DF52F7"/>
    <w:rsid w:val="620B35DD"/>
    <w:rsid w:val="629111A0"/>
    <w:rsid w:val="634863F9"/>
    <w:rsid w:val="666A1A83"/>
    <w:rsid w:val="68544BBC"/>
    <w:rsid w:val="708A4EAF"/>
    <w:rsid w:val="73446229"/>
    <w:rsid w:val="771A52A0"/>
    <w:rsid w:val="79920E88"/>
    <w:rsid w:val="7A751909"/>
    <w:rsid w:val="7BBC36A6"/>
  </w:rsids>
  <w:docVars>
    <w:docVar w:name="commondata" w:val="eyJoZGlkIjoiNjFkZGUyMWM1MjE2MGMyOWQwYzI1ZmU3ZWNmNThkY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55D1DB"/>
  <w15:docId w15:val="{CF80F81E-76E8-4ADF-A6FA-376EBC53D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qFormat="1"/>
    <w:lsdException w:name="toc 7" w:qFormat="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qFormat="1"/>
    <w:lsdException w:name="line number" w:semiHidden="1" w:unhideWhenUsed="1"/>
    <w:lsdException w:name="page number" w:qFormat="1"/>
    <w:lsdException w:name="endnote reference" w:semiHidden="1" w:unhideWhenUsed="1" w:qFormat="1"/>
    <w:lsdException w:name="endnote text" w:semiHidden="1" w:unhideWhenUsed="1" w:qFormat="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spacing w:line="300" w:lineRule="auto"/>
      <w:ind w:firstLine="200" w:firstLineChars="200"/>
      <w:jc w:val="both"/>
    </w:pPr>
    <w:rPr>
      <w:kern w:val="2"/>
      <w:sz w:val="21"/>
      <w:szCs w:val="24"/>
    </w:rPr>
  </w:style>
  <w:style w:type="paragraph" w:styleId="Heading1">
    <w:name w:val="heading 1"/>
    <w:basedOn w:val="Normal"/>
    <w:next w:val="Normal"/>
    <w:link w:val="1"/>
    <w:qFormat/>
    <w:pPr>
      <w:keepNext/>
      <w:keepLines/>
      <w:tabs>
        <w:tab w:val="left" w:pos="377"/>
      </w:tabs>
      <w:spacing w:after="220" w:line="360" w:lineRule="auto"/>
      <w:ind w:firstLine="0" w:firstLineChars="0"/>
      <w:outlineLvl w:val="0"/>
    </w:pPr>
    <w:rPr>
      <w:rFonts w:ascii="黑体" w:eastAsia="黑体" w:hAnsi="黑体"/>
      <w:bCs/>
      <w:kern w:val="44"/>
      <w:sz w:val="30"/>
      <w:szCs w:val="30"/>
    </w:rPr>
  </w:style>
  <w:style w:type="paragraph" w:styleId="Heading2">
    <w:name w:val="heading 2"/>
    <w:basedOn w:val="Normal"/>
    <w:next w:val="Normal"/>
    <w:link w:val="2"/>
    <w:qFormat/>
    <w:pPr>
      <w:keepNext/>
      <w:keepLines/>
      <w:tabs>
        <w:tab w:val="left" w:pos="377"/>
      </w:tabs>
      <w:spacing w:beforeLines="50" w:line="360" w:lineRule="auto"/>
      <w:outlineLvl w:val="1"/>
    </w:pPr>
    <w:rPr>
      <w:rFonts w:ascii="黑体" w:eastAsia="黑体"/>
      <w:bCs/>
      <w:kern w:val="0"/>
      <w:sz w:val="28"/>
      <w:szCs w:val="28"/>
    </w:rPr>
  </w:style>
  <w:style w:type="paragraph" w:styleId="Heading3">
    <w:name w:val="heading 3"/>
    <w:basedOn w:val="Normal"/>
    <w:next w:val="Normal"/>
    <w:link w:val="3"/>
    <w:qFormat/>
    <w:pPr>
      <w:keepNext/>
      <w:keepLines/>
      <w:tabs>
        <w:tab w:val="left" w:pos="377"/>
      </w:tabs>
      <w:spacing w:beforeLines="50" w:line="360" w:lineRule="auto"/>
      <w:outlineLvl w:val="2"/>
    </w:pPr>
    <w:rPr>
      <w:rFonts w:ascii="黑体" w:eastAsia="黑体"/>
      <w:bCs/>
      <w:kern w:val="0"/>
      <w:sz w:val="24"/>
      <w:szCs w:val="32"/>
    </w:rPr>
  </w:style>
  <w:style w:type="paragraph" w:styleId="Heading4">
    <w:name w:val="heading 4"/>
    <w:basedOn w:val="Normal"/>
    <w:next w:val="Normal"/>
    <w:link w:val="4"/>
    <w:qFormat/>
    <w:pPr>
      <w:keepNext/>
      <w:keepLines/>
      <w:tabs>
        <w:tab w:val="left" w:pos="377"/>
      </w:tabs>
      <w:spacing w:before="240" w:after="240" w:line="360" w:lineRule="auto"/>
      <w:outlineLvl w:val="3"/>
    </w:pPr>
    <w:rPr>
      <w:bCs/>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qFormat/>
    <w:pPr>
      <w:ind w:left="2520" w:leftChars="1200"/>
    </w:pPr>
  </w:style>
  <w:style w:type="paragraph" w:styleId="Caption">
    <w:name w:val="caption"/>
    <w:basedOn w:val="Normal"/>
    <w:next w:val="Normal"/>
    <w:semiHidden/>
    <w:unhideWhenUsed/>
    <w:qFormat/>
    <w:rPr>
      <w:rFonts w:ascii="Arial" w:eastAsia="黑体" w:hAnsi="Arial"/>
      <w:sz w:val="20"/>
    </w:rPr>
  </w:style>
  <w:style w:type="paragraph" w:styleId="CommentText">
    <w:name w:val="annotation text"/>
    <w:basedOn w:val="Normal"/>
    <w:link w:val="a2"/>
    <w:qFormat/>
    <w:pPr>
      <w:jc w:val="left"/>
    </w:pPr>
  </w:style>
  <w:style w:type="paragraph" w:styleId="BodyText">
    <w:name w:val="Body Text"/>
    <w:basedOn w:val="Normal"/>
    <w:qFormat/>
    <w:rPr>
      <w:sz w:val="28"/>
      <w:szCs w:val="20"/>
    </w:rPr>
  </w:style>
  <w:style w:type="paragraph" w:styleId="BodyTextIndent">
    <w:name w:val="Body Text Indent"/>
    <w:basedOn w:val="Normal"/>
    <w:qFormat/>
    <w:pPr>
      <w:ind w:left="720"/>
    </w:pPr>
    <w:rPr>
      <w:sz w:val="24"/>
      <w:szCs w:val="20"/>
    </w:rPr>
  </w:style>
  <w:style w:type="paragraph" w:styleId="TOC3">
    <w:name w:val="toc 3"/>
    <w:basedOn w:val="Normal"/>
    <w:next w:val="Normal"/>
    <w:uiPriority w:val="39"/>
    <w:qFormat/>
    <w:pPr>
      <w:ind w:left="840" w:leftChars="400"/>
    </w:pPr>
    <w:rPr>
      <w:kern w:val="0"/>
      <w:sz w:val="24"/>
    </w:rPr>
  </w:style>
  <w:style w:type="paragraph" w:styleId="PlainText">
    <w:name w:val="Plain Text"/>
    <w:basedOn w:val="Normal"/>
    <w:link w:val="a0"/>
    <w:qFormat/>
    <w:rPr>
      <w:rFonts w:ascii="宋体" w:hAnsi="Courier New"/>
      <w:szCs w:val="20"/>
    </w:rPr>
  </w:style>
  <w:style w:type="paragraph" w:styleId="BodyTextIndent2">
    <w:name w:val="Body Text Indent 2"/>
    <w:basedOn w:val="Normal"/>
    <w:qFormat/>
    <w:pPr>
      <w:tabs>
        <w:tab w:val="left" w:pos="430"/>
      </w:tabs>
      <w:ind w:left="430" w:firstLine="430"/>
    </w:pPr>
    <w:rPr>
      <w:rFonts w:ascii="宋体"/>
      <w:szCs w:val="20"/>
    </w:rPr>
  </w:style>
  <w:style w:type="paragraph" w:styleId="EndnoteText">
    <w:name w:val="endnote text"/>
    <w:basedOn w:val="Normal"/>
    <w:semiHidden/>
    <w:unhideWhenUsed/>
    <w:qFormat/>
    <w:pPr>
      <w:snapToGrid w:val="0"/>
      <w:jc w:val="left"/>
    </w:pPr>
  </w:style>
  <w:style w:type="paragraph" w:styleId="BalloonText">
    <w:name w:val="Balloon Text"/>
    <w:basedOn w:val="Normal"/>
    <w:link w:val="a1"/>
    <w:qFormat/>
    <w:rPr>
      <w:sz w:val="18"/>
      <w:szCs w:val="18"/>
    </w:rPr>
  </w:style>
  <w:style w:type="paragraph" w:styleId="Footer">
    <w:name w:val="footer"/>
    <w:basedOn w:val="Normal"/>
    <w:link w:val="a"/>
    <w:uiPriority w:val="99"/>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rPr>
      <w:kern w:val="0"/>
      <w:sz w:val="24"/>
    </w:rPr>
  </w:style>
  <w:style w:type="paragraph" w:styleId="FootnoteText">
    <w:name w:val="footnote text"/>
    <w:basedOn w:val="Normal"/>
    <w:semiHidden/>
    <w:unhideWhenUsed/>
    <w:qFormat/>
    <w:pPr>
      <w:snapToGrid w:val="0"/>
      <w:jc w:val="left"/>
    </w:pPr>
    <w:rPr>
      <w:sz w:val="18"/>
    </w:rPr>
  </w:style>
  <w:style w:type="paragraph" w:styleId="TOC6">
    <w:name w:val="toc 6"/>
    <w:basedOn w:val="Normal"/>
    <w:next w:val="Normal"/>
    <w:qFormat/>
    <w:pPr>
      <w:ind w:left="2100" w:leftChars="1000"/>
    </w:pPr>
  </w:style>
  <w:style w:type="paragraph" w:styleId="BodyTextIndent3">
    <w:name w:val="Body Text Indent 3"/>
    <w:basedOn w:val="Normal"/>
    <w:qFormat/>
    <w:pPr>
      <w:ind w:firstLine="570"/>
    </w:pPr>
    <w:rPr>
      <w:rFonts w:ascii="宋体"/>
      <w:szCs w:val="20"/>
    </w:rPr>
  </w:style>
  <w:style w:type="paragraph" w:styleId="TOC2">
    <w:name w:val="toc 2"/>
    <w:basedOn w:val="Normal"/>
    <w:next w:val="Normal"/>
    <w:uiPriority w:val="39"/>
    <w:qFormat/>
    <w:pPr>
      <w:ind w:left="420" w:leftChars="200"/>
    </w:pPr>
    <w:rPr>
      <w:kern w:val="0"/>
      <w:sz w:val="24"/>
    </w:rPr>
  </w:style>
  <w:style w:type="paragraph" w:styleId="NormalWeb">
    <w:name w:val="Normal (Web)"/>
    <w:basedOn w:val="Normal"/>
    <w:uiPriority w:val="99"/>
    <w:semiHidden/>
    <w:unhideWhenUsed/>
    <w:qFormat/>
    <w:pPr>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a3"/>
    <w:qFormat/>
    <w:rPr>
      <w:b/>
      <w:bCs/>
    </w:rPr>
  </w:style>
  <w:style w:type="table" w:styleId="TableGrid">
    <w:name w:val="Table Grid"/>
    <w:basedOn w:val="TableNormal"/>
    <w:uiPriority w:val="59"/>
    <w:qFormat/>
    <w:rPr>
      <w:rFonts w:ascii="Calibri" w:eastAsia="Times New Roman"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ndnoteReference">
    <w:name w:val="endnote reference"/>
    <w:basedOn w:val="DefaultParagraphFont"/>
    <w:semiHidden/>
    <w:unhideWhenUsed/>
    <w:qFormat/>
    <w:rPr>
      <w:vertAlign w:val="superscript"/>
    </w:r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semiHidden/>
    <w:unhideWhenUsed/>
    <w:qFormat/>
    <w:rPr>
      <w:vertAlign w:val="superscript"/>
    </w:rPr>
  </w:style>
  <w:style w:type="paragraph" w:styleId="ListParagraph">
    <w:name w:val="List Paragraph"/>
    <w:basedOn w:val="Normal"/>
    <w:uiPriority w:val="34"/>
    <w:qFormat/>
    <w:pPr>
      <w:ind w:firstLine="420"/>
    </w:pPr>
    <w:rPr>
      <w:rFonts w:ascii="Calibri" w:hAnsi="Calibri"/>
      <w:szCs w:val="22"/>
    </w:rPr>
  </w:style>
  <w:style w:type="character" w:customStyle="1" w:styleId="a">
    <w:name w:val="页脚 字符"/>
    <w:link w:val="Footer"/>
    <w:uiPriority w:val="99"/>
    <w:qFormat/>
    <w:rPr>
      <w:kern w:val="2"/>
      <w:sz w:val="18"/>
      <w:szCs w:val="18"/>
    </w:rPr>
  </w:style>
  <w:style w:type="character" w:customStyle="1" w:styleId="a0">
    <w:name w:val="纯文本 字符"/>
    <w:link w:val="PlainText"/>
    <w:qFormat/>
    <w:rPr>
      <w:rFonts w:ascii="宋体" w:hAnsi="Courier New"/>
      <w:kern w:val="2"/>
      <w:sz w:val="21"/>
    </w:rPr>
  </w:style>
  <w:style w:type="character" w:customStyle="1" w:styleId="a1">
    <w:name w:val="批注框文本 字符"/>
    <w:link w:val="BalloonText"/>
    <w:qFormat/>
    <w:rPr>
      <w:kern w:val="2"/>
      <w:sz w:val="18"/>
      <w:szCs w:val="18"/>
    </w:rPr>
  </w:style>
  <w:style w:type="character" w:customStyle="1" w:styleId="1">
    <w:name w:val="标题 1 字符"/>
    <w:link w:val="Heading1"/>
    <w:qFormat/>
    <w:rPr>
      <w:rFonts w:ascii="黑体" w:eastAsia="黑体" w:hAnsi="黑体"/>
      <w:bCs/>
      <w:kern w:val="44"/>
      <w:sz w:val="30"/>
      <w:szCs w:val="30"/>
    </w:rPr>
  </w:style>
  <w:style w:type="character" w:customStyle="1" w:styleId="2">
    <w:name w:val="标题 2 字符"/>
    <w:link w:val="Heading2"/>
    <w:qFormat/>
    <w:rPr>
      <w:rFonts w:ascii="黑体" w:eastAsia="黑体"/>
      <w:bCs/>
      <w:sz w:val="28"/>
      <w:szCs w:val="28"/>
    </w:rPr>
  </w:style>
  <w:style w:type="character" w:customStyle="1" w:styleId="3">
    <w:name w:val="标题 3 字符"/>
    <w:link w:val="Heading3"/>
    <w:qFormat/>
    <w:rPr>
      <w:rFonts w:ascii="黑体" w:eastAsia="黑体"/>
      <w:bCs/>
      <w:sz w:val="24"/>
      <w:szCs w:val="32"/>
    </w:rPr>
  </w:style>
  <w:style w:type="character" w:customStyle="1" w:styleId="4">
    <w:name w:val="标题 4 字符"/>
    <w:link w:val="Heading4"/>
    <w:qFormat/>
    <w:rPr>
      <w:bCs/>
      <w:sz w:val="24"/>
      <w:szCs w:val="24"/>
    </w:rPr>
  </w:style>
  <w:style w:type="character" w:customStyle="1" w:styleId="a2">
    <w:name w:val="批注文字 字符"/>
    <w:basedOn w:val="DefaultParagraphFont"/>
    <w:link w:val="CommentText"/>
    <w:qFormat/>
    <w:rPr>
      <w:kern w:val="2"/>
      <w:sz w:val="21"/>
      <w:szCs w:val="24"/>
    </w:rPr>
  </w:style>
  <w:style w:type="character" w:customStyle="1" w:styleId="a3">
    <w:name w:val="批注主题 字符"/>
    <w:basedOn w:val="a2"/>
    <w:link w:val="CommentSubject"/>
    <w:qFormat/>
    <w:rPr>
      <w:b/>
      <w:bCs/>
      <w:kern w:val="2"/>
      <w:sz w:val="21"/>
      <w:szCs w:val="24"/>
    </w:rPr>
  </w:style>
  <w:style w:type="paragraph" w:customStyle="1" w:styleId="content">
    <w:name w:val="content"/>
    <w:basedOn w:val="Normal"/>
    <w:qFormat/>
    <w:pPr>
      <w:spacing w:line="450" w:lineRule="atLeast"/>
      <w:ind w:firstLine="480"/>
      <w:jc w:val="left"/>
    </w:pPr>
    <w:rPr>
      <w:rFonts w:eastAsia="Times New Roman"/>
      <w:color w:val="333333"/>
      <w:kern w:val="0"/>
      <w:sz w:val="24"/>
      <w:lang w:eastAsia="en-US"/>
    </w:rPr>
  </w:style>
  <w:style w:type="table" w:customStyle="1" w:styleId="TableGrid1">
    <w:name w:val="Table Grid_1"/>
    <w:basedOn w:val="TableNormal"/>
    <w:qFormat/>
    <w:pPr>
      <w:widowControl w:val="0"/>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修订1"/>
    <w:hidden/>
    <w:uiPriority w:val="99"/>
    <w:semiHidden/>
    <w:qFormat/>
    <w:pPr>
      <w:spacing w:line="300" w:lineRule="auto"/>
      <w:ind w:firstLine="200" w:firstLineChars="200"/>
      <w:jc w:val="both"/>
    </w:pPr>
    <w:rPr>
      <w:kern w:val="2"/>
      <w:sz w:val="21"/>
      <w:szCs w:val="24"/>
    </w:rPr>
  </w:style>
  <w:style w:type="paragraph" w:customStyle="1" w:styleId="z-1">
    <w:name w:val="z-窗体顶端1"/>
    <w:basedOn w:val="Normal"/>
    <w:next w:val="Normal"/>
    <w:link w:val="z-"/>
    <w:uiPriority w:val="99"/>
    <w:semiHidden/>
    <w:unhideWhenUsed/>
    <w:qFormat/>
    <w:pPr>
      <w:pBdr>
        <w:bottom w:val="single" w:sz="6" w:space="1" w:color="auto"/>
      </w:pBdr>
      <w:jc w:val="center"/>
    </w:pPr>
    <w:rPr>
      <w:rFonts w:ascii="Arial" w:hAnsi="Arial" w:cs="Arial"/>
      <w:vanish/>
      <w:kern w:val="0"/>
      <w:sz w:val="16"/>
      <w:szCs w:val="16"/>
    </w:rPr>
  </w:style>
  <w:style w:type="character" w:customStyle="1" w:styleId="z-">
    <w:name w:val="z-窗体顶端 字符"/>
    <w:basedOn w:val="DefaultParagraphFont"/>
    <w:link w:val="z-1"/>
    <w:uiPriority w:val="99"/>
    <w:semiHidden/>
    <w:qFormat/>
    <w:rPr>
      <w:rFonts w:ascii="Arial" w:hAnsi="Arial" w:cs="Arial"/>
      <w:vanish/>
      <w:sz w:val="16"/>
      <w:szCs w:val="16"/>
    </w:rPr>
  </w:style>
  <w:style w:type="paragraph" w:customStyle="1" w:styleId="z-10">
    <w:name w:val="z-窗体底端1"/>
    <w:basedOn w:val="Normal"/>
    <w:next w:val="Normal"/>
    <w:link w:val="z-0"/>
    <w:uiPriority w:val="99"/>
    <w:semiHidden/>
    <w:unhideWhenUsed/>
    <w:qFormat/>
    <w:pPr>
      <w:pBdr>
        <w:top w:val="single" w:sz="6" w:space="1" w:color="auto"/>
      </w:pBdr>
      <w:jc w:val="center"/>
    </w:pPr>
    <w:rPr>
      <w:rFonts w:ascii="Arial" w:hAnsi="Arial" w:cs="Arial"/>
      <w:vanish/>
      <w:kern w:val="0"/>
      <w:sz w:val="16"/>
      <w:szCs w:val="16"/>
    </w:rPr>
  </w:style>
  <w:style w:type="character" w:customStyle="1" w:styleId="z-0">
    <w:name w:val="z-窗体底端 字符"/>
    <w:basedOn w:val="DefaultParagraphFont"/>
    <w:link w:val="z-10"/>
    <w:uiPriority w:val="99"/>
    <w:semiHidden/>
    <w:qFormat/>
    <w:rPr>
      <w:rFonts w:ascii="Arial" w:hAnsi="Arial" w:cs="Arial"/>
      <w:vanish/>
      <w:sz w:val="16"/>
      <w:szCs w:val="16"/>
    </w:rPr>
  </w:style>
  <w:style w:type="table" w:customStyle="1" w:styleId="11">
    <w:name w:val="无格式表格 11"/>
    <w:basedOn w:val="TableNormal"/>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OC10">
    <w:name w:val="TOC 标题1"/>
    <w:basedOn w:val="Heading1"/>
    <w:next w:val="Normal"/>
    <w:uiPriority w:val="39"/>
    <w:unhideWhenUsed/>
    <w:qFormat/>
    <w:pPr>
      <w:tabs>
        <w:tab w:val="clear" w:pos="377"/>
      </w:tabs>
      <w:spacing w:before="240" w:after="0" w:line="259" w:lineRule="auto"/>
      <w:jc w:val="left"/>
      <w:outlineLvl w:val="9"/>
    </w:pPr>
    <w:rPr>
      <w:rFonts w:asciiTheme="majorHAnsi" w:eastAsiaTheme="majorEastAsia" w:hAnsiTheme="majorHAnsi" w:cstheme="majorBidi"/>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yperlink" Target="https://d.book118.com/517126116035006053" TargetMode="External"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footer" Target="footer13.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theme" Target="theme/theme1.xml" /><Relationship Id="rId4" Type="http://schemas.openxmlformats.org/officeDocument/2006/relationships/webSettings" Target="webSettings.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6AC52C3-46F0-49CA-99EB-2E19ADE7DEA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3421</Words>
  <Characters>19506</Characters>
  <Application>Microsoft Office Word</Application>
  <DocSecurity>0</DocSecurity>
  <Lines>162</Lines>
  <Paragraphs>45</Paragraphs>
  <ScaleCrop>false</ScaleCrop>
  <Company>sysxk</Company>
  <LinksUpToDate>false</LinksUpToDate>
  <CharactersWithSpaces>22882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兰州交通大学</dc:title>
  <dc:creator>sysxk</dc:creator>
  <cp:lastModifiedBy>世兴 王</cp:lastModifiedBy>
  <cp:revision>6</cp:revision>
  <cp:lastPrinted>2020-12-15T07:07:00Z</cp:lastPrinted>
  <dcterms:created xsi:type="dcterms:W3CDTF">2023-05-04T13:10:00Z</dcterms:created>
  <dcterms:modified xsi:type="dcterms:W3CDTF">2024-03-16T04:31:00Z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71757CD19E864A0DB1159DDD15383EE2_13</vt:lpwstr>
  </property>
  <property fmtid="{D5CDD505-2E9C-101B-9397-08002B2CF9AE}" pid="3" name="KSOProductBuildVer">
    <vt:lpwstr>2052-11.1.0.14036</vt:lpwstr>
  </property>
</Properties>
</file>