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19"/>
        </w:rPr>
      </w:pPr>
    </w:p>
    <w:p>
      <w:pPr>
        <w:pStyle w:val="Title"/>
        <w:spacing w:line="336" w:lineRule="auto"/>
      </w:pPr>
      <w:r>
        <w:rPr>
          <w:rFonts w:ascii="Times New Roman" w:eastAsia="Times New Roman"/>
        </w:rPr>
        <w:t>XX</w:t>
      </w:r>
      <w:r>
        <w:rPr>
          <w:rFonts w:ascii="Times New Roman" w:eastAsia="Times New Roman"/>
          <w:spacing w:val="-24"/>
        </w:rPr>
        <w:t xml:space="preserve"> </w:t>
      </w:r>
      <w:r>
        <w:t>地铁工程机电设备（风水电）</w:t>
      </w:r>
      <w:r>
        <w:rPr>
          <w:spacing w:val="-9"/>
        </w:rPr>
        <w:t>安装</w:t>
      </w:r>
      <w:r>
        <w:t>总承包项目七标段</w:t>
      </w:r>
    </w:p>
    <w:p>
      <w:pPr>
        <w:pStyle w:val="BodyText"/>
        <w:spacing w:before="9"/>
        <w:rPr>
          <w:rFonts w:ascii="宋体"/>
          <w:b/>
          <w:sz w:val="62"/>
        </w:rPr>
      </w:pPr>
    </w:p>
    <w:p>
      <w:pPr>
        <w:spacing w:before="0"/>
        <w:ind w:left="1714" w:right="2415" w:firstLine="0"/>
        <w:jc w:val="center"/>
        <w:rPr>
          <w:rFonts w:ascii="宋体" w:eastAsia="宋体" w:hint="eastAsia"/>
          <w:b/>
          <w:sz w:val="72"/>
        </w:rPr>
      </w:pPr>
      <w:r>
        <w:rPr>
          <w:rFonts w:ascii="Times New Roman" w:eastAsia="Times New Roman"/>
          <w:b/>
          <w:sz w:val="72"/>
        </w:rPr>
        <w:t>XX</w:t>
      </w:r>
      <w:r>
        <w:rPr>
          <w:rFonts w:ascii="Times New Roman" w:eastAsia="Times New Roman"/>
          <w:b/>
          <w:spacing w:val="-23"/>
          <w:sz w:val="72"/>
        </w:rPr>
        <w:t xml:space="preserve"> </w:t>
      </w:r>
      <w:r>
        <w:rPr>
          <w:rFonts w:ascii="宋体" w:eastAsia="宋体" w:hint="eastAsia"/>
          <w:b/>
          <w:sz w:val="72"/>
        </w:rPr>
        <w:t>站测量施工方案</w:t>
      </w: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spacing w:before="9"/>
        <w:rPr>
          <w:rFonts w:ascii="宋体"/>
          <w:b/>
          <w:sz w:val="10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4374896</wp:posOffset>
            </wp:positionH>
            <wp:positionV relativeFrom="paragraph">
              <wp:posOffset>112045</wp:posOffset>
            </wp:positionV>
            <wp:extent cx="2008796" cy="1845945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8796" cy="1845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spacing w:before="4"/>
        <w:rPr>
          <w:rFonts w:ascii="宋体"/>
          <w:b/>
          <w:sz w:val="16"/>
        </w:rPr>
      </w:pPr>
    </w:p>
    <w:tbl>
      <w:tblPr>
        <w:tblStyle w:val="TableNormal"/>
        <w:tblW w:w="0" w:type="auto"/>
        <w:jc w:val="left"/>
        <w:tblInd w:w="4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1"/>
        <w:gridCol w:w="629"/>
        <w:gridCol w:w="956"/>
        <w:gridCol w:w="4661"/>
      </w:tblGrid>
      <w:tr>
        <w:tblPrEx>
          <w:tblW w:w="0" w:type="auto"/>
          <w:jc w:val="left"/>
          <w:tblInd w:w="406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4"/>
          <w:jc w:val="left"/>
        </w:trPr>
        <w:tc>
          <w:tcPr>
            <w:tcW w:w="581" w:type="dxa"/>
          </w:tcPr>
          <w:p>
            <w:pPr>
              <w:pStyle w:val="TableParagraph"/>
              <w:spacing w:line="444" w:lineRule="exact"/>
              <w:ind w:left="53"/>
              <w:jc w:val="left"/>
              <w:rPr>
                <w:rFonts w:ascii="宋体" w:eastAsia="宋体" w:hint="eastAsia"/>
                <w:b/>
                <w:sz w:val="42"/>
              </w:rPr>
            </w:pPr>
            <w:r>
              <w:rPr>
                <w:rFonts w:ascii="宋体" w:eastAsia="宋体" w:hint="eastAsia"/>
                <w:b/>
                <w:w w:val="99"/>
                <w:sz w:val="42"/>
              </w:rPr>
              <w:t>编</w:t>
            </w:r>
          </w:p>
        </w:tc>
        <w:tc>
          <w:tcPr>
            <w:tcW w:w="629" w:type="dxa"/>
          </w:tcPr>
          <w:p>
            <w:pPr>
              <w:pStyle w:val="TableParagraph"/>
              <w:spacing w:line="444" w:lineRule="exact"/>
              <w:ind w:left="106"/>
              <w:jc w:val="left"/>
              <w:rPr>
                <w:rFonts w:ascii="宋体" w:eastAsia="宋体" w:hint="eastAsia"/>
                <w:b/>
                <w:sz w:val="42"/>
              </w:rPr>
            </w:pPr>
            <w:r>
              <w:rPr>
                <w:rFonts w:ascii="宋体" w:eastAsia="宋体" w:hint="eastAsia"/>
                <w:b/>
                <w:w w:val="99"/>
                <w:sz w:val="42"/>
              </w:rPr>
              <w:t>制</w:t>
            </w:r>
          </w:p>
        </w:tc>
        <w:tc>
          <w:tcPr>
            <w:tcW w:w="956" w:type="dxa"/>
          </w:tcPr>
          <w:p>
            <w:pPr>
              <w:pStyle w:val="TableParagraph"/>
              <w:spacing w:line="444" w:lineRule="exact"/>
              <w:ind w:left="111"/>
              <w:jc w:val="left"/>
              <w:rPr>
                <w:rFonts w:ascii="宋体" w:eastAsia="宋体" w:hint="eastAsia"/>
                <w:b/>
                <w:sz w:val="42"/>
              </w:rPr>
            </w:pPr>
            <w:r>
              <w:rPr>
                <w:rFonts w:ascii="宋体" w:eastAsia="宋体" w:hint="eastAsia"/>
                <w:b/>
                <w:sz w:val="42"/>
              </w:rPr>
              <w:t>人：</w:t>
            </w:r>
          </w:p>
        </w:tc>
        <w:tc>
          <w:tcPr>
            <w:tcW w:w="4661" w:type="dxa"/>
            <w:tcBorders>
              <w:bottom w:val="dashed" w:sz="1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406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19"/>
          <w:jc w:val="left"/>
        </w:trPr>
        <w:tc>
          <w:tcPr>
            <w:tcW w:w="581" w:type="dxa"/>
          </w:tcPr>
          <w:p>
            <w:pPr>
              <w:pStyle w:val="TableParagraph"/>
              <w:spacing w:before="39" w:line="936" w:lineRule="exact"/>
              <w:ind w:left="50" w:right="104" w:firstLine="3"/>
              <w:jc w:val="both"/>
              <w:rPr>
                <w:rFonts w:ascii="宋体" w:eastAsia="宋体" w:hint="eastAsia"/>
                <w:b/>
                <w:sz w:val="42"/>
              </w:rPr>
            </w:pPr>
            <w:r>
              <w:rPr>
                <w:rFonts w:ascii="宋体" w:eastAsia="宋体" w:hint="eastAsia"/>
                <w:b/>
                <w:sz w:val="42"/>
              </w:rPr>
              <w:t>审批日</w:t>
            </w:r>
          </w:p>
        </w:tc>
        <w:tc>
          <w:tcPr>
            <w:tcW w:w="629" w:type="dxa"/>
          </w:tcPr>
          <w:p>
            <w:pPr>
              <w:pStyle w:val="TableParagraph"/>
              <w:spacing w:before="368" w:line="417" w:lineRule="auto"/>
              <w:ind w:left="106" w:right="99"/>
              <w:jc w:val="left"/>
              <w:rPr>
                <w:rFonts w:ascii="宋体" w:eastAsia="宋体" w:hint="eastAsia"/>
                <w:b/>
                <w:sz w:val="42"/>
              </w:rPr>
            </w:pPr>
            <w:r>
              <w:rPr>
                <w:rFonts w:ascii="宋体" w:eastAsia="宋体" w:hint="eastAsia"/>
                <w:b/>
                <w:sz w:val="42"/>
              </w:rPr>
              <w:t>核准</w:t>
            </w:r>
          </w:p>
        </w:tc>
        <w:tc>
          <w:tcPr>
            <w:tcW w:w="956" w:type="dxa"/>
          </w:tcPr>
          <w:p>
            <w:pPr>
              <w:pStyle w:val="TableParagraph"/>
              <w:spacing w:before="39" w:line="936" w:lineRule="exact"/>
              <w:ind w:left="101" w:right="1" w:firstLine="10"/>
              <w:jc w:val="both"/>
              <w:rPr>
                <w:rFonts w:ascii="宋体" w:eastAsia="宋体" w:hint="eastAsia"/>
                <w:b/>
                <w:sz w:val="42"/>
              </w:rPr>
            </w:pPr>
            <w:r>
              <w:rPr>
                <w:rFonts w:ascii="宋体" w:eastAsia="宋体" w:hint="eastAsia"/>
                <w:b/>
                <w:sz w:val="42"/>
              </w:rPr>
              <w:t>人： 人： 期：</w:t>
            </w:r>
          </w:p>
        </w:tc>
        <w:tc>
          <w:tcPr>
            <w:tcW w:w="4661" w:type="dxa"/>
            <w:tcBorders>
              <w:top w:val="dashed" w:sz="18" w:space="0" w:color="000000"/>
            </w:tcBorders>
          </w:tcPr>
          <w:p>
            <w:pPr>
              <w:pStyle w:val="TableParagraph"/>
              <w:jc w:val="left"/>
              <w:rPr>
                <w:rFonts w:ascii="宋体"/>
                <w:b/>
                <w:sz w:val="20"/>
              </w:rPr>
            </w:pPr>
          </w:p>
          <w:p>
            <w:pPr>
              <w:pStyle w:val="TableParagraph"/>
              <w:jc w:val="left"/>
              <w:rPr>
                <w:rFonts w:ascii="宋体"/>
                <w:b/>
                <w:sz w:val="20"/>
              </w:rPr>
            </w:pPr>
          </w:p>
          <w:p>
            <w:pPr>
              <w:pStyle w:val="TableParagraph"/>
              <w:spacing w:before="6"/>
              <w:jc w:val="left"/>
              <w:rPr>
                <w:rFonts w:ascii="宋体"/>
                <w:b/>
                <w:sz w:val="28"/>
              </w:rPr>
            </w:pPr>
          </w:p>
          <w:p>
            <w:pPr>
              <w:pStyle w:val="TableParagraph"/>
              <w:spacing w:line="59" w:lineRule="exact"/>
              <w:ind w:left="-1" w:right="-29"/>
              <w:jc w:val="left"/>
              <w:rPr>
                <w:rFonts w:ascii="宋体"/>
                <w:sz w:val="5"/>
              </w:rPr>
            </w:pPr>
            <w:r>
              <w:rPr>
                <w:rFonts w:ascii="宋体"/>
                <w:position w:val="0"/>
                <w:sz w:val="5"/>
              </w:rPr>
              <w:drawing>
                <wp:inline distT="0" distB="0" distL="0" distR="0">
                  <wp:extent cx="2951702" cy="38004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3.png"/>
                          <pic:cNvPicPr/>
                        </pic:nvPicPr>
                        <pic:blipFill>
                          <a:blip xmlns:r="http://schemas.openxmlformats.org/officeDocument/2006/relationships"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1702" cy="38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jc w:val="left"/>
              <w:rPr>
                <w:rFonts w:ascii="宋体"/>
                <w:b/>
                <w:sz w:val="20"/>
              </w:rPr>
            </w:pPr>
          </w:p>
          <w:p>
            <w:pPr>
              <w:pStyle w:val="TableParagraph"/>
              <w:jc w:val="left"/>
              <w:rPr>
                <w:rFonts w:ascii="宋体"/>
                <w:b/>
                <w:sz w:val="20"/>
              </w:rPr>
            </w:pPr>
          </w:p>
          <w:p>
            <w:pPr>
              <w:pStyle w:val="TableParagraph"/>
              <w:spacing w:before="9"/>
              <w:jc w:val="left"/>
              <w:rPr>
                <w:rFonts w:ascii="宋体"/>
                <w:b/>
                <w:sz w:val="28"/>
              </w:rPr>
            </w:pPr>
          </w:p>
          <w:p>
            <w:pPr>
              <w:pStyle w:val="TableParagraph"/>
              <w:spacing w:line="59" w:lineRule="exact"/>
              <w:ind w:left="-1" w:right="-29"/>
              <w:jc w:val="left"/>
              <w:rPr>
                <w:rFonts w:ascii="宋体"/>
                <w:sz w:val="5"/>
              </w:rPr>
            </w:pPr>
            <w:r>
              <w:rPr>
                <w:rFonts w:ascii="宋体"/>
                <w:position w:val="0"/>
                <w:sz w:val="5"/>
              </w:rPr>
              <w:drawing>
                <wp:inline distT="0" distB="0" distL="0" distR="0">
                  <wp:extent cx="2951702" cy="38004"/>
                  <wp:effectExtent l="0" t="0" r="0" b="0"/>
                  <wp:docPr id="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3.png"/>
                          <pic:cNvPicPr/>
                        </pic:nvPicPr>
                        <pic:blipFill>
                          <a:blip xmlns:r="http://schemas.openxmlformats.org/officeDocument/2006/relationships"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1702" cy="38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BodyText"/>
        <w:spacing w:before="12"/>
        <w:rPr>
          <w:rFonts w:ascii="宋体"/>
          <w:b/>
          <w:sz w:val="2"/>
        </w:rPr>
      </w:pPr>
    </w:p>
    <w:p>
      <w:pPr>
        <w:pStyle w:val="BodyText"/>
        <w:spacing w:line="59" w:lineRule="exact"/>
        <w:ind w:left="6200"/>
        <w:rPr>
          <w:rFonts w:ascii="宋体"/>
          <w:sz w:val="5"/>
        </w:rPr>
      </w:pPr>
      <w:r>
        <w:rPr>
          <w:rFonts w:ascii="宋体"/>
          <w:position w:val="0"/>
          <w:sz w:val="5"/>
        </w:rPr>
        <w:drawing>
          <wp:inline distT="0" distB="0" distL="0" distR="0">
            <wp:extent cx="2964370" cy="38004"/>
            <wp:effectExtent l="0" t="0" r="0" b="0"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4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437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spacing w:before="10"/>
        <w:rPr>
          <w:rFonts w:ascii="宋体"/>
          <w:b/>
          <w:sz w:val="28"/>
        </w:rPr>
      </w:pPr>
    </w:p>
    <w:p>
      <w:pPr>
        <w:spacing w:before="99"/>
        <w:ind w:left="1274" w:right="2420" w:firstLine="0"/>
        <w:jc w:val="center"/>
        <w:rPr>
          <w:rFonts w:ascii="宋体" w:eastAsia="宋体" w:hint="eastAsia"/>
          <w:b/>
          <w:sz w:val="48"/>
        </w:rPr>
      </w:pPr>
      <w:r>
        <w:rPr>
          <w:rFonts w:ascii="Times New Roman" w:eastAsia="Times New Roman"/>
          <w:b/>
          <w:sz w:val="48"/>
        </w:rPr>
        <w:t xml:space="preserve">XXXX </w:t>
      </w:r>
      <w:r>
        <w:rPr>
          <w:rFonts w:ascii="宋体" w:eastAsia="宋体" w:hint="eastAsia"/>
          <w:b/>
          <w:sz w:val="48"/>
        </w:rPr>
        <w:t>集团有限公司</w:t>
      </w:r>
    </w:p>
    <w:p>
      <w:pPr>
        <w:spacing w:before="137"/>
        <w:ind w:left="1243" w:right="2420" w:firstLine="0"/>
        <w:jc w:val="center"/>
        <w:rPr>
          <w:rFonts w:ascii="宋体" w:eastAsia="宋体" w:hint="eastAsia"/>
          <w:b/>
          <w:sz w:val="48"/>
        </w:rPr>
      </w:pPr>
      <w:r>
        <w:rPr>
          <w:rFonts w:ascii="Times New Roman" w:eastAsia="Times New Roman"/>
          <w:b/>
          <w:sz w:val="48"/>
        </w:rPr>
        <w:t xml:space="preserve">XX </w:t>
      </w:r>
      <w:r>
        <w:rPr>
          <w:rFonts w:ascii="宋体" w:eastAsia="宋体" w:hint="eastAsia"/>
          <w:b/>
          <w:sz w:val="48"/>
        </w:rPr>
        <w:t>地铁风水电安装七标段项目经理部</w:t>
      </w:r>
    </w:p>
    <w:p>
      <w:pPr>
        <w:spacing w:after="0"/>
        <w:jc w:val="center"/>
        <w:rPr>
          <w:rFonts w:ascii="宋体" w:eastAsia="宋体" w:hint="eastAsia"/>
          <w:sz w:val="48"/>
        </w:rPr>
        <w:sectPr>
          <w:headerReference w:type="default" r:id="rId7"/>
          <w:footerReference w:type="default" r:id="rId8"/>
          <w:type w:val="continuous"/>
          <w:pgSz w:w="17860" w:h="25260"/>
          <w:pgMar w:top="1360" w:right="0" w:bottom="1400" w:left="680" w:header="1024" w:footer="1209"/>
          <w:cols w:space="708"/>
        </w:sect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spacing w:before="8"/>
        <w:rPr>
          <w:rFonts w:ascii="宋体"/>
          <w:b/>
          <w:sz w:val="17"/>
        </w:rPr>
      </w:pPr>
    </w:p>
    <w:p>
      <w:pPr>
        <w:tabs>
          <w:tab w:val="left" w:pos="1198"/>
        </w:tabs>
        <w:spacing w:before="32"/>
        <w:ind w:left="0" w:right="678" w:firstLine="0"/>
        <w:jc w:val="center"/>
        <w:rPr>
          <w:rFonts w:ascii="宋体" w:eastAsia="宋体" w:hint="eastAsia"/>
          <w:sz w:val="48"/>
        </w:rPr>
      </w:pPr>
      <w:r>
        <w:rPr>
          <w:rFonts w:ascii="宋体" w:eastAsia="宋体" w:hint="eastAsia"/>
          <w:sz w:val="48"/>
        </w:rPr>
        <w:t>目</w:t>
        <w:tab/>
        <w:t>录</w:t>
      </w:r>
    </w:p>
    <w:sdt>
      <w:sdtPr>
        <w:id w:val="144287203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right" w:leader="dot" w:pos="15001"/>
            </w:tabs>
            <w:spacing w:before="412"/>
            <w:rPr>
              <w:rFonts w:ascii="Times New Roman" w:eastAsia="Times New Roman"/>
              <w:b w:val="0"/>
            </w:rPr>
          </w:pPr>
          <w:hyperlink w:anchor="_TOC_250002" w:history="1">
            <w:r>
              <w:t>一．工程概况</w:t>
              <w:tab/>
            </w:r>
            <w:r>
              <w:rPr>
                <w:rFonts w:ascii="Times New Roman" w:eastAsia="Times New Roman"/>
                <w:b w:val="0"/>
              </w:rPr>
              <w:t>1</w:t>
            </w:r>
          </w:hyperlink>
        </w:p>
        <w:p>
          <w:pPr>
            <w:pStyle w:val="TOC1"/>
            <w:tabs>
              <w:tab w:val="right" w:leader="dot" w:pos="14999"/>
            </w:tabs>
            <w:rPr>
              <w:rFonts w:ascii="Times New Roman" w:eastAsia="Times New Roman"/>
              <w:b w:val="0"/>
            </w:rPr>
          </w:pPr>
          <w:r>
            <w:rPr>
              <w:spacing w:val="3"/>
            </w:rPr>
            <w:t>二</w:t>
          </w:r>
          <w:r>
            <w:t>.编制依据</w:t>
            <w:tab/>
          </w:r>
          <w:r>
            <w:rPr>
              <w:rFonts w:ascii="Times New Roman" w:eastAsia="Times New Roman"/>
              <w:b w:val="0"/>
            </w:rPr>
            <w:t>1</w:t>
          </w:r>
        </w:p>
        <w:p>
          <w:pPr>
            <w:pStyle w:val="TOC1"/>
            <w:tabs>
              <w:tab w:val="right" w:leader="dot" w:pos="15001"/>
            </w:tabs>
            <w:rPr>
              <w:rFonts w:ascii="Times New Roman" w:eastAsia="Times New Roman"/>
              <w:b w:val="0"/>
            </w:rPr>
          </w:pPr>
          <w:r>
            <w:t>三、施工准备</w:t>
            <w:tab/>
          </w:r>
          <w:r>
            <w:rPr>
              <w:rFonts w:ascii="Times New Roman" w:eastAsia="Times New Roman"/>
              <w:b w:val="0"/>
            </w:rPr>
            <w:t>1</w:t>
          </w:r>
        </w:p>
        <w:p>
          <w:pPr>
            <w:pStyle w:val="TOC2"/>
            <w:numPr>
              <w:ilvl w:val="1"/>
              <w:numId w:val="6"/>
            </w:numPr>
            <w:tabs>
              <w:tab w:val="left" w:pos="2669"/>
              <w:tab w:val="right" w:leader="dot" w:pos="14982"/>
            </w:tabs>
            <w:spacing w:before="398" w:after="0" w:line="240" w:lineRule="auto"/>
            <w:ind w:left="2668" w:right="0" w:hanging="735"/>
            <w:jc w:val="left"/>
            <w:rPr>
              <w:rFonts w:ascii="Times New Roman" w:eastAsia="Times New Roman"/>
            </w:rPr>
          </w:pPr>
          <w:r>
            <w:t>测量及验线人员</w:t>
            <w:tab/>
          </w:r>
          <w:r>
            <w:rPr>
              <w:rFonts w:ascii="Times New Roman" w:eastAsia="Times New Roman"/>
            </w:rPr>
            <w:t>1</w:t>
          </w:r>
        </w:p>
        <w:p>
          <w:pPr>
            <w:pStyle w:val="TOC2"/>
            <w:numPr>
              <w:ilvl w:val="1"/>
              <w:numId w:val="6"/>
            </w:numPr>
            <w:tabs>
              <w:tab w:val="left" w:pos="2669"/>
              <w:tab w:val="right" w:leader="dot" w:pos="14982"/>
            </w:tabs>
            <w:spacing w:before="398" w:after="0" w:line="240" w:lineRule="auto"/>
            <w:ind w:left="2668" w:right="0" w:hanging="735"/>
            <w:jc w:val="left"/>
            <w:rPr>
              <w:rFonts w:ascii="Times New Roman" w:eastAsia="Times New Roman"/>
            </w:rPr>
          </w:pPr>
          <w:r>
            <w:t>测量器具准备</w:t>
            <w:tab/>
          </w:r>
          <w:r>
            <w:rPr>
              <w:rFonts w:ascii="Times New Roman" w:eastAsia="Times New Roman"/>
            </w:rPr>
            <w:t>2</w:t>
          </w:r>
        </w:p>
        <w:p>
          <w:pPr>
            <w:pStyle w:val="TOC2"/>
            <w:numPr>
              <w:ilvl w:val="1"/>
              <w:numId w:val="6"/>
            </w:numPr>
            <w:tabs>
              <w:tab w:val="left" w:pos="2669"/>
              <w:tab w:val="right" w:leader="dot" w:pos="14985"/>
            </w:tabs>
            <w:spacing w:before="398" w:after="0" w:line="240" w:lineRule="auto"/>
            <w:ind w:left="2668" w:right="0" w:hanging="735"/>
            <w:jc w:val="left"/>
            <w:rPr>
              <w:rFonts w:ascii="Times New Roman" w:eastAsia="Times New Roman"/>
            </w:rPr>
          </w:pPr>
          <w:r>
            <w:t>技术准备</w:t>
            <w:tab/>
          </w:r>
          <w:r>
            <w:rPr>
              <w:rFonts w:ascii="Times New Roman" w:eastAsia="Times New Roman"/>
            </w:rPr>
            <w:t>2</w:t>
          </w:r>
        </w:p>
        <w:p>
          <w:pPr>
            <w:pStyle w:val="TOC1"/>
            <w:tabs>
              <w:tab w:val="right" w:leader="dot" w:pos="14935"/>
            </w:tabs>
            <w:rPr>
              <w:rFonts w:ascii="Times New Roman" w:eastAsia="Times New Roman"/>
              <w:b w:val="0"/>
            </w:rPr>
          </w:pPr>
          <w:hyperlink w:anchor="_TOC_250001" w:history="1">
            <w:r>
              <w:t>四、高程系统、平面控制网的测设</w:t>
              <w:tab/>
            </w:r>
            <w:r>
              <w:rPr>
                <w:rFonts w:ascii="Times New Roman" w:eastAsia="Times New Roman"/>
                <w:b w:val="0"/>
              </w:rPr>
              <w:t>2</w:t>
            </w:r>
          </w:hyperlink>
        </w:p>
        <w:p>
          <w:pPr>
            <w:pStyle w:val="TOC2"/>
            <w:numPr>
              <w:ilvl w:val="1"/>
              <w:numId w:val="4"/>
            </w:numPr>
            <w:tabs>
              <w:tab w:val="left" w:pos="2773"/>
              <w:tab w:val="right" w:leader="dot" w:pos="14977"/>
            </w:tabs>
            <w:spacing w:before="398" w:after="0" w:line="240" w:lineRule="auto"/>
            <w:ind w:left="2773" w:right="0" w:hanging="839"/>
            <w:jc w:val="left"/>
            <w:rPr>
              <w:rFonts w:ascii="Times New Roman" w:eastAsia="Times New Roman"/>
            </w:rPr>
          </w:pPr>
          <w:r>
            <w:t>高程控制系统的设置</w:t>
            <w:tab/>
          </w:r>
          <w:r>
            <w:rPr>
              <w:rFonts w:ascii="Times New Roman" w:eastAsia="Times New Roman"/>
            </w:rPr>
            <w:t>2</w:t>
          </w:r>
        </w:p>
        <w:p>
          <w:pPr>
            <w:pStyle w:val="TOC2"/>
            <w:numPr>
              <w:ilvl w:val="1"/>
              <w:numId w:val="4"/>
            </w:numPr>
            <w:tabs>
              <w:tab w:val="left" w:pos="2773"/>
              <w:tab w:val="right" w:leader="dot" w:pos="14981"/>
            </w:tabs>
            <w:spacing w:before="398" w:after="0" w:line="240" w:lineRule="auto"/>
            <w:ind w:left="2773" w:right="0" w:hanging="839"/>
            <w:jc w:val="left"/>
            <w:rPr>
              <w:rFonts w:ascii="Times New Roman" w:eastAsia="Times New Roman"/>
            </w:rPr>
          </w:pPr>
          <w:r>
            <w:t>控制网的测设</w:t>
            <w:tab/>
          </w:r>
          <w:r>
            <w:rPr>
              <w:rFonts w:ascii="Times New Roman" w:eastAsia="Times New Roman"/>
            </w:rPr>
            <w:t>4</w:t>
          </w:r>
        </w:p>
        <w:p>
          <w:pPr>
            <w:pStyle w:val="TOC1"/>
            <w:tabs>
              <w:tab w:val="right" w:leader="dot" w:pos="14950"/>
            </w:tabs>
            <w:rPr>
              <w:rFonts w:ascii="Times New Roman" w:eastAsia="Times New Roman"/>
              <w:b w:val="0"/>
            </w:rPr>
          </w:pPr>
          <w:hyperlink w:anchor="_TOC_250000" w:history="1">
            <w:r>
              <w:t>五、测量控制措施、要点</w:t>
              <w:tab/>
            </w:r>
            <w:r>
              <w:rPr>
                <w:rFonts w:ascii="Times New Roman" w:eastAsia="Times New Roman"/>
                <w:b w:val="0"/>
              </w:rPr>
              <w:t>7</w:t>
            </w:r>
          </w:hyperlink>
        </w:p>
      </w:sdtContent>
    </w:sdt>
    <w:p>
      <w:pPr>
        <w:spacing w:after="0"/>
        <w:rPr>
          <w:rFonts w:ascii="Times New Roman" w:eastAsia="Times New Roman"/>
        </w:rPr>
        <w:sectPr>
          <w:headerReference w:type="default" r:id="rId9"/>
          <w:footerReference w:type="default" r:id="rId10"/>
          <w:pgSz w:w="17860" w:h="25260"/>
          <w:pgMar w:top="1360" w:right="0" w:bottom="1400" w:left="680" w:header="1024" w:footer="1209"/>
          <w:pgNumType w:start="2"/>
          <w:cols w:space="708"/>
        </w:sect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4"/>
        <w:rPr>
          <w:rFonts w:ascii="Times New Roman"/>
          <w:sz w:val="51"/>
        </w:rPr>
      </w:pPr>
    </w:p>
    <w:p>
      <w:pPr>
        <w:pStyle w:val="Heading1"/>
      </w:pPr>
      <w:bookmarkStart w:id="0" w:name="_TOC_250002"/>
      <w:bookmarkEnd w:id="0"/>
      <w:r>
        <w:t>一．工程概况</w:t>
      </w:r>
    </w:p>
    <w:p>
      <w:pPr>
        <w:pStyle w:val="BodyText"/>
        <w:rPr>
          <w:b/>
          <w:sz w:val="31"/>
        </w:rPr>
      </w:pPr>
    </w:p>
    <w:p>
      <w:pPr>
        <w:pStyle w:val="BodyText"/>
        <w:spacing w:before="1" w:line="417" w:lineRule="auto"/>
        <w:ind w:left="1617" w:right="2405" w:firstLine="838"/>
      </w:pPr>
      <w:r>
        <w:t>XX</w:t>
      </w:r>
      <w:r>
        <w:rPr>
          <w:spacing w:val="-48"/>
        </w:rPr>
        <w:t xml:space="preserve"> 地铁 </w:t>
      </w:r>
      <w:r>
        <w:t>2</w:t>
      </w:r>
      <w:r>
        <w:rPr>
          <w:spacing w:val="-12"/>
        </w:rPr>
        <w:t xml:space="preserve"> 号线为贯穿西部南北和南部东西方向的骨干线，北起哈大</w:t>
      </w:r>
      <w:r>
        <w:rPr>
          <w:spacing w:val="-6"/>
        </w:rPr>
        <w:t xml:space="preserve">客运专线的南关岭站，东至东海公园，线路长度 </w:t>
      </w:r>
      <w:r>
        <w:t>36.559</w:t>
      </w:r>
      <w:r>
        <w:rPr>
          <w:spacing w:val="-29"/>
        </w:rPr>
        <w:t xml:space="preserve"> 公里。</w:t>
      </w:r>
    </w:p>
    <w:p>
      <w:pPr>
        <w:pStyle w:val="BodyText"/>
        <w:spacing w:line="417" w:lineRule="auto"/>
        <w:ind w:left="1617" w:right="2283" w:firstLine="838"/>
        <w:rPr>
          <w:b/>
        </w:rPr>
      </w:pPr>
      <w:r>
        <w:t>XX 站为地下二层车站，地下一层是站厅层，地下二层为站台层，车</w:t>
      </w:r>
      <w:r>
        <w:rPr>
          <w:spacing w:val="-20"/>
        </w:rPr>
        <w:t xml:space="preserve">站总长度 </w:t>
      </w:r>
      <w:r>
        <w:t>180.4</w:t>
      </w:r>
      <w:r>
        <w:rPr>
          <w:spacing w:val="-26"/>
        </w:rPr>
        <w:t xml:space="preserve"> 米，车站标准段宽度 </w:t>
      </w:r>
      <w:r>
        <w:t>18.5</w:t>
      </w:r>
      <w:r>
        <w:rPr>
          <w:spacing w:val="-35"/>
        </w:rPr>
        <w:t xml:space="preserve"> 米，站台宽度 </w:t>
      </w:r>
      <w:r>
        <w:t>10</w:t>
      </w:r>
      <w:r>
        <w:rPr>
          <w:spacing w:val="-26"/>
        </w:rPr>
        <w:t xml:space="preserve"> 米，有效站台</w:t>
      </w:r>
      <w:r>
        <w:rPr>
          <w:spacing w:val="-34"/>
        </w:rPr>
        <w:t xml:space="preserve">长度 </w:t>
      </w:r>
      <w:r>
        <w:t>118</w:t>
      </w:r>
      <w:r>
        <w:rPr>
          <w:spacing w:val="-28"/>
        </w:rPr>
        <w:t xml:space="preserve"> 米。整体建筑面积 </w:t>
      </w:r>
      <w:r>
        <w:t>9454</w:t>
      </w:r>
      <w:r>
        <w:rPr>
          <w:spacing w:val="-26"/>
        </w:rPr>
        <w:t xml:space="preserve"> ㎡，站厅公共区面积 </w:t>
      </w:r>
      <w:r>
        <w:t>1316</w:t>
      </w:r>
      <w:r>
        <w:rPr>
          <w:spacing w:val="-27"/>
        </w:rPr>
        <w:t xml:space="preserve"> ㎡，站台公共</w:t>
      </w:r>
      <w:r>
        <w:rPr>
          <w:spacing w:val="-25"/>
        </w:rPr>
        <w:t xml:space="preserve">区面积 </w:t>
      </w:r>
      <w:r>
        <w:t>1104</w:t>
      </w:r>
      <w:r>
        <w:rPr>
          <w:spacing w:val="-31"/>
        </w:rPr>
        <w:t xml:space="preserve"> ㎡。本工程中设计起点里程 </w:t>
      </w:r>
      <w:r>
        <w:t>DK16+396.949</w:t>
      </w:r>
      <w:r>
        <w:rPr>
          <w:spacing w:val="-16"/>
        </w:rPr>
        <w:t xml:space="preserve"> 至车站设计终点里</w:t>
      </w:r>
      <w:r>
        <w:rPr>
          <w:spacing w:val="104"/>
        </w:rPr>
        <w:t>程</w:t>
      </w:r>
      <w:r>
        <w:t>DK16+577.349</w:t>
      </w:r>
      <w:r>
        <w:rPr>
          <w:spacing w:val="-6"/>
        </w:rPr>
        <w:t xml:space="preserve">。车站主体与附属部分以沉降缝分界。总长 </w:t>
      </w:r>
      <w:r>
        <w:t>180.4</w:t>
      </w:r>
      <w:r>
        <w:rPr>
          <w:spacing w:val="-35"/>
        </w:rPr>
        <w:t xml:space="preserve"> 米。</w:t>
      </w:r>
      <w:r>
        <w:rPr>
          <w:b/>
        </w:rPr>
        <w:t>二.编制依据</w:t>
      </w:r>
    </w:p>
    <w:p>
      <w:pPr>
        <w:pStyle w:val="BodyText"/>
        <w:spacing w:line="537" w:lineRule="exact"/>
        <w:ind w:left="2456"/>
      </w:pPr>
      <w:r>
        <w:t>国家相关法律、标准规范及地方标准规范；</w:t>
      </w:r>
    </w:p>
    <w:p>
      <w:pPr>
        <w:pStyle w:val="BodyText"/>
        <w:spacing w:before="12"/>
        <w:rPr>
          <w:sz w:val="30"/>
        </w:rPr>
      </w:pPr>
    </w:p>
    <w:p>
      <w:pPr>
        <w:pStyle w:val="BodyText"/>
        <w:spacing w:line="417" w:lineRule="auto"/>
        <w:ind w:left="2456" w:right="11247"/>
      </w:pPr>
      <w:r>
        <w:t>XX</w:t>
      </w:r>
      <w:r>
        <w:rPr>
          <w:spacing w:val="-15"/>
        </w:rPr>
        <w:t xml:space="preserve"> 站施工图纸； XX</w:t>
      </w:r>
      <w:r>
        <w:rPr>
          <w:spacing w:val="-16"/>
        </w:rPr>
        <w:t xml:space="preserve"> 站施工组织设计</w:t>
      </w:r>
      <w:r>
        <w:t>建筑施工测量手册</w:t>
      </w:r>
    </w:p>
    <w:p>
      <w:pPr>
        <w:pStyle w:val="BodyText"/>
        <w:spacing w:line="538" w:lineRule="exact"/>
        <w:ind w:left="2456"/>
      </w:pPr>
      <w:r>
        <w:t>《工程测量规范》GB50026-93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417" w:lineRule="auto"/>
        <w:ind w:left="1617" w:right="6310" w:firstLine="838"/>
        <w:rPr>
          <w:b/>
        </w:rPr>
      </w:pPr>
      <w:r>
        <w:t xml:space="preserve">《城市轨道交通工程测量规范》GB50308-2008 </w:t>
      </w:r>
      <w:r>
        <w:rPr>
          <w:b/>
        </w:rPr>
        <w:t>三、施工准备</w:t>
      </w:r>
    </w:p>
    <w:p>
      <w:pPr>
        <w:pStyle w:val="ListParagraph"/>
        <w:numPr>
          <w:ilvl w:val="1"/>
          <w:numId w:val="3"/>
        </w:numPr>
        <w:tabs>
          <w:tab w:val="left" w:pos="3191"/>
        </w:tabs>
        <w:spacing w:before="0" w:after="0" w:line="537" w:lineRule="exact"/>
        <w:ind w:left="3190" w:right="0" w:hanging="735"/>
        <w:jc w:val="left"/>
        <w:rPr>
          <w:sz w:val="42"/>
        </w:rPr>
      </w:pPr>
      <w:r>
        <w:rPr>
          <w:sz w:val="42"/>
        </w:rPr>
        <w:t>测量及验线人员</w:t>
      </w:r>
    </w:p>
    <w:p>
      <w:pPr>
        <w:pStyle w:val="BodyText"/>
        <w:spacing w:before="2"/>
        <w:rPr>
          <w:sz w:val="31"/>
        </w:rPr>
      </w:pPr>
    </w:p>
    <w:p>
      <w:pPr>
        <w:pStyle w:val="BodyText"/>
        <w:spacing w:line="417" w:lineRule="auto"/>
        <w:ind w:left="1617" w:right="2081" w:firstLine="838"/>
      </w:pPr>
      <w:r>
        <w:rPr>
          <w:spacing w:val="-1"/>
        </w:rPr>
        <w:t>测量及验线人员是经过培训、考核，持证上岗，掌握并运用国家、地方有关现行标准规范，熟悉施工现场各种测量工作和熟练使用测量仪器。</w:t>
      </w:r>
      <w:r>
        <w:t xml:space="preserve">随工程进度在完成施工测量方案、水准点引测成果及施工过程中各种测 </w:t>
      </w:r>
      <w:r>
        <w:rPr>
          <w:spacing w:val="-1"/>
        </w:rPr>
        <w:t>量、记录后，填写《工程定位测量、放线验收记录》报监理单位、设计单</w:t>
      </w:r>
      <w:r>
        <w:t>位审核并验线。</w:t>
      </w:r>
    </w:p>
    <w:p>
      <w:pPr>
        <w:spacing w:after="0" w:line="417" w:lineRule="auto"/>
        <w:sectPr>
          <w:headerReference w:type="default" r:id="rId11"/>
          <w:footerReference w:type="default" r:id="rId12"/>
          <w:pgSz w:w="17860" w:h="25260"/>
          <w:pgMar w:top="1360" w:right="0" w:bottom="1400" w:left="680" w:header="1024" w:footer="1209"/>
          <w:pgNumType w:start="3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3"/>
        </w:rPr>
      </w:pPr>
    </w:p>
    <w:p>
      <w:pPr>
        <w:pStyle w:val="BodyText"/>
        <w:spacing w:before="42" w:line="417" w:lineRule="auto"/>
        <w:ind w:left="1617" w:right="2072" w:firstLine="838"/>
      </w:pPr>
      <w:r>
        <w:rPr>
          <w:spacing w:val="-14"/>
        </w:rPr>
        <w:t>施工测量管理内容包括：编制施工测量方案、水准点引测成果复查及施工过程中各种测量、填写记录（含定位测量、高程引测、轴线竖向投测</w:t>
      </w:r>
      <w:r>
        <w:rPr>
          <w:spacing w:val="-24"/>
        </w:rPr>
        <w:t>控制线、各层墙柱轴线控制线、墙柱边线、门窗洞口位置线、垂直度偏差、</w:t>
      </w:r>
      <w:r>
        <w:t>楼层+1m</w:t>
      </w:r>
      <w:r>
        <w:rPr>
          <w:spacing w:val="-17"/>
        </w:rPr>
        <w:t xml:space="preserve"> 水平控制线等</w:t>
      </w:r>
      <w:r>
        <w:rPr>
          <w:spacing w:val="-217"/>
        </w:rPr>
        <w:t>）</w:t>
      </w:r>
      <w:r>
        <w:t>。</w:t>
      </w:r>
    </w:p>
    <w:p>
      <w:pPr>
        <w:pStyle w:val="ListParagraph"/>
        <w:numPr>
          <w:ilvl w:val="1"/>
          <w:numId w:val="3"/>
        </w:numPr>
        <w:tabs>
          <w:tab w:val="left" w:pos="3191"/>
        </w:tabs>
        <w:spacing w:before="0" w:after="0" w:line="537" w:lineRule="exact"/>
        <w:ind w:left="3190" w:right="0" w:hanging="735"/>
        <w:jc w:val="left"/>
        <w:rPr>
          <w:sz w:val="42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1485900</wp:posOffset>
            </wp:positionH>
            <wp:positionV relativeFrom="paragraph">
              <wp:posOffset>501046</wp:posOffset>
            </wp:positionV>
            <wp:extent cx="8373713" cy="2394299"/>
            <wp:effectExtent l="0" t="0" r="0" b="0"/>
            <wp:wrapNone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5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73713" cy="2394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w:t>测量器具准备</w:t>
      </w:r>
    </w:p>
    <w:p>
      <w:pPr>
        <w:pStyle w:val="BodyText"/>
        <w:spacing w:before="10"/>
        <w:rPr>
          <w:sz w:val="27"/>
        </w:rPr>
      </w:pPr>
    </w:p>
    <w:tbl>
      <w:tblPr>
        <w:tblStyle w:val="TableNormal0"/>
        <w:tblW w:w="0" w:type="auto"/>
        <w:jc w:val="left"/>
        <w:tblInd w:w="1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0"/>
        <w:gridCol w:w="2272"/>
        <w:gridCol w:w="2497"/>
        <w:gridCol w:w="2769"/>
        <w:gridCol w:w="3045"/>
        <w:gridCol w:w="1271"/>
      </w:tblGrid>
      <w:tr>
        <w:tblPrEx>
          <w:tblW w:w="0" w:type="auto"/>
          <w:jc w:val="left"/>
          <w:tblInd w:w="180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2"/>
          <w:jc w:val="left"/>
        </w:trPr>
        <w:tc>
          <w:tcPr>
            <w:tcW w:w="950" w:type="dxa"/>
          </w:tcPr>
          <w:p>
            <w:pPr>
              <w:pStyle w:val="TableParagraph"/>
              <w:spacing w:line="411" w:lineRule="exact"/>
              <w:ind w:left="30" w:right="159"/>
              <w:rPr>
                <w:sz w:val="36"/>
              </w:rPr>
            </w:pPr>
            <w:r>
              <w:rPr>
                <w:sz w:val="36"/>
              </w:rPr>
              <w:t>序号</w:t>
            </w:r>
          </w:p>
        </w:tc>
        <w:tc>
          <w:tcPr>
            <w:tcW w:w="2272" w:type="dxa"/>
          </w:tcPr>
          <w:p>
            <w:pPr>
              <w:pStyle w:val="TableParagraph"/>
              <w:spacing w:line="411" w:lineRule="exact"/>
              <w:ind w:left="161" w:right="271"/>
              <w:rPr>
                <w:sz w:val="36"/>
              </w:rPr>
            </w:pPr>
            <w:r>
              <w:rPr>
                <w:sz w:val="36"/>
              </w:rPr>
              <w:t>名称</w:t>
            </w:r>
          </w:p>
        </w:tc>
        <w:tc>
          <w:tcPr>
            <w:tcW w:w="2497" w:type="dxa"/>
          </w:tcPr>
          <w:p>
            <w:pPr>
              <w:pStyle w:val="TableParagraph"/>
              <w:spacing w:line="411" w:lineRule="exact"/>
              <w:ind w:left="273" w:right="564"/>
              <w:rPr>
                <w:sz w:val="36"/>
              </w:rPr>
            </w:pPr>
            <w:r>
              <w:rPr>
                <w:sz w:val="36"/>
              </w:rPr>
              <w:t>型号</w:t>
            </w:r>
          </w:p>
        </w:tc>
        <w:tc>
          <w:tcPr>
            <w:tcW w:w="2769" w:type="dxa"/>
          </w:tcPr>
          <w:p>
            <w:pPr>
              <w:pStyle w:val="TableParagraph"/>
              <w:spacing w:line="411" w:lineRule="exact"/>
              <w:ind w:left="566" w:right="723"/>
              <w:rPr>
                <w:sz w:val="36"/>
              </w:rPr>
            </w:pPr>
            <w:r>
              <w:rPr>
                <w:sz w:val="36"/>
              </w:rPr>
              <w:t>产地厂家</w:t>
            </w:r>
          </w:p>
        </w:tc>
        <w:tc>
          <w:tcPr>
            <w:tcW w:w="3045" w:type="dxa"/>
          </w:tcPr>
          <w:p>
            <w:pPr>
              <w:pStyle w:val="TableParagraph"/>
              <w:spacing w:line="411" w:lineRule="exact"/>
              <w:ind w:left="723" w:right="482"/>
              <w:rPr>
                <w:sz w:val="36"/>
              </w:rPr>
            </w:pPr>
            <w:r>
              <w:rPr>
                <w:sz w:val="36"/>
              </w:rPr>
              <w:t>主要用途</w:t>
            </w:r>
          </w:p>
        </w:tc>
        <w:tc>
          <w:tcPr>
            <w:tcW w:w="1271" w:type="dxa"/>
          </w:tcPr>
          <w:p>
            <w:pPr>
              <w:pStyle w:val="TableParagraph"/>
              <w:spacing w:line="411" w:lineRule="exact"/>
              <w:ind w:right="50"/>
              <w:jc w:val="right"/>
              <w:rPr>
                <w:sz w:val="36"/>
              </w:rPr>
            </w:pPr>
            <w:r>
              <w:rPr>
                <w:sz w:val="36"/>
              </w:rPr>
              <w:t>数量</w:t>
            </w:r>
          </w:p>
        </w:tc>
      </w:tr>
      <w:tr>
        <w:tblPrEx>
          <w:tblW w:w="0" w:type="auto"/>
          <w:jc w:val="left"/>
          <w:tblInd w:w="180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90"/>
          <w:jc w:val="left"/>
        </w:trPr>
        <w:tc>
          <w:tcPr>
            <w:tcW w:w="950" w:type="dxa"/>
          </w:tcPr>
          <w:p>
            <w:pPr>
              <w:pStyle w:val="TableParagraph"/>
              <w:spacing w:before="71"/>
              <w:ind w:right="129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2272" w:type="dxa"/>
          </w:tcPr>
          <w:p>
            <w:pPr>
              <w:pStyle w:val="TableParagraph"/>
              <w:spacing w:before="71"/>
              <w:ind w:left="161" w:right="271"/>
              <w:rPr>
                <w:sz w:val="36"/>
              </w:rPr>
            </w:pPr>
            <w:r>
              <w:rPr>
                <w:sz w:val="36"/>
              </w:rPr>
              <w:t>全站仪</w:t>
            </w:r>
          </w:p>
        </w:tc>
        <w:tc>
          <w:tcPr>
            <w:tcW w:w="2497" w:type="dxa"/>
          </w:tcPr>
          <w:p>
            <w:pPr>
              <w:pStyle w:val="TableParagraph"/>
              <w:spacing w:before="71"/>
              <w:ind w:left="273" w:right="564"/>
              <w:rPr>
                <w:sz w:val="36"/>
              </w:rPr>
            </w:pPr>
            <w:r>
              <w:rPr>
                <w:sz w:val="36"/>
              </w:rPr>
              <w:t>BTS-802CL</w:t>
            </w:r>
          </w:p>
        </w:tc>
        <w:tc>
          <w:tcPr>
            <w:tcW w:w="2769" w:type="dxa"/>
          </w:tcPr>
          <w:p>
            <w:pPr>
              <w:pStyle w:val="TableParagraph"/>
              <w:spacing w:before="71"/>
              <w:ind w:left="566" w:right="723"/>
              <w:rPr>
                <w:sz w:val="36"/>
              </w:rPr>
            </w:pPr>
            <w:r>
              <w:rPr>
                <w:sz w:val="36"/>
              </w:rPr>
              <w:t>北京博飞</w:t>
            </w:r>
          </w:p>
        </w:tc>
        <w:tc>
          <w:tcPr>
            <w:tcW w:w="3045" w:type="dxa"/>
          </w:tcPr>
          <w:p>
            <w:pPr>
              <w:pStyle w:val="TableParagraph"/>
              <w:spacing w:before="71"/>
              <w:ind w:left="723" w:right="482"/>
              <w:rPr>
                <w:sz w:val="36"/>
              </w:rPr>
            </w:pPr>
            <w:r>
              <w:rPr>
                <w:sz w:val="36"/>
              </w:rPr>
              <w:t>测量、放样</w:t>
            </w:r>
          </w:p>
        </w:tc>
        <w:tc>
          <w:tcPr>
            <w:tcW w:w="1271" w:type="dxa"/>
          </w:tcPr>
          <w:p>
            <w:pPr>
              <w:pStyle w:val="TableParagraph"/>
              <w:spacing w:before="71"/>
              <w:ind w:right="95"/>
              <w:jc w:val="right"/>
              <w:rPr>
                <w:sz w:val="36"/>
              </w:rPr>
            </w:pPr>
            <w:r>
              <w:rPr>
                <w:sz w:val="36"/>
              </w:rPr>
              <w:t>1 台</w:t>
            </w:r>
          </w:p>
        </w:tc>
      </w:tr>
      <w:tr>
        <w:tblPrEx>
          <w:tblW w:w="0" w:type="auto"/>
          <w:jc w:val="left"/>
          <w:tblInd w:w="180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3"/>
          <w:jc w:val="left"/>
        </w:trPr>
        <w:tc>
          <w:tcPr>
            <w:tcW w:w="950" w:type="dxa"/>
          </w:tcPr>
          <w:p>
            <w:pPr>
              <w:pStyle w:val="TableParagraph"/>
              <w:spacing w:before="57" w:line="455" w:lineRule="exact"/>
              <w:ind w:right="129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2272" w:type="dxa"/>
          </w:tcPr>
          <w:p>
            <w:pPr>
              <w:pStyle w:val="TableParagraph"/>
              <w:spacing w:before="57" w:line="455" w:lineRule="exact"/>
              <w:ind w:left="161" w:right="271"/>
              <w:rPr>
                <w:sz w:val="36"/>
              </w:rPr>
            </w:pPr>
            <w:r>
              <w:rPr>
                <w:sz w:val="36"/>
              </w:rPr>
              <w:t>经纬仪</w:t>
            </w:r>
          </w:p>
        </w:tc>
        <w:tc>
          <w:tcPr>
            <w:tcW w:w="2497" w:type="dxa"/>
          </w:tcPr>
          <w:p>
            <w:pPr>
              <w:pStyle w:val="TableParagraph"/>
              <w:spacing w:before="57" w:line="455" w:lineRule="exact"/>
              <w:ind w:left="273" w:right="564"/>
              <w:rPr>
                <w:sz w:val="36"/>
              </w:rPr>
            </w:pPr>
            <w:r>
              <w:rPr>
                <w:sz w:val="36"/>
              </w:rPr>
              <w:t>DE2A-L</w:t>
            </w:r>
          </w:p>
        </w:tc>
        <w:tc>
          <w:tcPr>
            <w:tcW w:w="2769" w:type="dxa"/>
          </w:tcPr>
          <w:p>
            <w:pPr>
              <w:pStyle w:val="TableParagraph"/>
              <w:spacing w:before="57" w:line="455" w:lineRule="exact"/>
              <w:ind w:left="566" w:right="723"/>
              <w:rPr>
                <w:sz w:val="36"/>
              </w:rPr>
            </w:pPr>
            <w:r>
              <w:rPr>
                <w:sz w:val="36"/>
              </w:rPr>
              <w:t>常州大地</w:t>
            </w:r>
          </w:p>
        </w:tc>
        <w:tc>
          <w:tcPr>
            <w:tcW w:w="3045" w:type="dxa"/>
          </w:tcPr>
          <w:p>
            <w:pPr>
              <w:pStyle w:val="TableParagraph"/>
              <w:spacing w:before="57" w:line="455" w:lineRule="exact"/>
              <w:ind w:left="723" w:right="482"/>
              <w:rPr>
                <w:sz w:val="36"/>
              </w:rPr>
            </w:pPr>
            <w:r>
              <w:rPr>
                <w:sz w:val="36"/>
              </w:rPr>
              <w:t>测量、放样</w:t>
            </w:r>
          </w:p>
        </w:tc>
        <w:tc>
          <w:tcPr>
            <w:tcW w:w="1271" w:type="dxa"/>
          </w:tcPr>
          <w:p>
            <w:pPr>
              <w:pStyle w:val="TableParagraph"/>
              <w:spacing w:before="57" w:line="455" w:lineRule="exact"/>
              <w:ind w:right="95"/>
              <w:jc w:val="right"/>
              <w:rPr>
                <w:sz w:val="36"/>
              </w:rPr>
            </w:pPr>
            <w:r>
              <w:rPr>
                <w:sz w:val="36"/>
              </w:rPr>
              <w:t>1 台</w:t>
            </w:r>
          </w:p>
        </w:tc>
      </w:tr>
      <w:tr>
        <w:tblPrEx>
          <w:tblW w:w="0" w:type="auto"/>
          <w:jc w:val="left"/>
          <w:tblInd w:w="180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91"/>
          <w:jc w:val="left"/>
        </w:trPr>
        <w:tc>
          <w:tcPr>
            <w:tcW w:w="950" w:type="dxa"/>
          </w:tcPr>
          <w:p>
            <w:pPr>
              <w:pStyle w:val="TableParagraph"/>
              <w:spacing w:before="14" w:line="457" w:lineRule="exact"/>
              <w:ind w:right="129"/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  <w:tc>
          <w:tcPr>
            <w:tcW w:w="2272" w:type="dxa"/>
          </w:tcPr>
          <w:p>
            <w:pPr>
              <w:pStyle w:val="TableParagraph"/>
              <w:spacing w:before="14" w:line="457" w:lineRule="exact"/>
              <w:ind w:left="161" w:right="271"/>
              <w:rPr>
                <w:sz w:val="36"/>
              </w:rPr>
            </w:pPr>
            <w:r>
              <w:rPr>
                <w:sz w:val="36"/>
              </w:rPr>
              <w:t>水准仪</w:t>
            </w:r>
          </w:p>
        </w:tc>
        <w:tc>
          <w:tcPr>
            <w:tcW w:w="2497" w:type="dxa"/>
          </w:tcPr>
          <w:p>
            <w:pPr>
              <w:pStyle w:val="TableParagraph"/>
              <w:spacing w:before="14" w:line="457" w:lineRule="exact"/>
              <w:ind w:left="273" w:right="564"/>
              <w:rPr>
                <w:sz w:val="36"/>
              </w:rPr>
            </w:pPr>
            <w:r>
              <w:rPr>
                <w:sz w:val="36"/>
              </w:rPr>
              <w:t>DSZ3-1</w:t>
            </w:r>
          </w:p>
        </w:tc>
        <w:tc>
          <w:tcPr>
            <w:tcW w:w="2769" w:type="dxa"/>
          </w:tcPr>
          <w:p>
            <w:pPr>
              <w:pStyle w:val="TableParagraph"/>
              <w:spacing w:before="14" w:line="457" w:lineRule="exact"/>
              <w:ind w:left="566" w:right="723"/>
              <w:rPr>
                <w:sz w:val="36"/>
              </w:rPr>
            </w:pPr>
            <w:r>
              <w:rPr>
                <w:sz w:val="36"/>
              </w:rPr>
              <w:t>北京博飞</w:t>
            </w:r>
          </w:p>
        </w:tc>
        <w:tc>
          <w:tcPr>
            <w:tcW w:w="3045" w:type="dxa"/>
          </w:tcPr>
          <w:p>
            <w:pPr>
              <w:pStyle w:val="TableParagraph"/>
              <w:spacing w:before="14" w:line="457" w:lineRule="exact"/>
              <w:ind w:left="723" w:right="482"/>
              <w:rPr>
                <w:sz w:val="36"/>
              </w:rPr>
            </w:pPr>
            <w:r>
              <w:rPr>
                <w:sz w:val="36"/>
              </w:rPr>
              <w:t>引测标高</w:t>
            </w:r>
          </w:p>
        </w:tc>
        <w:tc>
          <w:tcPr>
            <w:tcW w:w="1271" w:type="dxa"/>
          </w:tcPr>
          <w:p>
            <w:pPr>
              <w:pStyle w:val="TableParagraph"/>
              <w:spacing w:before="14" w:line="457" w:lineRule="exact"/>
              <w:ind w:right="95"/>
              <w:jc w:val="right"/>
              <w:rPr>
                <w:sz w:val="36"/>
              </w:rPr>
            </w:pPr>
            <w:r>
              <w:rPr>
                <w:sz w:val="36"/>
              </w:rPr>
              <w:t>1 台</w:t>
            </w:r>
          </w:p>
        </w:tc>
      </w:tr>
      <w:tr>
        <w:tblPrEx>
          <w:tblW w:w="0" w:type="auto"/>
          <w:jc w:val="left"/>
          <w:tblInd w:w="180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02"/>
          <w:jc w:val="left"/>
        </w:trPr>
        <w:tc>
          <w:tcPr>
            <w:tcW w:w="950" w:type="dxa"/>
          </w:tcPr>
          <w:p>
            <w:pPr>
              <w:pStyle w:val="TableParagraph"/>
              <w:spacing w:before="16"/>
              <w:ind w:right="129"/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  <w:tc>
          <w:tcPr>
            <w:tcW w:w="2272" w:type="dxa"/>
          </w:tcPr>
          <w:p>
            <w:pPr>
              <w:pStyle w:val="TableParagraph"/>
              <w:spacing w:before="16"/>
              <w:ind w:left="161" w:right="271"/>
              <w:rPr>
                <w:sz w:val="36"/>
              </w:rPr>
            </w:pPr>
            <w:r>
              <w:rPr>
                <w:sz w:val="36"/>
              </w:rPr>
              <w:t>铝合金塔尺</w:t>
            </w:r>
          </w:p>
        </w:tc>
        <w:tc>
          <w:tcPr>
            <w:tcW w:w="2497" w:type="dxa"/>
          </w:tcPr>
          <w:p>
            <w:pPr>
              <w:pStyle w:val="TableParagraph"/>
              <w:spacing w:before="16"/>
              <w:ind w:left="273" w:right="564"/>
              <w:rPr>
                <w:sz w:val="36"/>
              </w:rPr>
            </w:pPr>
            <w:r>
              <w:rPr>
                <w:sz w:val="36"/>
              </w:rPr>
              <w:t>5m</w:t>
            </w:r>
          </w:p>
        </w:tc>
        <w:tc>
          <w:tcPr>
            <w:tcW w:w="2769" w:type="dxa"/>
          </w:tcPr>
          <w:p>
            <w:pPr>
              <w:pStyle w:val="TableParagraph"/>
              <w:jc w:val="left"/>
              <w:rPr>
                <w:rFonts w:ascii="Times New Roman"/>
                <w:sz w:val="40"/>
              </w:rPr>
            </w:pPr>
          </w:p>
        </w:tc>
        <w:tc>
          <w:tcPr>
            <w:tcW w:w="3045" w:type="dxa"/>
          </w:tcPr>
          <w:p>
            <w:pPr>
              <w:pStyle w:val="TableParagraph"/>
              <w:spacing w:before="16"/>
              <w:ind w:left="723" w:right="482"/>
              <w:rPr>
                <w:sz w:val="36"/>
              </w:rPr>
            </w:pPr>
            <w:r>
              <w:rPr>
                <w:sz w:val="36"/>
              </w:rPr>
              <w:t>引测标高</w:t>
            </w:r>
          </w:p>
        </w:tc>
        <w:tc>
          <w:tcPr>
            <w:tcW w:w="1271" w:type="dxa"/>
          </w:tcPr>
          <w:p>
            <w:pPr>
              <w:pStyle w:val="TableParagraph"/>
              <w:spacing w:before="16"/>
              <w:ind w:right="95"/>
              <w:jc w:val="right"/>
              <w:rPr>
                <w:sz w:val="36"/>
              </w:rPr>
            </w:pPr>
            <w:r>
              <w:rPr>
                <w:sz w:val="36"/>
              </w:rPr>
              <w:t>1 把</w:t>
            </w:r>
          </w:p>
        </w:tc>
      </w:tr>
      <w:tr>
        <w:tblPrEx>
          <w:tblW w:w="0" w:type="auto"/>
          <w:jc w:val="left"/>
          <w:tblInd w:w="180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22"/>
          <w:jc w:val="left"/>
        </w:trPr>
        <w:tc>
          <w:tcPr>
            <w:tcW w:w="950" w:type="dxa"/>
          </w:tcPr>
          <w:p>
            <w:pPr>
              <w:pStyle w:val="TableParagraph"/>
              <w:spacing w:before="25"/>
              <w:ind w:right="129"/>
              <w:rPr>
                <w:sz w:val="36"/>
              </w:rPr>
            </w:pPr>
            <w:r>
              <w:rPr>
                <w:sz w:val="36"/>
              </w:rPr>
              <w:t>5</w:t>
            </w:r>
          </w:p>
        </w:tc>
        <w:tc>
          <w:tcPr>
            <w:tcW w:w="2272" w:type="dxa"/>
          </w:tcPr>
          <w:p>
            <w:pPr>
              <w:pStyle w:val="TableParagraph"/>
              <w:spacing w:before="25"/>
              <w:ind w:left="161" w:right="271"/>
              <w:rPr>
                <w:sz w:val="36"/>
              </w:rPr>
            </w:pPr>
            <w:r>
              <w:rPr>
                <w:sz w:val="36"/>
              </w:rPr>
              <w:t>钢卷尺</w:t>
            </w:r>
          </w:p>
        </w:tc>
        <w:tc>
          <w:tcPr>
            <w:tcW w:w="2497" w:type="dxa"/>
          </w:tcPr>
          <w:p>
            <w:pPr>
              <w:pStyle w:val="TableParagraph"/>
              <w:spacing w:before="25"/>
              <w:ind w:left="273" w:right="564"/>
              <w:rPr>
                <w:sz w:val="36"/>
              </w:rPr>
            </w:pPr>
            <w:r>
              <w:rPr>
                <w:sz w:val="36"/>
              </w:rPr>
              <w:t>50m</w:t>
            </w:r>
          </w:p>
        </w:tc>
        <w:tc>
          <w:tcPr>
            <w:tcW w:w="2769" w:type="dxa"/>
          </w:tcPr>
          <w:p>
            <w:pPr>
              <w:pStyle w:val="TableParagraph"/>
              <w:jc w:val="left"/>
              <w:rPr>
                <w:rFonts w:ascii="Times New Roman"/>
                <w:sz w:val="40"/>
              </w:rPr>
            </w:pPr>
          </w:p>
        </w:tc>
        <w:tc>
          <w:tcPr>
            <w:tcW w:w="3045" w:type="dxa"/>
          </w:tcPr>
          <w:p>
            <w:pPr>
              <w:pStyle w:val="TableParagraph"/>
              <w:spacing w:before="25"/>
              <w:ind w:left="723" w:right="482"/>
              <w:rPr>
                <w:sz w:val="36"/>
              </w:rPr>
            </w:pPr>
            <w:r>
              <w:rPr>
                <w:sz w:val="36"/>
              </w:rPr>
              <w:t>距离丈量</w:t>
            </w:r>
          </w:p>
        </w:tc>
        <w:tc>
          <w:tcPr>
            <w:tcW w:w="1271" w:type="dxa"/>
          </w:tcPr>
          <w:p>
            <w:pPr>
              <w:pStyle w:val="TableParagraph"/>
              <w:spacing w:before="25"/>
              <w:ind w:right="95"/>
              <w:jc w:val="right"/>
              <w:rPr>
                <w:sz w:val="36"/>
              </w:rPr>
            </w:pPr>
            <w:r>
              <w:rPr>
                <w:sz w:val="36"/>
              </w:rPr>
              <w:t>1 把</w:t>
            </w:r>
          </w:p>
        </w:tc>
      </w:tr>
      <w:tr>
        <w:tblPrEx>
          <w:tblW w:w="0" w:type="auto"/>
          <w:jc w:val="left"/>
          <w:tblInd w:w="180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46"/>
          <w:jc w:val="left"/>
        </w:trPr>
        <w:tc>
          <w:tcPr>
            <w:tcW w:w="950" w:type="dxa"/>
          </w:tcPr>
          <w:p>
            <w:pPr>
              <w:pStyle w:val="TableParagraph"/>
              <w:spacing w:before="35" w:line="391" w:lineRule="exact"/>
              <w:ind w:right="129"/>
              <w:rPr>
                <w:sz w:val="36"/>
              </w:rPr>
            </w:pPr>
            <w:r>
              <w:rPr>
                <w:sz w:val="36"/>
              </w:rPr>
              <w:t>6</w:t>
            </w:r>
          </w:p>
        </w:tc>
        <w:tc>
          <w:tcPr>
            <w:tcW w:w="2272" w:type="dxa"/>
          </w:tcPr>
          <w:p>
            <w:pPr>
              <w:pStyle w:val="TableParagraph"/>
              <w:spacing w:before="35" w:line="391" w:lineRule="exact"/>
              <w:ind w:left="161" w:right="271"/>
              <w:rPr>
                <w:sz w:val="36"/>
              </w:rPr>
            </w:pPr>
            <w:r>
              <w:rPr>
                <w:sz w:val="36"/>
              </w:rPr>
              <w:t>卷尺</w:t>
            </w:r>
          </w:p>
        </w:tc>
        <w:tc>
          <w:tcPr>
            <w:tcW w:w="2497" w:type="dxa"/>
          </w:tcPr>
          <w:p>
            <w:pPr>
              <w:pStyle w:val="TableParagraph"/>
              <w:spacing w:before="35" w:line="391" w:lineRule="exact"/>
              <w:ind w:left="273" w:right="564"/>
              <w:rPr>
                <w:sz w:val="36"/>
              </w:rPr>
            </w:pPr>
            <w:r>
              <w:rPr>
                <w:sz w:val="36"/>
              </w:rPr>
              <w:t>5m</w:t>
            </w:r>
          </w:p>
        </w:tc>
        <w:tc>
          <w:tcPr>
            <w:tcW w:w="2769" w:type="dxa"/>
          </w:tcPr>
          <w:p>
            <w:pPr>
              <w:pStyle w:val="TableParagraph"/>
              <w:spacing w:before="35" w:line="391" w:lineRule="exact"/>
              <w:ind w:left="566" w:right="723"/>
              <w:rPr>
                <w:sz w:val="36"/>
              </w:rPr>
            </w:pPr>
            <w:r>
              <w:rPr>
                <w:sz w:val="36"/>
              </w:rPr>
              <w:t>得力</w:t>
            </w:r>
          </w:p>
        </w:tc>
        <w:tc>
          <w:tcPr>
            <w:tcW w:w="3045" w:type="dxa"/>
          </w:tcPr>
          <w:p>
            <w:pPr>
              <w:pStyle w:val="TableParagraph"/>
              <w:spacing w:before="35" w:line="391" w:lineRule="exact"/>
              <w:ind w:left="723" w:right="482"/>
              <w:rPr>
                <w:sz w:val="36"/>
              </w:rPr>
            </w:pPr>
            <w:r>
              <w:rPr>
                <w:sz w:val="36"/>
              </w:rPr>
              <w:t>距离丈量</w:t>
            </w:r>
          </w:p>
        </w:tc>
        <w:tc>
          <w:tcPr>
            <w:tcW w:w="1271" w:type="dxa"/>
          </w:tcPr>
          <w:p>
            <w:pPr>
              <w:pStyle w:val="TableParagraph"/>
              <w:spacing w:before="35" w:line="391" w:lineRule="exact"/>
              <w:ind w:right="95"/>
              <w:jc w:val="right"/>
              <w:rPr>
                <w:sz w:val="36"/>
              </w:rPr>
            </w:pPr>
            <w:r>
              <w:rPr>
                <w:sz w:val="36"/>
              </w:rPr>
              <w:t>5 把</w:t>
            </w:r>
          </w:p>
        </w:tc>
      </w:tr>
    </w:tbl>
    <w:p>
      <w:pPr>
        <w:pStyle w:val="ListParagraph"/>
        <w:numPr>
          <w:ilvl w:val="1"/>
          <w:numId w:val="3"/>
        </w:numPr>
        <w:tabs>
          <w:tab w:val="left" w:pos="3191"/>
        </w:tabs>
        <w:spacing w:before="247" w:after="0" w:line="240" w:lineRule="auto"/>
        <w:ind w:left="3190" w:right="0" w:hanging="735"/>
        <w:jc w:val="left"/>
        <w:rPr>
          <w:sz w:val="42"/>
        </w:rPr>
      </w:pPr>
      <w:r>
        <w:rPr>
          <w:sz w:val="42"/>
        </w:rPr>
        <w:t>技术准备</w:t>
      </w:r>
    </w:p>
    <w:p>
      <w:pPr>
        <w:pStyle w:val="BodyText"/>
        <w:rPr>
          <w:sz w:val="31"/>
        </w:rPr>
      </w:pPr>
    </w:p>
    <w:p>
      <w:pPr>
        <w:pStyle w:val="BodyText"/>
        <w:spacing w:before="1" w:line="417" w:lineRule="auto"/>
        <w:ind w:left="1617" w:right="2081" w:firstLine="838"/>
      </w:pPr>
      <w:r>
        <w:rPr>
          <w:spacing w:val="-15"/>
        </w:rPr>
        <w:t>认真组织技术、放线人员进行图纸审核，审核图纸与高程、建筑物本</w:t>
      </w:r>
      <w:r>
        <w:rPr>
          <w:spacing w:val="-16"/>
        </w:rPr>
        <w:t xml:space="preserve">身各轴线关系、几何尺寸关系，出现问题均以洽商变更的形式形成记录， </w:t>
      </w:r>
      <w:r>
        <w:rPr>
          <w:spacing w:val="-14"/>
        </w:rPr>
        <w:t>作为放线依据。根据主体土建施工单位提供的坐标点和高程点绘制出引测路线图。</w:t>
      </w:r>
    </w:p>
    <w:p>
      <w:pPr>
        <w:pStyle w:val="Heading1"/>
        <w:spacing w:line="537" w:lineRule="exact"/>
      </w:pPr>
      <w:bookmarkStart w:id="1" w:name="_TOC_250001"/>
      <w:bookmarkEnd w:id="1"/>
      <w:r>
        <w:t>四、高程系统、平面控制网的测设</w:t>
      </w:r>
    </w:p>
    <w:p>
      <w:pPr>
        <w:pStyle w:val="BodyText"/>
        <w:rPr>
          <w:b/>
          <w:sz w:val="31"/>
        </w:rPr>
      </w:pPr>
    </w:p>
    <w:p>
      <w:pPr>
        <w:pStyle w:val="ListParagraph"/>
        <w:numPr>
          <w:ilvl w:val="1"/>
          <w:numId w:val="2"/>
        </w:numPr>
        <w:tabs>
          <w:tab w:val="left" w:pos="3295"/>
        </w:tabs>
        <w:spacing w:before="0" w:after="0" w:line="240" w:lineRule="auto"/>
        <w:ind w:left="3295" w:right="0" w:hanging="839"/>
        <w:jc w:val="both"/>
        <w:rPr>
          <w:sz w:val="42"/>
        </w:rPr>
      </w:pPr>
      <w:r>
        <w:rPr>
          <w:sz w:val="42"/>
        </w:rPr>
        <w:t>高程控制系统的设置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2"/>
          <w:numId w:val="2"/>
        </w:numPr>
        <w:tabs>
          <w:tab w:val="left" w:pos="3612"/>
        </w:tabs>
        <w:spacing w:before="0" w:after="0" w:line="417" w:lineRule="auto"/>
        <w:ind w:left="1617" w:right="2282" w:firstLine="838"/>
        <w:jc w:val="both"/>
        <w:rPr>
          <w:sz w:val="42"/>
        </w:rPr>
      </w:pPr>
      <w:r>
        <w:rPr>
          <w:spacing w:val="-6"/>
          <w:sz w:val="42"/>
        </w:rPr>
        <w:t>依据给定的原始水准点向现场引测高程控制点，控制点设置在</w:t>
      </w:r>
      <w:r>
        <w:rPr>
          <w:spacing w:val="-16"/>
          <w:sz w:val="42"/>
        </w:rPr>
        <w:t>现场不受施工影响，易于引测的位置。在站厅层、站台层两端设备区各测</w:t>
      </w:r>
      <w:r>
        <w:rPr>
          <w:sz w:val="42"/>
        </w:rPr>
        <w:t>设一个高程控制点。</w:t>
      </w:r>
    </w:p>
    <w:p>
      <w:pPr>
        <w:pStyle w:val="ListParagraph"/>
        <w:numPr>
          <w:ilvl w:val="2"/>
          <w:numId w:val="2"/>
        </w:numPr>
        <w:tabs>
          <w:tab w:val="left" w:pos="3612"/>
        </w:tabs>
        <w:spacing w:before="234" w:after="0" w:line="240" w:lineRule="auto"/>
        <w:ind w:left="3611" w:right="0" w:hanging="1156"/>
        <w:jc w:val="left"/>
        <w:rPr>
          <w:sz w:val="42"/>
        </w:rPr>
      </w:pPr>
      <w:r>
        <w:rPr>
          <w:sz w:val="42"/>
        </w:rPr>
        <w:t>站厅层、站台层标高的引测</w:t>
      </w:r>
    </w:p>
    <w:p>
      <w:pPr>
        <w:pStyle w:val="BodyText"/>
        <w:spacing w:before="4"/>
        <w:rPr>
          <w:sz w:val="49"/>
        </w:rPr>
      </w:pPr>
    </w:p>
    <w:p>
      <w:pPr>
        <w:pStyle w:val="BodyText"/>
        <w:spacing w:line="417" w:lineRule="auto"/>
        <w:ind w:left="1617" w:right="2013" w:firstLine="838"/>
      </w:pPr>
      <w:r>
        <w:t>站台层向站厅层引测标高时，采用水准仪，5m 塔尺和钢卷尺进行测</w:t>
      </w:r>
      <w:r>
        <w:rPr>
          <w:spacing w:val="-6"/>
        </w:rPr>
        <w:t>量，</w:t>
      </w:r>
      <w:r>
        <w:rPr>
          <w:spacing w:val="-11"/>
        </w:rPr>
        <w:t>5m</w:t>
      </w:r>
      <w:r>
        <w:rPr>
          <w:spacing w:val="-10"/>
        </w:rPr>
        <w:t xml:space="preserve"> 塔尺用于同层楼面的后视读数，钢卷尺用于上层楼面的前视读数。</w:t>
      </w:r>
    </w:p>
    <w:p>
      <w:pPr>
        <w:spacing w:after="0" w:line="417" w:lineRule="auto"/>
        <w:sectPr>
          <w:headerReference w:type="default" r:id="rId14"/>
          <w:footerReference w:type="default" r:id="rId15"/>
          <w:pgSz w:w="17860" w:h="25260"/>
          <w:pgMar w:top="1360" w:right="0" w:bottom="1400" w:left="680" w:header="1024" w:footer="1209"/>
          <w:pgNumType w:start="4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3"/>
        </w:rPr>
      </w:pPr>
    </w:p>
    <w:p>
      <w:pPr>
        <w:pStyle w:val="BodyText"/>
        <w:spacing w:before="42" w:line="417" w:lineRule="auto"/>
        <w:ind w:left="1617" w:right="2284"/>
      </w:pPr>
      <w:r>
        <w:rPr>
          <w:spacing w:val="-16"/>
        </w:rPr>
        <w:t>在使用钢卷尺过程中，应在底部悬挂一适量的重物，以使钢卷尺保持垂直</w:t>
      </w:r>
      <w:r>
        <w:t>且不拉长。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2374900</wp:posOffset>
            </wp:positionH>
            <wp:positionV relativeFrom="paragraph">
              <wp:posOffset>257897</wp:posOffset>
            </wp:positionV>
            <wp:extent cx="278701" cy="215360"/>
            <wp:effectExtent l="0" t="0" r="0" b="0"/>
            <wp:wrapTopAndBottom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6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701" cy="21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"/>
        <w:rPr>
          <w:sz w:val="5"/>
        </w:rPr>
      </w:pPr>
    </w:p>
    <w:p>
      <w:pPr>
        <w:pStyle w:val="BodyText"/>
        <w:ind w:left="2180"/>
        <w:rPr>
          <w:sz w:val="20"/>
        </w:rPr>
      </w:pPr>
      <w:r>
        <w:rPr>
          <w:sz w:val="20"/>
        </w:rPr>
        <w:drawing>
          <wp:inline distT="0" distB="0" distL="0" distR="0">
            <wp:extent cx="7790973" cy="3407759"/>
            <wp:effectExtent l="0" t="0" r="0" b="0"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7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90973" cy="3407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9"/>
        <w:rPr>
          <w:sz w:val="37"/>
        </w:rPr>
      </w:pPr>
    </w:p>
    <w:p>
      <w:pPr>
        <w:spacing w:before="1"/>
        <w:ind w:left="1714" w:right="2385" w:firstLine="0"/>
        <w:jc w:val="center"/>
        <w:rPr>
          <w:rFonts w:ascii="幼圆" w:eastAsia="幼圆" w:hint="eastAsia"/>
          <w:b/>
          <w:sz w:val="31"/>
        </w:rPr>
      </w:pPr>
      <w:r>
        <w:rPr>
          <w:rFonts w:ascii="幼圆" w:eastAsia="幼圆" w:hint="eastAsia"/>
          <w:b/>
          <w:sz w:val="31"/>
        </w:rPr>
        <w:t>站厅层、站台层标高引测示意图</w:t>
      </w:r>
    </w:p>
    <w:p>
      <w:pPr>
        <w:pStyle w:val="BodyText"/>
        <w:rPr>
          <w:rFonts w:ascii="幼圆"/>
          <w:b/>
          <w:sz w:val="32"/>
        </w:rPr>
      </w:pPr>
    </w:p>
    <w:p>
      <w:pPr>
        <w:pStyle w:val="BodyText"/>
        <w:rPr>
          <w:rFonts w:ascii="幼圆"/>
          <w:b/>
          <w:sz w:val="32"/>
        </w:rPr>
      </w:pPr>
    </w:p>
    <w:p>
      <w:pPr>
        <w:pStyle w:val="BodyText"/>
        <w:spacing w:before="4"/>
        <w:rPr>
          <w:rFonts w:ascii="幼圆"/>
          <w:b/>
          <w:sz w:val="38"/>
        </w:rPr>
      </w:pPr>
    </w:p>
    <w:p>
      <w:pPr>
        <w:pStyle w:val="BodyText"/>
        <w:ind w:left="2456"/>
      </w:pPr>
      <w:r>
        <w:t>4.1.3 +1m 水平控制线的测设</w:t>
      </w:r>
    </w:p>
    <w:p>
      <w:pPr>
        <w:pStyle w:val="BodyText"/>
        <w:spacing w:before="4"/>
        <w:rPr>
          <w:sz w:val="49"/>
        </w:rPr>
      </w:pPr>
    </w:p>
    <w:p>
      <w:pPr>
        <w:pStyle w:val="BodyText"/>
        <w:spacing w:line="417" w:lineRule="auto"/>
        <w:ind w:left="1617" w:right="2268" w:firstLine="838"/>
        <w:jc w:val="both"/>
      </w:pPr>
      <w:r>
        <w:rPr>
          <w:spacing w:val="-10"/>
        </w:rPr>
        <w:t xml:space="preserve">向上引测固定到站厅层的结构墙和结构柱上。每次引测至少 </w:t>
      </w:r>
      <w:r>
        <w:t>2</w:t>
      </w:r>
      <w:r>
        <w:rPr>
          <w:spacing w:val="-45"/>
        </w:rPr>
        <w:t xml:space="preserve"> 次，取2</w:t>
      </w:r>
      <w:r>
        <w:rPr>
          <w:spacing w:val="-15"/>
        </w:rPr>
        <w:t xml:space="preserve"> 次平均值作为标高控制点值。结构墙和柱子上的控制点一般为本层建筑</w:t>
      </w:r>
      <w:r>
        <w:rPr>
          <w:spacing w:val="-27"/>
        </w:rPr>
        <w:t xml:space="preserve">标高的 </w:t>
      </w:r>
      <w:r>
        <w:t>1m</w:t>
      </w:r>
      <w:r>
        <w:rPr>
          <w:spacing w:val="-23"/>
        </w:rPr>
        <w:t xml:space="preserve"> 控制线。</w:t>
      </w:r>
    </w:p>
    <w:p>
      <w:pPr>
        <w:pStyle w:val="ListParagraph"/>
        <w:numPr>
          <w:ilvl w:val="2"/>
          <w:numId w:val="1"/>
        </w:numPr>
        <w:tabs>
          <w:tab w:val="left" w:pos="3612"/>
        </w:tabs>
        <w:spacing w:before="233" w:after="0" w:line="240" w:lineRule="auto"/>
        <w:ind w:left="3611" w:right="0" w:hanging="1156"/>
        <w:jc w:val="left"/>
        <w:rPr>
          <w:sz w:val="42"/>
        </w:rPr>
      </w:pPr>
      <w:r>
        <w:rPr>
          <w:sz w:val="42"/>
        </w:rPr>
        <w:t>地面坡度设置要求</w:t>
      </w:r>
    </w:p>
    <w:p>
      <w:pPr>
        <w:pStyle w:val="BodyText"/>
        <w:spacing w:before="4"/>
        <w:rPr>
          <w:sz w:val="49"/>
        </w:rPr>
      </w:pPr>
    </w:p>
    <w:p>
      <w:pPr>
        <w:pStyle w:val="BodyText"/>
        <w:spacing w:line="417" w:lineRule="auto"/>
        <w:ind w:left="1617" w:right="2506" w:firstLine="838"/>
      </w:pPr>
      <w:r>
        <w:t>车站内设备区房间地面水平无坡度，地面标高与门口处走道标高一致，以免房间灌水，+1m 水平控制线参照门口地面处测设。</w:t>
      </w:r>
    </w:p>
    <w:p>
      <w:pPr>
        <w:pStyle w:val="BodyText"/>
        <w:spacing w:before="1" w:line="417" w:lineRule="auto"/>
        <w:ind w:left="1617" w:right="2280" w:firstLine="838"/>
      </w:pPr>
      <w:r>
        <w:rPr>
          <w:spacing w:val="-12"/>
        </w:rPr>
        <w:t>排水沟底面坡度宜与地面坡度保持一致，排水沟处地面宜向排水沟位</w:t>
      </w:r>
      <w:r>
        <w:t>置找坡。</w:t>
      </w:r>
    </w:p>
    <w:p>
      <w:pPr>
        <w:pStyle w:val="BodyText"/>
        <w:spacing w:line="537" w:lineRule="exact"/>
        <w:ind w:left="2456"/>
      </w:pPr>
      <w:r>
        <w:t>站台坡度应与铺轨轨顶完成面相适宜，施工中做好与铺轨单位协调工</w:t>
      </w:r>
    </w:p>
    <w:p>
      <w:pPr>
        <w:spacing w:after="0" w:line="537" w:lineRule="exact"/>
        <w:sectPr>
          <w:headerReference w:type="default" r:id="rId18"/>
          <w:footerReference w:type="default" r:id="rId19"/>
          <w:pgSz w:w="17860" w:h="25260"/>
          <w:pgMar w:top="1360" w:right="0" w:bottom="1400" w:left="680" w:header="1024" w:footer="1209"/>
          <w:pgNumType w:start="5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3"/>
        </w:rPr>
      </w:pPr>
    </w:p>
    <w:p>
      <w:pPr>
        <w:pStyle w:val="BodyText"/>
        <w:spacing w:before="42"/>
        <w:ind w:left="1617"/>
      </w:pPr>
      <w:r>
        <w:t>作。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417" w:lineRule="auto"/>
        <w:ind w:left="2456" w:right="5876"/>
      </w:pPr>
      <w:r>
        <w:t>电动扶梯上下口位置地面应满足扶梯安装要求。设备基础顶面应水平，满足设备安装要求。</w:t>
      </w:r>
    </w:p>
    <w:p>
      <w:pPr>
        <w:pStyle w:val="BodyText"/>
        <w:spacing w:line="417" w:lineRule="auto"/>
        <w:ind w:left="1617" w:right="2081" w:firstLine="838"/>
        <w:jc w:val="both"/>
      </w:pPr>
      <w:r>
        <w:t>所有控制点、监测点均设标识牌，牌中注明桩点的名称、精度等级、点号、数据及管理单位；对于细部测设的点位、线段用油漆进行标识，注明其性质和相关数据。</w:t>
      </w:r>
    </w:p>
    <w:p>
      <w:pPr>
        <w:pStyle w:val="ListParagraph"/>
        <w:numPr>
          <w:ilvl w:val="2"/>
          <w:numId w:val="1"/>
        </w:numPr>
        <w:tabs>
          <w:tab w:val="left" w:pos="3612"/>
        </w:tabs>
        <w:spacing w:before="0" w:after="0" w:line="538" w:lineRule="exact"/>
        <w:ind w:left="3611" w:right="0" w:hanging="1156"/>
        <w:jc w:val="left"/>
        <w:rPr>
          <w:sz w:val="42"/>
        </w:rPr>
      </w:pPr>
      <w:r>
        <w:rPr>
          <w:sz w:val="42"/>
        </w:rPr>
        <w:t>高程成果复核</w:t>
      </w:r>
    </w:p>
    <w:p>
      <w:pPr>
        <w:pStyle w:val="BodyText"/>
        <w:rPr>
          <w:sz w:val="31"/>
        </w:rPr>
      </w:pPr>
    </w:p>
    <w:p>
      <w:pPr>
        <w:pStyle w:val="BodyText"/>
        <w:spacing w:line="417" w:lineRule="auto"/>
        <w:ind w:left="1617" w:right="2297" w:firstLine="838"/>
      </w:pPr>
      <w:r>
        <w:rPr>
          <w:spacing w:val="-11"/>
        </w:rPr>
        <w:t>高程点设置完成后采用闭合法往返两次复核，如发现矛盾或错误，查</w:t>
      </w:r>
      <w:r>
        <w:t>找原因，及时纠正放样成果。</w:t>
      </w:r>
    </w:p>
    <w:p>
      <w:pPr>
        <w:pStyle w:val="ListParagraph"/>
        <w:numPr>
          <w:ilvl w:val="2"/>
          <w:numId w:val="1"/>
        </w:numPr>
        <w:tabs>
          <w:tab w:val="left" w:pos="3612"/>
        </w:tabs>
        <w:spacing w:before="0" w:after="0" w:line="537" w:lineRule="exact"/>
        <w:ind w:left="3611" w:right="0" w:hanging="1156"/>
        <w:jc w:val="left"/>
        <w:rPr>
          <w:sz w:val="42"/>
        </w:rPr>
      </w:pPr>
      <w:r>
        <w:rPr>
          <w:sz w:val="42"/>
        </w:rPr>
        <w:t>高程系统的精度设计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417" w:lineRule="auto"/>
        <w:ind w:left="1617" w:right="2067" w:firstLine="838"/>
      </w:pPr>
      <w:r>
        <w:t xml:space="preserve">三级高程控制系统的技术指标按国家三等水准测量的精度要求进行 </w:t>
      </w:r>
      <w:r>
        <w:rPr>
          <w:spacing w:val="-11"/>
        </w:rPr>
        <w:t>引测，相邻两点高程误差要求小于±</w:t>
      </w:r>
      <w:r>
        <w:rPr>
          <w:spacing w:val="-16"/>
        </w:rPr>
        <w:t>1.0mm</w:t>
      </w:r>
      <w:r>
        <w:rPr>
          <w:spacing w:val="-5"/>
        </w:rPr>
        <w:t>，引测方法采用附和水准测量。</w:t>
      </w:r>
    </w:p>
    <w:p>
      <w:pPr>
        <w:pStyle w:val="ListParagraph"/>
        <w:numPr>
          <w:ilvl w:val="1"/>
          <w:numId w:val="2"/>
        </w:numPr>
        <w:tabs>
          <w:tab w:val="left" w:pos="3295"/>
        </w:tabs>
        <w:spacing w:before="0" w:after="0" w:line="240" w:lineRule="auto"/>
        <w:ind w:left="3295" w:right="0" w:hanging="839"/>
        <w:jc w:val="left"/>
        <w:rPr>
          <w:sz w:val="42"/>
        </w:rPr>
      </w:pPr>
      <w:r>
        <w:rPr>
          <w:sz w:val="42"/>
        </w:rPr>
        <w:t>控制网的测设</w:t>
      </w:r>
    </w:p>
    <w:p>
      <w:pPr>
        <w:pStyle w:val="BodyText"/>
        <w:rPr>
          <w:sz w:val="31"/>
        </w:rPr>
      </w:pPr>
    </w:p>
    <w:p>
      <w:pPr>
        <w:pStyle w:val="ListParagraph"/>
        <w:numPr>
          <w:ilvl w:val="2"/>
          <w:numId w:val="2"/>
        </w:numPr>
        <w:tabs>
          <w:tab w:val="left" w:pos="3612"/>
        </w:tabs>
        <w:spacing w:before="0" w:after="0" w:line="417" w:lineRule="auto"/>
        <w:ind w:left="1617" w:right="2193" w:firstLine="838"/>
        <w:jc w:val="left"/>
        <w:rPr>
          <w:sz w:val="42"/>
        </w:rPr>
      </w:pPr>
      <w:r>
        <w:rPr>
          <w:spacing w:val="-1"/>
          <w:sz w:val="42"/>
        </w:rPr>
        <w:t>先整体、后局部，高精度控制低精度。控制网按照高级控制低</w:t>
      </w:r>
      <w:r>
        <w:rPr>
          <w:spacing w:val="-2"/>
          <w:sz w:val="42"/>
        </w:rPr>
        <w:t>级的方法，根据场区平面规划、设计图纸及建设方提供原始坐标点:</w:t>
      </w:r>
    </w:p>
    <w:p>
      <w:pPr>
        <w:pStyle w:val="BodyText"/>
        <w:spacing w:line="417" w:lineRule="auto"/>
        <w:ind w:left="2456" w:right="7570" w:firstLine="3"/>
        <w:jc w:val="both"/>
      </w:pPr>
      <w:r>
        <w:t>WJZT01(X=4310117.908，Y=33033.530) WJZT02(X=4310111.242，Y=33031.172) WJZT03(X=4310086.841，Y=33100.081)</w:t>
      </w:r>
    </w:p>
    <w:p>
      <w:pPr>
        <w:pStyle w:val="BodyText"/>
        <w:spacing w:line="417" w:lineRule="auto"/>
        <w:ind w:left="1617" w:right="2081" w:firstLine="838"/>
        <w:jc w:val="both"/>
      </w:pPr>
      <w:r>
        <w:rPr>
          <w:spacing w:val="-4"/>
        </w:rPr>
        <w:t>WJZT04(X=4310096.117，Y=33100.240</w:t>
      </w:r>
      <w:r>
        <w:rPr>
          <w:spacing w:val="-11"/>
        </w:rPr>
        <w:t>)建立平面控制网，依据控制点</w:t>
      </w:r>
      <w:r>
        <w:rPr>
          <w:spacing w:val="-20"/>
        </w:rPr>
        <w:t>与建筑物轴线关系布置控制网。利用电子全站仪采用“极坐标”法布设平</w:t>
      </w:r>
      <w:r>
        <w:rPr>
          <w:spacing w:val="-19"/>
        </w:rPr>
        <w:t>面控制网，然后根据各构件与轴线的位置关系，测放构件位置线，进行构件定位。形成的控制网测设成果，请监理予以复核、确认。该成果将指导</w:t>
      </w:r>
    </w:p>
    <w:p>
      <w:pPr>
        <w:spacing w:after="0" w:line="417" w:lineRule="auto"/>
        <w:jc w:val="both"/>
        <w:sectPr>
          <w:headerReference w:type="default" r:id="rId20"/>
          <w:footerReference w:type="default" r:id="rId21"/>
          <w:pgSz w:w="17860" w:h="25260"/>
          <w:pgMar w:top="1360" w:right="0" w:bottom="1400" w:left="680" w:header="1024" w:footer="1209"/>
          <w:pgNumType w:start="6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3"/>
        </w:rPr>
      </w:pPr>
    </w:p>
    <w:p>
      <w:pPr>
        <w:pStyle w:val="BodyText"/>
        <w:spacing w:before="42" w:line="417" w:lineRule="auto"/>
        <w:ind w:left="1617" w:right="2285"/>
        <w:jc w:val="both"/>
      </w:pPr>
      <w:r>
        <w:rPr>
          <w:spacing w:val="-12"/>
        </w:rPr>
        <w:t>本工程站房及配套工程建设的重要依据。平面控制网见后图。各控制点均</w:t>
      </w:r>
      <w:r>
        <w:rPr>
          <w:spacing w:val="-14"/>
        </w:rPr>
        <w:t>布设在站房的适当位置，以测量方便、易于保护为原则。初始控制点要进</w:t>
      </w:r>
      <w:r>
        <w:t>行保护。</w:t>
      </w:r>
    </w:p>
    <w:p>
      <w:pPr>
        <w:pStyle w:val="ListParagraph"/>
        <w:numPr>
          <w:ilvl w:val="2"/>
          <w:numId w:val="7"/>
        </w:numPr>
        <w:tabs>
          <w:tab w:val="left" w:pos="3612"/>
        </w:tabs>
        <w:spacing w:before="0" w:after="0" w:line="537" w:lineRule="exact"/>
        <w:ind w:left="3611" w:right="0" w:hanging="1156"/>
        <w:jc w:val="left"/>
        <w:rPr>
          <w:sz w:val="42"/>
        </w:rPr>
      </w:pPr>
      <w:r>
        <w:rPr>
          <w:sz w:val="42"/>
        </w:rPr>
        <w:t>定位成果复核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417" w:lineRule="auto"/>
        <w:ind w:left="1617" w:right="2076" w:firstLine="838"/>
      </w:pPr>
      <w:r>
        <w:rPr>
          <w:spacing w:val="-14"/>
        </w:rPr>
        <w:t>定位桩点布设完成后，可采用对角线法、极坐标法复核测量成果；高</w:t>
      </w:r>
      <w:r>
        <w:rPr>
          <w:spacing w:val="-28"/>
        </w:rPr>
        <w:t xml:space="preserve">程点设置完成后采用闭合法往返两次复核，如发现矛盾或错误，查找原因， </w:t>
      </w:r>
      <w:r>
        <w:t>及时纠正放样成果。</w:t>
      </w:r>
    </w:p>
    <w:p>
      <w:pPr>
        <w:pStyle w:val="ListParagraph"/>
        <w:numPr>
          <w:ilvl w:val="2"/>
          <w:numId w:val="7"/>
        </w:numPr>
        <w:tabs>
          <w:tab w:val="left" w:pos="3612"/>
        </w:tabs>
        <w:spacing w:before="0" w:after="0" w:line="538" w:lineRule="exact"/>
        <w:ind w:left="3611" w:right="0" w:hanging="1156"/>
        <w:jc w:val="left"/>
        <w:rPr>
          <w:sz w:val="42"/>
        </w:rPr>
      </w:pPr>
      <w:r>
        <w:rPr>
          <w:sz w:val="42"/>
        </w:rPr>
        <w:t>控制网的精度设计</w:t>
      </w:r>
    </w:p>
    <w:p>
      <w:pPr>
        <w:pStyle w:val="BodyText"/>
        <w:spacing w:before="12"/>
        <w:rPr>
          <w:sz w:val="15"/>
        </w:rPr>
      </w:pPr>
      <w:r>
        <w:pict>
          <v:group id="_x0000_s1025" style="width:639.5pt;height:111.95pt;margin-top:12.19pt;margin-left:127.25pt;mso-position-horizontal-relative:page;mso-wrap-distance-left:0;mso-wrap-distance-right:0;position:absolute;z-index:-251655168" coordorigin="2545,244" coordsize="12790,223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2790;height:2239;left:2545;position:absolute;top:243" stroked="f">
              <v:imagedata r:id="rId22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740;height:360;left:3165;position:absolute;top:46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等级</w:t>
                    </w:r>
                  </w:p>
                </w:txbxContent>
              </v:textbox>
            </v:shape>
            <v:shape id="_x0000_s1028" type="#_x0000_t202" style="width:1460;height:360;left:4695;position:absolute;top:46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边长 (m)</w:t>
                    </w:r>
                  </w:p>
                </w:txbxContent>
              </v:textbox>
            </v:shape>
            <v:shape id="_x0000_s1029" type="#_x0000_t202" style="width:1820;height:360;left:6679;position:absolute;top:46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测角中误差</w:t>
                    </w:r>
                  </w:p>
                </w:txbxContent>
              </v:textbox>
            </v:shape>
            <v:shape id="_x0000_s1030" type="#_x0000_t202" style="width:2540;height:360;left:9019;position:absolute;top:46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边长相对中误差</w:t>
                    </w:r>
                  </w:p>
                </w:txbxContent>
              </v:textbox>
            </v:shape>
            <v:shape id="_x0000_s1031" type="#_x0000_t202" style="width:2900;height:360;left:12080;position:absolute;top:46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相邻两点距离误差</w:t>
                    </w:r>
                  </w:p>
                </w:txbxContent>
              </v:textbox>
            </v:shape>
            <v:shape id="_x0000_s1032" type="#_x0000_t202" style="width:740;height:360;left:3165;position:absolute;top:118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二级</w:t>
                    </w:r>
                  </w:p>
                </w:txbxContent>
              </v:textbox>
            </v:shape>
            <v:shape id="_x0000_s1033" type="#_x0000_t202" style="width:1460;height:360;left:4695;position:absolute;top:118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200～300</w:t>
                    </w:r>
                  </w:p>
                </w:txbxContent>
              </v:textbox>
            </v:shape>
            <v:shape id="_x0000_s1034" type="#_x0000_t202" style="width:560;height:360;left:7309;position:absolute;top:118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±5</w:t>
                    </w:r>
                  </w:p>
                </w:txbxContent>
              </v:textbox>
            </v:shape>
            <v:shape id="_x0000_s1035" type="#_x0000_t202" style="width:1280;height:360;left:9650;position:absolute;top:118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1/40000</w:t>
                    </w:r>
                  </w:p>
                </w:txbxContent>
              </v:textbox>
            </v:shape>
            <v:shape id="_x0000_s1036" type="#_x0000_t202" style="width:921;height:360;left:13070;position:absolute;top:118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±3mm</w:t>
                    </w:r>
                  </w:p>
                </w:txbxContent>
              </v:textbox>
            </v:shape>
            <v:shape id="_x0000_s1037" type="#_x0000_t202" style="width:740;height:360;left:3165;position:absolute;top:190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三级</w:t>
                    </w:r>
                  </w:p>
                </w:txbxContent>
              </v:textbox>
            </v:shape>
            <v:shape id="_x0000_s1038" type="#_x0000_t202" style="width:740;height:360;left:5055;position:absolute;top:190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&lt;100</w:t>
                    </w:r>
                  </w:p>
                </w:txbxContent>
              </v:textbox>
            </v:shape>
            <v:shape id="_x0000_s1039" type="#_x0000_t202" style="width:740;height:360;left:7219;position:absolute;top:190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±10</w:t>
                    </w:r>
                  </w:p>
                </w:txbxContent>
              </v:textbox>
            </v:shape>
            <v:shape id="_x0000_s1040" type="#_x0000_t202" style="width:1280;height:360;left:9650;position:absolute;top:190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1/20000</w:t>
                    </w:r>
                  </w:p>
                </w:txbxContent>
              </v:textbox>
            </v:shape>
            <v:shape id="_x0000_s1041" type="#_x0000_t202" style="width:921;height:360;left:13070;position:absolute;top:190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±3mm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84"/>
        <w:ind w:left="2337" w:right="0" w:firstLine="0"/>
        <w:jc w:val="left"/>
        <w:rPr>
          <w:sz w:val="36"/>
        </w:rPr>
      </w:pPr>
      <w:r>
        <w:rPr>
          <w:sz w:val="36"/>
        </w:rPr>
        <w:t>注：本工程控制网为三级控制网。</w:t>
      </w:r>
    </w:p>
    <w:p>
      <w:pPr>
        <w:spacing w:after="0"/>
        <w:jc w:val="left"/>
        <w:rPr>
          <w:sz w:val="36"/>
        </w:rPr>
        <w:sectPr>
          <w:headerReference w:type="default" r:id="rId23"/>
          <w:footerReference w:type="default" r:id="rId24"/>
          <w:pgSz w:w="17860" w:h="25260"/>
          <w:pgMar w:top="1360" w:right="0" w:bottom="1400" w:left="680" w:header="1024" w:footer="1209"/>
          <w:pgNumType w:start="7"/>
          <w:cols w:space="708"/>
        </w:sectPr>
      </w:pPr>
    </w:p>
    <w:p>
      <w:pPr>
        <w:spacing w:before="100"/>
        <w:ind w:left="0" w:right="5192" w:firstLine="0"/>
        <w:jc w:val="right"/>
        <w:rPr>
          <w:rFonts w:ascii="Arial"/>
          <w:sz w:val="27"/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1320800</wp:posOffset>
            </wp:positionH>
            <wp:positionV relativeFrom="paragraph">
              <wp:posOffset>230159</wp:posOffset>
            </wp:positionV>
            <wp:extent cx="10020045" cy="38100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0045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495300</wp:posOffset>
            </wp:positionH>
            <wp:positionV relativeFrom="paragraph">
              <wp:posOffset>2224059</wp:posOffset>
            </wp:positionV>
            <wp:extent cx="10845545" cy="2425700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45545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89"/>
          <w:sz w:val="27"/>
        </w:rPr>
        <w:t>.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6"/>
        <w:rPr>
          <w:rFonts w:ascii="Arial"/>
          <w:sz w:val="18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7581900</wp:posOffset>
            </wp:positionH>
            <wp:positionV relativeFrom="paragraph">
              <wp:posOffset>160345</wp:posOffset>
            </wp:positionV>
            <wp:extent cx="1304592" cy="202692"/>
            <wp:effectExtent l="0" t="0" r="0" b="0"/>
            <wp:wrapTopAndBottom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1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592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rFonts w:ascii="Arial"/>
          <w:sz w:val="4"/>
        </w:rPr>
      </w:pPr>
    </w:p>
    <w:p>
      <w:pPr>
        <w:pStyle w:val="BodyText"/>
        <w:spacing w:line="59" w:lineRule="exact"/>
        <w:ind w:left="11220"/>
        <w:rPr>
          <w:rFonts w:ascii="Arial"/>
          <w:sz w:val="5"/>
        </w:rPr>
      </w:pPr>
      <w:r>
        <w:rPr>
          <w:rFonts w:ascii="Arial"/>
          <w:position w:val="0"/>
          <w:sz w:val="5"/>
        </w:rPr>
        <w:drawing>
          <wp:inline distT="0" distB="0" distL="0" distR="0">
            <wp:extent cx="1380839" cy="38004"/>
            <wp:effectExtent l="0" t="0" r="0" b="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2.pn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083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Arial"/>
          <w:sz w:val="26"/>
        </w:rPr>
      </w:pPr>
    </w:p>
    <w:p>
      <w:pPr>
        <w:pStyle w:val="BodyText"/>
        <w:rPr>
          <w:rFonts w:ascii="Arial"/>
          <w:sz w:val="26"/>
        </w:rPr>
      </w:pPr>
    </w:p>
    <w:p>
      <w:pPr>
        <w:pStyle w:val="BodyText"/>
        <w:rPr>
          <w:rFonts w:ascii="Arial"/>
          <w:sz w:val="26"/>
        </w:rPr>
      </w:pPr>
    </w:p>
    <w:p>
      <w:pPr>
        <w:pStyle w:val="BodyText"/>
        <w:rPr>
          <w:rFonts w:ascii="Arial"/>
          <w:sz w:val="26"/>
        </w:rPr>
      </w:pPr>
    </w:p>
    <w:p>
      <w:pPr>
        <w:pStyle w:val="BodyText"/>
        <w:rPr>
          <w:rFonts w:ascii="Arial"/>
          <w:sz w:val="26"/>
        </w:rPr>
      </w:pPr>
    </w:p>
    <w:p>
      <w:pPr>
        <w:pStyle w:val="BodyText"/>
        <w:rPr>
          <w:rFonts w:ascii="Arial"/>
          <w:sz w:val="26"/>
        </w:rPr>
      </w:pPr>
    </w:p>
    <w:p>
      <w:pPr>
        <w:pStyle w:val="BodyText"/>
        <w:rPr>
          <w:rFonts w:ascii="Arial"/>
          <w:sz w:val="26"/>
        </w:rPr>
      </w:pPr>
    </w:p>
    <w:p>
      <w:pPr>
        <w:pStyle w:val="BodyText"/>
        <w:rPr>
          <w:rFonts w:ascii="Arial"/>
          <w:sz w:val="26"/>
        </w:rPr>
      </w:pPr>
    </w:p>
    <w:p>
      <w:pPr>
        <w:pStyle w:val="BodyText"/>
        <w:rPr>
          <w:rFonts w:ascii="Arial"/>
          <w:sz w:val="26"/>
        </w:rPr>
      </w:pPr>
    </w:p>
    <w:p>
      <w:pPr>
        <w:pStyle w:val="BodyText"/>
        <w:spacing w:before="4"/>
        <w:rPr>
          <w:rFonts w:ascii="Arial"/>
          <w:sz w:val="37"/>
        </w:rPr>
      </w:pPr>
    </w:p>
    <w:p>
      <w:pPr>
        <w:tabs>
          <w:tab w:val="left" w:pos="2127"/>
          <w:tab w:val="left" w:pos="2811"/>
          <w:tab w:val="left" w:pos="13675"/>
          <w:tab w:val="left" w:pos="14355"/>
          <w:tab w:val="left" w:pos="15038"/>
          <w:tab w:val="left" w:pos="15718"/>
          <w:tab w:val="left" w:pos="16402"/>
        </w:tabs>
        <w:spacing w:before="0"/>
        <w:ind w:left="1447" w:right="0" w:firstLine="0"/>
        <w:jc w:val="left"/>
        <w:rPr>
          <w:sz w:val="36"/>
        </w:rPr>
      </w:pPr>
      <w:r>
        <w:rPr>
          <w:sz w:val="36"/>
        </w:rPr>
        <w:t>备</w:t>
        <w:tab/>
        <w:t>注</w:t>
        <w:tab/>
        <w:t>： W J Z T 0 1 、 W J Z T 0 2 、 W J Z T 0 4 、 W J Z T</w:t>
      </w:r>
      <w:r>
        <w:rPr>
          <w:spacing w:val="-81"/>
          <w:sz w:val="36"/>
        </w:rPr>
        <w:t xml:space="preserve"> </w:t>
      </w:r>
      <w:r>
        <w:rPr>
          <w:sz w:val="36"/>
        </w:rPr>
        <w:t>0</w:t>
      </w:r>
      <w:r>
        <w:rPr>
          <w:spacing w:val="-19"/>
          <w:sz w:val="36"/>
        </w:rPr>
        <w:t xml:space="preserve"> </w:t>
      </w:r>
      <w:r>
        <w:rPr>
          <w:sz w:val="36"/>
        </w:rPr>
        <w:t>5</w:t>
        <w:tab/>
        <w:t>为</w:t>
        <w:tab/>
        <w:t>建</w:t>
        <w:tab/>
        <w:t>设</w:t>
        <w:tab/>
        <w:t>方</w:t>
        <w:tab/>
        <w:t>提</w:t>
      </w: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spacing w:before="235"/>
        <w:ind w:left="1447" w:right="0" w:firstLine="0"/>
        <w:jc w:val="left"/>
        <w:rPr>
          <w:rFonts w:ascii="Arial"/>
          <w:sz w:val="27"/>
        </w:rPr>
      </w:pPr>
      <w:r>
        <w:rPr>
          <w:rFonts w:ascii="Arial"/>
          <w:w w:val="89"/>
          <w:sz w:val="27"/>
        </w:rPr>
        <w:t>.</w:t>
      </w:r>
    </w:p>
    <w:p>
      <w:pPr>
        <w:spacing w:after="0"/>
        <w:jc w:val="left"/>
        <w:rPr>
          <w:rFonts w:ascii="Arial"/>
          <w:sz w:val="27"/>
        </w:rPr>
        <w:sectPr>
          <w:headerReference w:type="default" r:id="rId29"/>
          <w:footerReference w:type="default" r:id="rId30"/>
          <w:pgSz w:w="17860" w:h="25260"/>
          <w:pgMar w:top="920" w:right="0" w:bottom="280" w:left="680" w:header="0" w:footer="0"/>
          <w:pgNumType w:start="8"/>
          <w:cols w:space="708"/>
        </w:sectPr>
      </w:pPr>
    </w:p>
    <w:p>
      <w:pPr>
        <w:spacing w:before="100"/>
        <w:ind w:left="0" w:right="675" w:firstLine="0"/>
        <w:jc w:val="center"/>
        <w:rPr>
          <w:rFonts w:ascii="Arial"/>
          <w:sz w:val="27"/>
        </w:rPr>
      </w:pPr>
      <w:r>
        <w:rPr>
          <w:rFonts w:ascii="Arial"/>
          <w:w w:val="89"/>
          <w:sz w:val="27"/>
        </w:rPr>
        <w:t>.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  <w:sectPr>
          <w:headerReference w:type="default" r:id="rId31"/>
          <w:footerReference w:type="default" r:id="rId32"/>
          <w:pgSz w:w="17860" w:h="25260"/>
          <w:pgMar w:top="920" w:right="0" w:bottom="1400" w:left="680" w:header="0" w:footer="1209"/>
          <w:pgNumType w:start="9"/>
          <w:cols w:space="708"/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0"/>
        <w:rPr>
          <w:rFonts w:ascii="Arial"/>
          <w:sz w:val="15"/>
        </w:rPr>
        <w:sectPr>
          <w:headerReference w:type="default" r:id="rId33"/>
          <w:footerReference w:type="default" r:id="rId34"/>
          <w:type w:val="nextPage"/>
          <w:pgSz w:w="17860" w:h="25260"/>
          <w:pgMar w:top="920" w:right="0" w:bottom="1400" w:left="680" w:header="0" w:footer="1209"/>
          <w:pgNumType w:start="10"/>
          <w:cols w:space="708"/>
          <w:titlePg w:val="0"/>
        </w:sectPr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1422400</wp:posOffset>
            </wp:positionH>
            <wp:positionV relativeFrom="paragraph">
              <wp:posOffset>140676</wp:posOffset>
            </wp:positionV>
            <wp:extent cx="1270" cy="1270"/>
            <wp:effectExtent l="0" t="0" r="0" b="0"/>
            <wp:wrapTopAndBottom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.png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2"/>
          <w:numId w:val="2"/>
        </w:numPr>
        <w:tabs>
          <w:tab w:val="left" w:pos="3612"/>
        </w:tabs>
        <w:spacing w:before="0" w:after="0" w:line="22783" w:lineRule="exact"/>
        <w:ind w:left="3611" w:right="0" w:hanging="1156"/>
        <w:jc w:val="left"/>
        <w:rPr>
          <w:sz w:val="42"/>
        </w:rPr>
      </w:pPr>
      <w:r>
        <w:rPr>
          <w:sz w:val="42"/>
        </w:rPr>
        <w:t>标识</w:t>
      </w:r>
      <w:r>
        <w:rPr>
          <w:sz w:val="42"/>
        </w:rPr>
        <w:br/>
      </w:r>
      <w:r>
        <w:rPr>
          <w:sz w:val="42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3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https://d.book118.com/517146010043006033</w:t>
        </w:r>
      </w:hyperlink>
    </w:p>
    <w:p>
      <w:pPr>
        <w:pStyle w:val="ListParagraph"/>
        <w:numPr>
          <w:ilvl w:val="2"/>
          <w:numId w:val="2"/>
        </w:numPr>
        <w:tabs>
          <w:tab w:val="left" w:pos="3612"/>
        </w:tabs>
        <w:spacing w:before="0" w:after="0" w:line="22783" w:lineRule="exact"/>
        <w:ind w:left="3611" w:right="0" w:hanging="1156"/>
        <w:jc w:val="left"/>
        <w:rPr>
          <w:sz w:val="42"/>
        </w:rPr>
      </w:pPr>
    </w:p>
    <w:sectPr>
      <w:headerReference w:type="default" r:id="rId37"/>
      <w:footerReference w:type="default" r:id="rId38"/>
      <w:type w:val="nextPage"/>
      <w:pgSz w:w="17860" w:h="25260"/>
      <w:pgMar w:top="920" w:right="0" w:bottom="1400" w:left="680" w:header="0" w:footer="1209"/>
      <w:pgNumType w:start="11"/>
      <w:cols w:space="708"/>
      <w:titlePg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5.4pt;height:15.5pt;margin-top:1191.41pt;margin-left:113.88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33" w:line="277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5.4pt;height:15.5pt;margin-top:1191.41pt;margin-left:113.88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33" w:line="277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5.4pt;height:15.5pt;margin-top:1191.41pt;margin-left:113.88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33" w:line="277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5.4pt;height:15.5pt;margin-top:1191.41pt;margin-left:113.88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33" w:line="277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5.4pt;height:15.5pt;margin-top:1191.41pt;margin-left:113.88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33" w:line="277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5.4pt;height:15.5pt;margin-top:1191.41pt;margin-left:113.88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33" w:line="277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5.4pt;height:15.5pt;margin-top:1191.41pt;margin-left:113.88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33" w:line="277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5.4pt;height:15.5pt;margin-top:1191.41pt;margin-left:113.88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33" w:line="277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5.4pt;height:15.5pt;margin-top:1191.41pt;margin-left:113.88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33" w:line="277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5.4pt;height:15.5pt;margin-top:1191.41pt;margin-left:113.88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33" w:line="277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1422400</wp:posOffset>
          </wp:positionH>
          <wp:positionV relativeFrom="page">
            <wp:posOffset>825500</wp:posOffset>
          </wp:positionV>
          <wp:extent cx="8509000" cy="381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09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5.4pt;height:15.5pt;margin-top:50.21pt;margin-left:443.86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33" w:line="277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1422400</wp:posOffset>
          </wp:positionH>
          <wp:positionV relativeFrom="page">
            <wp:posOffset>825500</wp:posOffset>
          </wp:positionV>
          <wp:extent cx="8509000" cy="38100"/>
          <wp:effectExtent l="0" t="0" r="0" b="0"/>
          <wp:wrapNone/>
          <wp:docPr id="38483798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483798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09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5.4pt;height:15.5pt;margin-top:50.21pt;margin-left:443.86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33" w:line="277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1422400</wp:posOffset>
          </wp:positionH>
          <wp:positionV relativeFrom="page">
            <wp:posOffset>825500</wp:posOffset>
          </wp:positionV>
          <wp:extent cx="8509000" cy="38100"/>
          <wp:effectExtent l="0" t="0" r="0" b="0"/>
          <wp:wrapNone/>
          <wp:docPr id="147849634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849634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09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5.4pt;height:15.5pt;margin-top:50.21pt;margin-left:443.86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33" w:line="277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1422400</wp:posOffset>
          </wp:positionH>
          <wp:positionV relativeFrom="page">
            <wp:posOffset>825500</wp:posOffset>
          </wp:positionV>
          <wp:extent cx="8509000" cy="38100"/>
          <wp:effectExtent l="0" t="0" r="0" b="0"/>
          <wp:wrapNone/>
          <wp:docPr id="171665168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665168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09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5.4pt;height:15.5pt;margin-top:50.21pt;margin-left:443.86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33" w:line="277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1422400</wp:posOffset>
          </wp:positionH>
          <wp:positionV relativeFrom="page">
            <wp:posOffset>825500</wp:posOffset>
          </wp:positionV>
          <wp:extent cx="8509000" cy="38100"/>
          <wp:effectExtent l="0" t="0" r="0" b="0"/>
          <wp:wrapNone/>
          <wp:docPr id="28054657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54657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09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5.4pt;height:15.5pt;margin-top:50.21pt;margin-left:443.86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33" w:line="277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8480" behindDoc="1" locked="0" layoutInCell="1" allowOverlap="1">
          <wp:simplePos x="0" y="0"/>
          <wp:positionH relativeFrom="page">
            <wp:posOffset>1422400</wp:posOffset>
          </wp:positionH>
          <wp:positionV relativeFrom="page">
            <wp:posOffset>825500</wp:posOffset>
          </wp:positionV>
          <wp:extent cx="8509000" cy="38100"/>
          <wp:effectExtent l="0" t="0" r="0" b="0"/>
          <wp:wrapNone/>
          <wp:docPr id="138858289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858289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09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5.4pt;height:15.5pt;margin-top:50.21pt;margin-left:443.86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33" w:line="277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0528" behindDoc="1" locked="0" layoutInCell="1" allowOverlap="1">
          <wp:simplePos x="0" y="0"/>
          <wp:positionH relativeFrom="page">
            <wp:posOffset>1422400</wp:posOffset>
          </wp:positionH>
          <wp:positionV relativeFrom="page">
            <wp:posOffset>825500</wp:posOffset>
          </wp:positionV>
          <wp:extent cx="8509000" cy="38100"/>
          <wp:effectExtent l="0" t="0" r="0" b="0"/>
          <wp:wrapNone/>
          <wp:docPr id="135615411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615411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09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5.4pt;height:15.5pt;margin-top:50.21pt;margin-left:443.86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33" w:line="277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A3B43"/>
    <w:multiLevelType w:val="hybridMultilevel"/>
    <w:tmpl w:val="00000000"/>
    <w:lvl w:ilvl="0">
      <w:start w:val="3"/>
      <w:numFmt w:val="decimal"/>
      <w:lvlText w:val="%1"/>
      <w:lvlJc w:val="left"/>
      <w:pPr>
        <w:ind w:left="2668" w:hanging="73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68" w:hanging="735"/>
        <w:jc w:val="left"/>
      </w:pPr>
      <w:rPr>
        <w:rFonts w:ascii="仿宋" w:eastAsia="仿宋" w:hAnsi="仿宋" w:cs="仿宋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5563" w:hanging="7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15" w:hanging="7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467" w:hanging="7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919" w:hanging="7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371" w:hanging="7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823" w:hanging="7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275" w:hanging="735"/>
      </w:pPr>
      <w:rPr>
        <w:rFonts w:hint="default"/>
      </w:rPr>
    </w:lvl>
  </w:abstractNum>
  <w:abstractNum w:abstractNumId="1">
    <w:nsid w:val="1980145B"/>
    <w:multiLevelType w:val="hybridMultilevel"/>
    <w:tmpl w:val="00000000"/>
    <w:lvl w:ilvl="0">
      <w:start w:val="4"/>
      <w:numFmt w:val="decimal"/>
      <w:lvlText w:val="%1"/>
      <w:lvlJc w:val="left"/>
      <w:pPr>
        <w:ind w:left="3611" w:hanging="115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1" w:hanging="1156"/>
        <w:jc w:val="left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3611" w:hanging="1156"/>
        <w:jc w:val="left"/>
      </w:pPr>
      <w:rPr>
        <w:rFonts w:ascii="仿宋" w:eastAsia="仿宋" w:hAnsi="仿宋" w:cs="仿宋" w:hint="default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7687" w:hanging="11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43" w:hanging="11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399" w:hanging="11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55" w:hanging="11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111" w:hanging="11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467" w:hanging="1156"/>
      </w:pPr>
      <w:rPr>
        <w:rFonts w:hint="default"/>
      </w:rPr>
    </w:lvl>
  </w:abstractNum>
  <w:abstractNum w:abstractNumId="2">
    <w:nsid w:val="38564047"/>
    <w:multiLevelType w:val="hybridMultilevel"/>
    <w:tmpl w:val="00000000"/>
    <w:lvl w:ilvl="0">
      <w:start w:val="4"/>
      <w:numFmt w:val="decimal"/>
      <w:lvlText w:val="%1"/>
      <w:lvlJc w:val="left"/>
      <w:pPr>
        <w:ind w:left="3295" w:hanging="83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295" w:hanging="839"/>
        <w:jc w:val="left"/>
      </w:pPr>
      <w:rPr>
        <w:rFonts w:ascii="仿宋" w:eastAsia="仿宋" w:hAnsi="仿宋" w:cs="仿宋" w:hint="default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1617" w:hanging="1156"/>
        <w:jc w:val="left"/>
      </w:pPr>
      <w:rPr>
        <w:rFonts w:ascii="仿宋" w:eastAsia="仿宋" w:hAnsi="仿宋" w:cs="仿宋" w:hint="default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6384" w:hanging="11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26" w:hanging="11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68" w:hanging="11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010" w:hanging="11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553" w:hanging="11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095" w:hanging="1156"/>
      </w:pPr>
      <w:rPr>
        <w:rFonts w:hint="default"/>
      </w:rPr>
    </w:lvl>
  </w:abstractNum>
  <w:abstractNum w:abstractNumId="3">
    <w:nsid w:val="44BA1E47"/>
    <w:multiLevelType w:val="hybridMultilevel"/>
    <w:tmpl w:val="00000000"/>
    <w:lvl w:ilvl="0">
      <w:start w:val="3"/>
      <w:numFmt w:val="decimal"/>
      <w:lvlText w:val="%1"/>
      <w:lvlJc w:val="left"/>
      <w:pPr>
        <w:ind w:left="3190" w:hanging="73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190" w:hanging="735"/>
        <w:jc w:val="left"/>
      </w:pPr>
      <w:rPr>
        <w:rFonts w:ascii="仿宋" w:eastAsia="仿宋" w:hAnsi="仿宋" w:cs="仿宋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5995" w:hanging="7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393" w:hanging="7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91" w:hanging="7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89" w:hanging="7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587" w:hanging="7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985" w:hanging="7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383" w:hanging="735"/>
      </w:pPr>
      <w:rPr>
        <w:rFonts w:hint="default"/>
      </w:rPr>
    </w:lvl>
  </w:abstractNum>
  <w:abstractNum w:abstractNumId="4">
    <w:nsid w:val="6079EC4A"/>
    <w:multiLevelType w:val="hybridMultilevel"/>
    <w:tmpl w:val="00000000"/>
    <w:lvl w:ilvl="0">
      <w:start w:val="4"/>
      <w:numFmt w:val="decimal"/>
      <w:lvlText w:val="%1"/>
      <w:lvlJc w:val="left"/>
      <w:pPr>
        <w:ind w:left="2773" w:hanging="83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73" w:hanging="839"/>
        <w:jc w:val="left"/>
      </w:pPr>
      <w:rPr>
        <w:rFonts w:ascii="仿宋" w:eastAsia="仿宋" w:hAnsi="仿宋" w:cs="仿宋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5659" w:hanging="8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99" w:hanging="8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539" w:hanging="8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979" w:hanging="8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419" w:hanging="8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859" w:hanging="8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299" w:hanging="839"/>
      </w:pPr>
      <w:rPr>
        <w:rFonts w:hint="default"/>
      </w:rPr>
    </w:lvl>
  </w:abstractNum>
  <w:abstractNum w:abstractNumId="5">
    <w:nsid w:val="61C4144C"/>
    <w:multiLevelType w:val="hybridMultilevel"/>
    <w:tmpl w:val="00000000"/>
    <w:lvl w:ilvl="0">
      <w:start w:val="4"/>
      <w:numFmt w:val="decimal"/>
      <w:lvlText w:val="%1"/>
      <w:lvlJc w:val="left"/>
      <w:pPr>
        <w:ind w:left="3295" w:hanging="83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295" w:hanging="839"/>
        <w:jc w:val="left"/>
      </w:pPr>
      <w:rPr>
        <w:rFonts w:ascii="仿宋" w:eastAsia="仿宋" w:hAnsi="仿宋" w:cs="仿宋" w:hint="default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1617" w:hanging="1156"/>
        <w:jc w:val="left"/>
      </w:pPr>
      <w:rPr>
        <w:rFonts w:ascii="仿宋" w:eastAsia="仿宋" w:hAnsi="仿宋" w:cs="仿宋" w:hint="default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6384" w:hanging="11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26" w:hanging="11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68" w:hanging="11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010" w:hanging="11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553" w:hanging="11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095" w:hanging="1156"/>
      </w:pPr>
      <w:rPr>
        <w:rFonts w:hint="default"/>
      </w:rPr>
    </w:lvl>
  </w:abstractNum>
  <w:abstractNum w:abstractNumId="6">
    <w:nsid w:val="7BB23B36"/>
    <w:multiLevelType w:val="hybridMultilevel"/>
    <w:tmpl w:val="00000000"/>
    <w:lvl w:ilvl="0">
      <w:start w:val="3"/>
      <w:numFmt w:val="decimal"/>
      <w:lvlText w:val="%1"/>
      <w:lvlJc w:val="left"/>
      <w:pPr>
        <w:ind w:left="2668" w:hanging="73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68" w:hanging="735"/>
        <w:jc w:val="left"/>
      </w:pPr>
      <w:rPr>
        <w:rFonts w:ascii="仿宋" w:eastAsia="仿宋" w:hAnsi="仿宋" w:cs="仿宋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5563" w:hanging="7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15" w:hanging="7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467" w:hanging="7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919" w:hanging="7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371" w:hanging="7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823" w:hanging="7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275" w:hanging="735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</w:rPr>
  </w:style>
  <w:style w:type="paragraph" w:styleId="Heading1">
    <w:name w:val="heading 1"/>
    <w:basedOn w:val="Normal"/>
    <w:uiPriority w:val="1"/>
    <w:qFormat/>
    <w:pPr>
      <w:ind w:left="1617"/>
      <w:outlineLvl w:val="0"/>
    </w:pPr>
    <w:rPr>
      <w:rFonts w:ascii="仿宋" w:eastAsia="仿宋" w:hAnsi="仿宋" w:cs="仿宋"/>
      <w:b/>
      <w:bCs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98"/>
      <w:ind w:left="1624"/>
    </w:pPr>
    <w:rPr>
      <w:rFonts w:ascii="仿宋" w:eastAsia="仿宋" w:hAnsi="仿宋" w:cs="仿宋"/>
      <w:b/>
      <w:bCs/>
      <w:sz w:val="42"/>
      <w:szCs w:val="42"/>
    </w:rPr>
  </w:style>
  <w:style w:type="paragraph" w:styleId="TOC2">
    <w:name w:val="toc 2"/>
    <w:basedOn w:val="Normal"/>
    <w:uiPriority w:val="1"/>
    <w:qFormat/>
    <w:pPr>
      <w:spacing w:before="398"/>
      <w:ind w:left="2668" w:hanging="735"/>
    </w:pPr>
    <w:rPr>
      <w:rFonts w:ascii="仿宋" w:eastAsia="仿宋" w:hAnsi="仿宋" w:cs="仿宋"/>
      <w:sz w:val="42"/>
      <w:szCs w:val="42"/>
    </w:rPr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sz w:val="42"/>
      <w:szCs w:val="42"/>
    </w:rPr>
  </w:style>
  <w:style w:type="paragraph" w:styleId="Title">
    <w:name w:val="Title"/>
    <w:basedOn w:val="Normal"/>
    <w:uiPriority w:val="1"/>
    <w:qFormat/>
    <w:pPr>
      <w:spacing w:before="102"/>
      <w:ind w:left="1714" w:right="2420"/>
      <w:jc w:val="center"/>
    </w:pPr>
    <w:rPr>
      <w:rFonts w:ascii="宋体" w:eastAsia="宋体" w:hAnsi="宋体" w:cs="宋体"/>
      <w:b/>
      <w:bCs/>
      <w:sz w:val="78"/>
      <w:szCs w:val="78"/>
    </w:rPr>
  </w:style>
  <w:style w:type="paragraph" w:styleId="ListParagraph">
    <w:name w:val="List Paragraph"/>
    <w:basedOn w:val="Normal"/>
    <w:uiPriority w:val="1"/>
    <w:qFormat/>
    <w:pPr>
      <w:ind w:left="3611" w:hanging="1156"/>
    </w:pPr>
    <w:rPr>
      <w:rFonts w:ascii="仿宋" w:eastAsia="仿宋" w:hAnsi="仿宋" w:cs="仿宋"/>
    </w:rPr>
  </w:style>
  <w:style w:type="paragraph" w:customStyle="1" w:styleId="TableParagraph">
    <w:name w:val="Table Paragraph"/>
    <w:basedOn w:val="Normal"/>
    <w:uiPriority w:val="1"/>
    <w:qFormat/>
    <w:pPr>
      <w:jc w:val="center"/>
    </w:pPr>
    <w:rPr>
      <w:rFonts w:ascii="仿宋" w:eastAsia="仿宋" w:hAnsi="仿宋" w:cs="仿宋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image" Target="media/image5.png" /><Relationship Id="rId14" Type="http://schemas.openxmlformats.org/officeDocument/2006/relationships/header" Target="header4.xml" /><Relationship Id="rId15" Type="http://schemas.openxmlformats.org/officeDocument/2006/relationships/footer" Target="footer4.xml" /><Relationship Id="rId16" Type="http://schemas.openxmlformats.org/officeDocument/2006/relationships/image" Target="media/image6.png" /><Relationship Id="rId17" Type="http://schemas.openxmlformats.org/officeDocument/2006/relationships/image" Target="media/image7.png" /><Relationship Id="rId18" Type="http://schemas.openxmlformats.org/officeDocument/2006/relationships/header" Target="header5.xml" /><Relationship Id="rId19" Type="http://schemas.openxmlformats.org/officeDocument/2006/relationships/footer" Target="footer5.xml" /><Relationship Id="rId2" Type="http://schemas.openxmlformats.org/officeDocument/2006/relationships/webSettings" Target="webSettings.xml" /><Relationship Id="rId20" Type="http://schemas.openxmlformats.org/officeDocument/2006/relationships/header" Target="header6.xml" /><Relationship Id="rId21" Type="http://schemas.openxmlformats.org/officeDocument/2006/relationships/footer" Target="footer6.xml" /><Relationship Id="rId22" Type="http://schemas.openxmlformats.org/officeDocument/2006/relationships/image" Target="media/image8.png" /><Relationship Id="rId23" Type="http://schemas.openxmlformats.org/officeDocument/2006/relationships/header" Target="header7.xml" /><Relationship Id="rId24" Type="http://schemas.openxmlformats.org/officeDocument/2006/relationships/footer" Target="footer7.xml" /><Relationship Id="rId25" Type="http://schemas.openxmlformats.org/officeDocument/2006/relationships/image" Target="media/image9.png" /><Relationship Id="rId26" Type="http://schemas.openxmlformats.org/officeDocument/2006/relationships/image" Target="media/image10.png" /><Relationship Id="rId27" Type="http://schemas.openxmlformats.org/officeDocument/2006/relationships/image" Target="media/image11.png" /><Relationship Id="rId28" Type="http://schemas.openxmlformats.org/officeDocument/2006/relationships/image" Target="media/image12.png" /><Relationship Id="rId29" Type="http://schemas.openxmlformats.org/officeDocument/2006/relationships/header" Target="header8.xml" /><Relationship Id="rId3" Type="http://schemas.openxmlformats.org/officeDocument/2006/relationships/fontTable" Target="fontTable.xml" /><Relationship Id="rId30" Type="http://schemas.openxmlformats.org/officeDocument/2006/relationships/footer" Target="footer8.xml" /><Relationship Id="rId31" Type="http://schemas.openxmlformats.org/officeDocument/2006/relationships/header" Target="header9.xml" /><Relationship Id="rId32" Type="http://schemas.openxmlformats.org/officeDocument/2006/relationships/footer" Target="footer9.xml" /><Relationship Id="rId33" Type="http://schemas.openxmlformats.org/officeDocument/2006/relationships/header" Target="header10.xml" /><Relationship Id="rId34" Type="http://schemas.openxmlformats.org/officeDocument/2006/relationships/footer" Target="footer10.xml" /><Relationship Id="rId35" Type="http://schemas.openxmlformats.org/officeDocument/2006/relationships/image" Target="media/image4.png" /><Relationship Id="rId36" Type="http://schemas.openxmlformats.org/officeDocument/2006/relationships/hyperlink" Target="https://d.book118.com/517146010043006033" TargetMode="External" /><Relationship Id="rId37" Type="http://schemas.openxmlformats.org/officeDocument/2006/relationships/header" Target="header11.xml" /><Relationship Id="rId38" Type="http://schemas.openxmlformats.org/officeDocument/2006/relationships/footer" Target="footer11.xml" /><Relationship Id="rId39" Type="http://schemas.openxmlformats.org/officeDocument/2006/relationships/theme" Target="theme/theme1.xml" /><Relationship Id="rId4" Type="http://schemas.openxmlformats.org/officeDocument/2006/relationships/image" Target="media/image1.jpeg" /><Relationship Id="rId40" Type="http://schemas.openxmlformats.org/officeDocument/2006/relationships/numbering" Target="numbering.xml" /><Relationship Id="rId41" Type="http://schemas.openxmlformats.org/officeDocument/2006/relationships/styles" Target="styles.xml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2024-01-07T23:00:45Z</dcterms:created>
  <dcterms:modified xsi:type="dcterms:W3CDTF">2024-01-07T23:00:45Z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2022-11-10T00:00:00Z</vt:filetime>
  </property>
  <property fmtid="{D5CDD505-2E9C-101B-9397-08002B2CF9AE}" pid="3" name="LastSaved">
    <vt:filetime>2024-01-07T00:00:00Z</vt:filetime>
  </property>
</Properties>
</file>