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tabs>
          <w:tab w:val="left" w:pos="1889"/>
        </w:tabs>
        <w:spacing w:before="211"/>
        <w:ind w:left="0" w:right="372" w:firstLine="0"/>
        <w:jc w:val="center"/>
      </w:pPr>
      <w:r>
        <w:t>第一章</w:t>
        <w:tab/>
        <w:t>投标书编制综合说明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586"/>
        </w:tabs>
        <w:spacing w:before="43" w:after="0" w:line="240" w:lineRule="auto"/>
        <w:ind w:left="585" w:right="0" w:hanging="426"/>
        <w:jc w:val="left"/>
        <w:rPr>
          <w:b/>
          <w:sz w:val="42"/>
        </w:rPr>
      </w:pPr>
      <w:r>
        <w:rPr>
          <w:b/>
          <w:sz w:val="42"/>
        </w:rPr>
        <w:t>编制依据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22"/>
        </w:numPr>
        <w:tabs>
          <w:tab w:val="left" w:pos="896"/>
        </w:tabs>
        <w:spacing w:before="0" w:after="0" w:line="240" w:lineRule="auto"/>
        <w:ind w:left="895" w:right="0" w:hanging="736"/>
        <w:jc w:val="left"/>
        <w:rPr>
          <w:sz w:val="42"/>
        </w:rPr>
      </w:pPr>
      <w:r>
        <w:rPr>
          <w:sz w:val="42"/>
        </w:rPr>
        <w:t>河畔雅苑建设部分停车位工程招标文件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2"/>
        </w:numPr>
        <w:tabs>
          <w:tab w:val="left" w:pos="896"/>
        </w:tabs>
        <w:spacing w:before="0" w:after="0" w:line="417" w:lineRule="auto"/>
        <w:ind w:left="160" w:right="6380" w:firstLine="0"/>
        <w:jc w:val="left"/>
        <w:rPr>
          <w:sz w:val="42"/>
        </w:rPr>
      </w:pPr>
      <w:r>
        <w:rPr>
          <w:spacing w:val="-1"/>
          <w:sz w:val="42"/>
        </w:rPr>
        <w:t>河畔雅苑建设部分停车位工程设计图纸。</w:t>
      </w:r>
      <w:r>
        <w:rPr>
          <w:sz w:val="42"/>
        </w:rPr>
        <w:t>1.3《中华人民共和国建筑法》</w:t>
      </w:r>
    </w:p>
    <w:p>
      <w:pPr>
        <w:pStyle w:val="ListParagraph"/>
        <w:numPr>
          <w:ilvl w:val="1"/>
          <w:numId w:val="21"/>
        </w:numPr>
        <w:tabs>
          <w:tab w:val="left" w:pos="794"/>
        </w:tabs>
        <w:spacing w:before="0" w:after="0" w:line="537" w:lineRule="exact"/>
        <w:ind w:left="793" w:right="0" w:hanging="634"/>
        <w:jc w:val="left"/>
        <w:rPr>
          <w:sz w:val="42"/>
        </w:rPr>
      </w:pPr>
      <w:r>
        <w:rPr>
          <w:sz w:val="42"/>
        </w:rPr>
        <w:t>《建设工程质量管理条例》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794"/>
        </w:tabs>
        <w:spacing w:before="0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《建设工程安全生产管理条例》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896"/>
        </w:tabs>
        <w:spacing w:before="0" w:after="0" w:line="240" w:lineRule="auto"/>
        <w:ind w:left="895" w:right="0" w:hanging="736"/>
        <w:jc w:val="left"/>
        <w:rPr>
          <w:sz w:val="42"/>
        </w:rPr>
      </w:pPr>
      <w:r>
        <w:rPr>
          <w:sz w:val="42"/>
        </w:rPr>
        <w:t>本单位技术、机械设备、资源等综合条件和以往的施工经验。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1"/>
        </w:numPr>
        <w:tabs>
          <w:tab w:val="left" w:pos="892"/>
        </w:tabs>
        <w:spacing w:before="0" w:after="0" w:line="417" w:lineRule="auto"/>
        <w:ind w:left="160" w:right="292" w:firstLine="0"/>
        <w:jc w:val="left"/>
        <w:rPr>
          <w:b/>
          <w:sz w:val="42"/>
        </w:rPr>
      </w:pPr>
      <w:r>
        <w:rPr>
          <w:spacing w:val="52"/>
          <w:sz w:val="42"/>
        </w:rPr>
        <w:t>公司</w:t>
      </w:r>
      <w:r>
        <w:rPr>
          <w:sz w:val="42"/>
        </w:rPr>
        <w:t>ISO9001-2000</w:t>
      </w:r>
      <w:r>
        <w:rPr>
          <w:spacing w:val="-11"/>
          <w:sz w:val="42"/>
        </w:rPr>
        <w:t xml:space="preserve"> 企业质量标准文件及标准化现场施工管理的有关细则。</w:t>
      </w:r>
      <w:r>
        <w:rPr>
          <w:b/>
          <w:sz w:val="42"/>
        </w:rPr>
        <w:t>2.运用规范</w:t>
      </w:r>
    </w:p>
    <w:p>
      <w:pPr>
        <w:pStyle w:val="BodyText"/>
        <w:spacing w:line="537" w:lineRule="exact"/>
        <w:ind w:left="999"/>
      </w:pPr>
      <w:r>
        <w:t>国家现行颁发的：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1" w:after="0" w:line="240" w:lineRule="auto"/>
        <w:ind w:left="793" w:right="0" w:hanging="634"/>
        <w:jc w:val="left"/>
        <w:rPr>
          <w:sz w:val="42"/>
        </w:rPr>
      </w:pPr>
      <w:r>
        <w:rPr>
          <w:spacing w:val="-15"/>
          <w:sz w:val="42"/>
        </w:rPr>
        <w:t>《城镇道路工程施工及验收规范》</w:t>
      </w:r>
      <w:r>
        <w:rPr>
          <w:sz w:val="42"/>
        </w:rPr>
        <w:t>（CJJI-2008）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0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《市政道路工程施工质量验收规程</w:t>
      </w:r>
      <w:r>
        <w:rPr>
          <w:spacing w:val="-226"/>
          <w:sz w:val="42"/>
        </w:rPr>
        <w:t>》</w:t>
      </w:r>
      <w:r>
        <w:rPr>
          <w:sz w:val="42"/>
        </w:rPr>
        <w:t>（DB13(J)55-2005）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1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《给水排水管道工程施工质量验收规范</w:t>
      </w:r>
      <w:r>
        <w:rPr>
          <w:spacing w:val="-231"/>
          <w:sz w:val="42"/>
        </w:rPr>
        <w:t>》</w:t>
      </w:r>
      <w:r>
        <w:rPr>
          <w:sz w:val="42"/>
        </w:rPr>
        <w:t>（GB50268-2008）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0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《城市道路路基工程施工及验收规范</w:t>
      </w:r>
      <w:r>
        <w:rPr>
          <w:spacing w:val="-226"/>
          <w:sz w:val="42"/>
        </w:rPr>
        <w:t>》</w:t>
      </w:r>
      <w:r>
        <w:rPr>
          <w:sz w:val="42"/>
        </w:rPr>
        <w:t>（CJJ44-91）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0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《水泥混凝土路面施工及验收规范</w:t>
      </w:r>
      <w:r>
        <w:rPr>
          <w:spacing w:val="-228"/>
          <w:sz w:val="42"/>
        </w:rPr>
        <w:t>》</w:t>
      </w:r>
      <w:r>
        <w:rPr>
          <w:sz w:val="42"/>
        </w:rPr>
        <w:t>（GBJ97—87）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794"/>
        </w:tabs>
        <w:spacing w:before="1" w:after="0" w:line="240" w:lineRule="auto"/>
        <w:ind w:left="793" w:right="0" w:hanging="634"/>
        <w:jc w:val="left"/>
        <w:rPr>
          <w:sz w:val="42"/>
        </w:rPr>
      </w:pPr>
      <w:r>
        <w:rPr>
          <w:sz w:val="42"/>
        </w:rPr>
        <w:t>《建筑电气工程施工质量验收规范</w:t>
      </w:r>
      <w:r>
        <w:rPr>
          <w:spacing w:val="-228"/>
          <w:sz w:val="42"/>
        </w:rPr>
        <w:t>》</w:t>
      </w:r>
      <w:r>
        <w:rPr>
          <w:sz w:val="42"/>
        </w:rPr>
        <w:t>（GB50303-2002）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0"/>
        </w:numPr>
        <w:tabs>
          <w:tab w:val="left" w:pos="896"/>
        </w:tabs>
        <w:spacing w:before="0" w:after="0" w:line="417" w:lineRule="auto"/>
        <w:ind w:left="160" w:right="316" w:firstLine="0"/>
        <w:jc w:val="left"/>
        <w:rPr>
          <w:b/>
          <w:sz w:val="42"/>
        </w:rPr>
      </w:pPr>
      <w:r>
        <w:rPr>
          <w:spacing w:val="-11"/>
          <w:sz w:val="42"/>
        </w:rPr>
        <w:t>国家现行颁发的和上海市发布的有关建设工程管理的条例、法规、规定等。</w:t>
      </w:r>
      <w:r>
        <w:rPr>
          <w:b/>
          <w:sz w:val="42"/>
        </w:rPr>
        <w:t>3.施工工期目标</w:t>
      </w:r>
    </w:p>
    <w:p>
      <w:pPr>
        <w:pStyle w:val="BodyText"/>
        <w:spacing w:before="1"/>
        <w:ind w:left="999"/>
      </w:pPr>
      <w:r>
        <w:t>施工工期为 30 日历天。</w:t>
      </w:r>
    </w:p>
    <w:p>
      <w:pPr>
        <w:pStyle w:val="BodyText"/>
        <w:rPr>
          <w:sz w:val="31"/>
        </w:rPr>
      </w:pPr>
    </w:p>
    <w:p>
      <w:pPr>
        <w:pStyle w:val="Heading1"/>
        <w:numPr>
          <w:ilvl w:val="0"/>
          <w:numId w:val="19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工程质量目标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999"/>
      </w:pPr>
      <w:r>
        <w:t>符合国家施工验收规范规定的质量标准，一次验收合格 100%。</w:t>
      </w:r>
    </w:p>
    <w:p>
      <w:pPr>
        <w:pStyle w:val="BodyText"/>
        <w:rPr>
          <w:sz w:val="31"/>
        </w:rPr>
      </w:pPr>
    </w:p>
    <w:p>
      <w:pPr>
        <w:pStyle w:val="Heading1"/>
        <w:numPr>
          <w:ilvl w:val="0"/>
          <w:numId w:val="19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安全、文明施工</w:t>
      </w:r>
    </w:p>
    <w:p>
      <w:pPr>
        <w:spacing w:after="0" w:line="240" w:lineRule="auto"/>
        <w:jc w:val="left"/>
        <w:sectPr>
          <w:headerReference w:type="default" r:id="rId4"/>
          <w:type w:val="continuous"/>
          <w:pgSz w:w="17860" w:h="25260"/>
          <w:pgMar w:top="800" w:right="1000" w:bottom="280" w:left="2000" w:header="310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5" w:line="417" w:lineRule="auto"/>
        <w:ind w:left="160" w:right="527" w:firstLine="838"/>
      </w:pPr>
      <w:r>
        <w:t>本公司在工程施工中，保证按建设部《建筑安全生产监督管理规定</w:t>
      </w:r>
      <w:r>
        <w:rPr>
          <w:spacing w:val="-147"/>
        </w:rPr>
        <w:t>》、《上</w:t>
      </w:r>
      <w:r>
        <w:t>海市建设工程文明施工管理规定》及招标文件有关规定施工。</w:t>
      </w:r>
    </w:p>
    <w:p>
      <w:pPr>
        <w:pStyle w:val="Heading1"/>
        <w:tabs>
          <w:tab w:val="left" w:pos="7238"/>
        </w:tabs>
        <w:ind w:left="5349" w:firstLine="0"/>
      </w:pPr>
      <w:r>
        <w:t>第二章</w:t>
        <w:tab/>
        <w:t>施工组织设计</w:t>
      </w:r>
    </w:p>
    <w:p>
      <w:pPr>
        <w:pStyle w:val="BodyText"/>
        <w:rPr>
          <w:b/>
          <w:sz w:val="31"/>
        </w:rPr>
      </w:pPr>
    </w:p>
    <w:p>
      <w:pPr>
        <w:spacing w:before="0"/>
        <w:ind w:left="160" w:right="0" w:firstLine="0"/>
        <w:jc w:val="left"/>
        <w:rPr>
          <w:b/>
          <w:sz w:val="42"/>
        </w:rPr>
      </w:pPr>
      <w:r>
        <w:rPr>
          <w:b/>
          <w:sz w:val="42"/>
        </w:rPr>
        <w:t>一.工程概况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numPr>
          <w:ilvl w:val="0"/>
          <w:numId w:val="18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工程范围：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60" w:right="515" w:firstLine="838"/>
      </w:pPr>
      <w:r>
        <w:rPr>
          <w:spacing w:val="-9"/>
        </w:rPr>
        <w:t>本工程为河畔雅苑建设部分停车位工程，主要包括汽车停车位场地和相关</w:t>
      </w:r>
      <w:r>
        <w:t>的雨水管线及侧石、窨井等配套附属工程。</w:t>
      </w:r>
    </w:p>
    <w:p>
      <w:pPr>
        <w:pStyle w:val="Heading1"/>
        <w:numPr>
          <w:ilvl w:val="0"/>
          <w:numId w:val="18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工程概况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/>
        <w:ind w:left="999"/>
      </w:pPr>
      <w:r>
        <w:t>工程名称：河畔雅苑建设部分停车位工程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999" w:right="4591"/>
      </w:pPr>
      <w:r>
        <w:t>建设单位：上海市松江区人民政府岳阳街道办事处建设地点：河畔雅苑小区内</w:t>
      </w:r>
    </w:p>
    <w:p>
      <w:pPr>
        <w:pStyle w:val="Heading1"/>
        <w:spacing w:line="537" w:lineRule="exact"/>
        <w:ind w:left="160" w:firstLine="0"/>
      </w:pPr>
      <w:r>
        <w:t>二.施工部署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17"/>
        </w:numPr>
        <w:tabs>
          <w:tab w:val="left" w:pos="586"/>
        </w:tabs>
        <w:spacing w:before="0" w:after="0" w:line="240" w:lineRule="auto"/>
        <w:ind w:left="585" w:right="0" w:hanging="426"/>
        <w:jc w:val="left"/>
        <w:rPr>
          <w:b/>
          <w:sz w:val="42"/>
        </w:rPr>
      </w:pPr>
      <w:r>
        <w:rPr>
          <w:b/>
          <w:sz w:val="42"/>
        </w:rPr>
        <w:t>施工部署原则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60" w:right="316" w:firstLine="838"/>
      </w:pPr>
      <w:r>
        <w:rPr>
          <w:spacing w:val="-10"/>
        </w:rPr>
        <w:t>本工程施工部署原则：在各阶段中明确主导工序和重点环节，有针对性的</w:t>
      </w:r>
      <w:r>
        <w:rPr>
          <w:spacing w:val="-16"/>
        </w:rPr>
        <w:t>制定相应的技术管理和施工等保证措施，落实专人跟踪管理，合理安排劳动力</w:t>
      </w:r>
      <w:r>
        <w:rPr>
          <w:spacing w:val="-26"/>
        </w:rPr>
        <w:t xml:space="preserve">和施工设备的投入，在确保每道工序工程质量的前提下，立足抢时间，争速度， </w:t>
      </w:r>
      <w:r>
        <w:rPr>
          <w:spacing w:val="-19"/>
        </w:rPr>
        <w:t>科学的组织流水及交叉施工，严格控制关键工序的施工工期，确保按期、优质、</w:t>
      </w:r>
      <w:r>
        <w:t>高效地完成工程施工任务。</w:t>
      </w:r>
    </w:p>
    <w:p>
      <w:pPr>
        <w:pStyle w:val="Heading1"/>
        <w:numPr>
          <w:ilvl w:val="0"/>
          <w:numId w:val="17"/>
        </w:numPr>
        <w:tabs>
          <w:tab w:val="left" w:pos="586"/>
        </w:tabs>
        <w:spacing w:before="0" w:after="0" w:line="537" w:lineRule="exact"/>
        <w:ind w:left="585" w:right="0" w:hanging="426"/>
        <w:jc w:val="left"/>
      </w:pPr>
      <w:r>
        <w:t>施工顺序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施工顺序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523" w:firstLine="838"/>
      </w:pPr>
      <w:r>
        <w:rPr>
          <w:spacing w:val="-12"/>
        </w:rPr>
        <w:t>按照先主体后附属，先地下后地上的施工顺序进行施工。总体施工顺序如</w:t>
      </w:r>
      <w:r>
        <w:t>下：</w:t>
      </w:r>
    </w:p>
    <w:p>
      <w:pPr>
        <w:pStyle w:val="BodyText"/>
        <w:spacing w:line="537" w:lineRule="exact"/>
        <w:ind w:left="160"/>
      </w:pPr>
      <w:r>
        <w:t>施工准备→拆除工程→雨水管道施工→停车场场地施工→侧石施工→现场清</w:t>
      </w:r>
    </w:p>
    <w:p>
      <w:pPr>
        <w:spacing w:after="0" w:line="537" w:lineRule="exact"/>
        <w:sectPr>
          <w:headerReference w:type="default" r:id="rId5"/>
          <w:pgSz w:w="17860" w:h="25260"/>
          <w:pgMar w:top="800" w:right="1000" w:bottom="280" w:left="2000" w:header="310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60"/>
      </w:pPr>
      <w:r>
        <w:t>理→竣工验收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施工阶段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4166" w:firstLine="838"/>
        <w:rPr>
          <w:b/>
        </w:rPr>
      </w:pPr>
      <w:r>
        <w:rPr>
          <w:spacing w:val="-1"/>
        </w:rPr>
        <w:t xml:space="preserve">根据工程特点，将本工程的施工分为二个施工阶段。地下施工阶段：施工包括土方挖填、雨水管道等的施工； </w:t>
      </w:r>
      <w:r>
        <w:t xml:space="preserve">地上施工阶段：包括道渣垫层、混凝土面层的施工等。 </w:t>
      </w:r>
      <w:r>
        <w:rPr>
          <w:b/>
        </w:rPr>
        <w:t>3.施工机械的选择与部署</w:t>
      </w:r>
    </w:p>
    <w:p>
      <w:pPr>
        <w:spacing w:before="0" w:after="32" w:line="417" w:lineRule="auto"/>
        <w:ind w:left="160" w:right="379" w:firstLine="838"/>
        <w:jc w:val="left"/>
        <w:rPr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1093469</wp:posOffset>
            </wp:positionV>
            <wp:extent cx="8280400" cy="6146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040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混凝土输送机械选用：商品混凝土采用混凝土罐车运输到工地进行浇筑。</w:t>
      </w:r>
      <w:r>
        <w:rPr>
          <w:b/>
          <w:sz w:val="42"/>
        </w:rPr>
        <w:t>主要施工机械设备调配计划</w:t>
      </w:r>
    </w:p>
    <w:tbl>
      <w:tblPr>
        <w:tblStyle w:val="TableNormal0"/>
        <w:tblW w:w="0" w:type="auto"/>
        <w:jc w:val="left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37"/>
        <w:gridCol w:w="2148"/>
        <w:gridCol w:w="1116"/>
        <w:gridCol w:w="2046"/>
        <w:gridCol w:w="2984"/>
        <w:gridCol w:w="1147"/>
      </w:tblGrid>
      <w:tr>
        <w:tblPrEx>
          <w:tblW w:w="0" w:type="auto"/>
          <w:jc w:val="left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137" w:type="dxa"/>
          </w:tcPr>
          <w:p>
            <w:pPr>
              <w:pStyle w:val="TableParagraph"/>
              <w:spacing w:line="480" w:lineRule="exact"/>
              <w:ind w:left="35" w:right="121"/>
              <w:rPr>
                <w:sz w:val="42"/>
              </w:rPr>
            </w:pPr>
            <w:r>
              <w:rPr>
                <w:sz w:val="42"/>
              </w:rPr>
              <w:t>机械或设备名称</w:t>
            </w:r>
          </w:p>
        </w:tc>
        <w:tc>
          <w:tcPr>
            <w:tcW w:w="2148" w:type="dxa"/>
          </w:tcPr>
          <w:p>
            <w:pPr>
              <w:pStyle w:val="TableParagraph"/>
              <w:spacing w:line="480" w:lineRule="exact"/>
              <w:ind w:left="120" w:right="96"/>
              <w:rPr>
                <w:sz w:val="42"/>
              </w:rPr>
            </w:pPr>
            <w:r>
              <w:rPr>
                <w:sz w:val="42"/>
              </w:rPr>
              <w:t>型号规格</w:t>
            </w:r>
          </w:p>
        </w:tc>
        <w:tc>
          <w:tcPr>
            <w:tcW w:w="1116" w:type="dxa"/>
          </w:tcPr>
          <w:p>
            <w:pPr>
              <w:pStyle w:val="TableParagraph"/>
              <w:spacing w:line="480" w:lineRule="exact"/>
              <w:ind w:left="97" w:right="138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2046" w:type="dxa"/>
          </w:tcPr>
          <w:p>
            <w:pPr>
              <w:pStyle w:val="TableParagraph"/>
              <w:spacing w:line="480" w:lineRule="exact"/>
              <w:ind w:left="146" w:right="180"/>
              <w:rPr>
                <w:sz w:val="42"/>
              </w:rPr>
            </w:pPr>
            <w:r>
              <w:rPr>
                <w:sz w:val="42"/>
              </w:rPr>
              <w:t>制造年份</w:t>
            </w:r>
          </w:p>
        </w:tc>
        <w:tc>
          <w:tcPr>
            <w:tcW w:w="2984" w:type="dxa"/>
          </w:tcPr>
          <w:p>
            <w:pPr>
              <w:pStyle w:val="TableParagraph"/>
              <w:spacing w:line="480" w:lineRule="exact"/>
              <w:ind w:left="189" w:right="234"/>
              <w:rPr>
                <w:sz w:val="42"/>
              </w:rPr>
            </w:pPr>
            <w:r>
              <w:rPr>
                <w:sz w:val="42"/>
              </w:rPr>
              <w:t>额定功率(kw)</w:t>
            </w:r>
          </w:p>
        </w:tc>
        <w:tc>
          <w:tcPr>
            <w:tcW w:w="1147" w:type="dxa"/>
          </w:tcPr>
          <w:p>
            <w:pPr>
              <w:pStyle w:val="TableParagraph"/>
              <w:spacing w:line="480" w:lineRule="exact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3137" w:type="dxa"/>
          </w:tcPr>
          <w:p>
            <w:pPr>
              <w:pStyle w:val="TableParagraph"/>
              <w:spacing w:before="145"/>
              <w:ind w:left="33" w:right="121"/>
              <w:rPr>
                <w:sz w:val="42"/>
              </w:rPr>
            </w:pPr>
            <w:r>
              <w:rPr>
                <w:sz w:val="42"/>
              </w:rPr>
              <w:t>砂浆搅拌机</w:t>
            </w:r>
          </w:p>
        </w:tc>
        <w:tc>
          <w:tcPr>
            <w:tcW w:w="2148" w:type="dxa"/>
          </w:tcPr>
          <w:p>
            <w:pPr>
              <w:pStyle w:val="TableParagraph"/>
              <w:spacing w:before="145"/>
              <w:ind w:left="115" w:right="96"/>
              <w:rPr>
                <w:sz w:val="42"/>
              </w:rPr>
            </w:pPr>
            <w:r>
              <w:rPr>
                <w:sz w:val="42"/>
              </w:rPr>
              <w:t>HJ200</w:t>
            </w:r>
          </w:p>
        </w:tc>
        <w:tc>
          <w:tcPr>
            <w:tcW w:w="1116" w:type="dxa"/>
          </w:tcPr>
          <w:p>
            <w:pPr>
              <w:pStyle w:val="TableParagraph"/>
              <w:spacing w:before="145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45"/>
              <w:ind w:left="145" w:right="180"/>
              <w:rPr>
                <w:sz w:val="42"/>
              </w:rPr>
            </w:pPr>
            <w:r>
              <w:rPr>
                <w:sz w:val="42"/>
              </w:rPr>
              <w:t>2007</w:t>
            </w:r>
          </w:p>
        </w:tc>
        <w:tc>
          <w:tcPr>
            <w:tcW w:w="2984" w:type="dxa"/>
          </w:tcPr>
          <w:p>
            <w:pPr>
              <w:pStyle w:val="TableParagraph"/>
              <w:spacing w:before="145"/>
              <w:ind w:left="186" w:right="234"/>
              <w:rPr>
                <w:sz w:val="42"/>
              </w:rPr>
            </w:pPr>
            <w:r>
              <w:rPr>
                <w:sz w:val="42"/>
              </w:rPr>
              <w:t>1.5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5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6"/>
          <w:jc w:val="left"/>
        </w:trPr>
        <w:tc>
          <w:tcPr>
            <w:tcW w:w="3137" w:type="dxa"/>
          </w:tcPr>
          <w:p>
            <w:pPr>
              <w:pStyle w:val="TableParagraph"/>
              <w:spacing w:before="143"/>
              <w:ind w:left="31" w:right="121"/>
              <w:rPr>
                <w:sz w:val="42"/>
              </w:rPr>
            </w:pPr>
            <w:r>
              <w:rPr>
                <w:sz w:val="42"/>
              </w:rPr>
              <w:t>插入式振动棒</w:t>
            </w:r>
          </w:p>
        </w:tc>
        <w:tc>
          <w:tcPr>
            <w:tcW w:w="2148" w:type="dxa"/>
          </w:tcPr>
          <w:p>
            <w:pPr>
              <w:pStyle w:val="TableParagraph"/>
              <w:spacing w:before="143"/>
              <w:ind w:left="116" w:right="96"/>
              <w:rPr>
                <w:sz w:val="42"/>
              </w:rPr>
            </w:pPr>
            <w:r>
              <w:rPr>
                <w:sz w:val="42"/>
              </w:rPr>
              <w:t>ZR—70</w:t>
            </w:r>
          </w:p>
        </w:tc>
        <w:tc>
          <w:tcPr>
            <w:tcW w:w="1116" w:type="dxa"/>
          </w:tcPr>
          <w:p>
            <w:pPr>
              <w:pStyle w:val="TableParagraph"/>
              <w:spacing w:before="143"/>
              <w:ind w:right="44"/>
              <w:rPr>
                <w:sz w:val="42"/>
              </w:rPr>
            </w:pPr>
            <w:r>
              <w:rPr>
                <w:w w:val="100"/>
                <w:sz w:val="42"/>
              </w:rPr>
              <w:t>３</w:t>
            </w:r>
          </w:p>
        </w:tc>
        <w:tc>
          <w:tcPr>
            <w:tcW w:w="2046" w:type="dxa"/>
          </w:tcPr>
          <w:p>
            <w:pPr>
              <w:pStyle w:val="TableParagraph"/>
              <w:spacing w:before="143"/>
              <w:ind w:left="145" w:right="180"/>
              <w:rPr>
                <w:sz w:val="42"/>
              </w:rPr>
            </w:pPr>
            <w:r>
              <w:rPr>
                <w:sz w:val="42"/>
              </w:rPr>
              <w:t>2008</w:t>
            </w:r>
          </w:p>
        </w:tc>
        <w:tc>
          <w:tcPr>
            <w:tcW w:w="2984" w:type="dxa"/>
          </w:tcPr>
          <w:p>
            <w:pPr>
              <w:pStyle w:val="TableParagraph"/>
              <w:spacing w:before="143"/>
              <w:ind w:left="186" w:right="234"/>
              <w:rPr>
                <w:sz w:val="42"/>
              </w:rPr>
            </w:pPr>
            <w:r>
              <w:rPr>
                <w:sz w:val="42"/>
              </w:rPr>
              <w:t>4kw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3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8"/>
          <w:jc w:val="left"/>
        </w:trPr>
        <w:tc>
          <w:tcPr>
            <w:tcW w:w="3137" w:type="dxa"/>
          </w:tcPr>
          <w:p>
            <w:pPr>
              <w:pStyle w:val="TableParagraph"/>
              <w:spacing w:before="156"/>
              <w:ind w:left="31" w:right="121"/>
              <w:rPr>
                <w:sz w:val="42"/>
              </w:rPr>
            </w:pPr>
            <w:r>
              <w:rPr>
                <w:sz w:val="42"/>
              </w:rPr>
              <w:t>混凝土振动梁</w:t>
            </w:r>
          </w:p>
        </w:tc>
        <w:tc>
          <w:tcPr>
            <w:tcW w:w="2148" w:type="dxa"/>
          </w:tcPr>
          <w:p>
            <w:pPr>
              <w:pStyle w:val="TableParagraph"/>
              <w:spacing w:before="156"/>
              <w:ind w:left="116" w:right="96"/>
              <w:rPr>
                <w:sz w:val="42"/>
              </w:rPr>
            </w:pPr>
            <w:r>
              <w:rPr>
                <w:sz w:val="42"/>
              </w:rPr>
              <w:t>ZX—70</w:t>
            </w:r>
          </w:p>
        </w:tc>
        <w:tc>
          <w:tcPr>
            <w:tcW w:w="1116" w:type="dxa"/>
          </w:tcPr>
          <w:p>
            <w:pPr>
              <w:pStyle w:val="TableParagraph"/>
              <w:spacing w:before="156"/>
              <w:ind w:right="44"/>
              <w:rPr>
                <w:sz w:val="42"/>
              </w:rPr>
            </w:pPr>
            <w:r>
              <w:rPr>
                <w:w w:val="100"/>
                <w:sz w:val="42"/>
              </w:rPr>
              <w:t>２</w:t>
            </w:r>
          </w:p>
        </w:tc>
        <w:tc>
          <w:tcPr>
            <w:tcW w:w="2046" w:type="dxa"/>
          </w:tcPr>
          <w:p>
            <w:pPr>
              <w:pStyle w:val="TableParagraph"/>
              <w:spacing w:before="156"/>
              <w:ind w:left="145" w:right="180"/>
              <w:rPr>
                <w:sz w:val="42"/>
              </w:rPr>
            </w:pPr>
            <w:r>
              <w:rPr>
                <w:sz w:val="42"/>
              </w:rPr>
              <w:t>2012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186" w:right="234"/>
              <w:rPr>
                <w:sz w:val="42"/>
              </w:rPr>
            </w:pPr>
            <w:r>
              <w:rPr>
                <w:sz w:val="42"/>
              </w:rPr>
              <w:t>4kw</w:t>
            </w:r>
          </w:p>
        </w:tc>
        <w:tc>
          <w:tcPr>
            <w:tcW w:w="1147" w:type="dxa"/>
          </w:tcPr>
          <w:p>
            <w:pPr>
              <w:pStyle w:val="TableParagraph"/>
              <w:spacing w:before="156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3137" w:type="dxa"/>
          </w:tcPr>
          <w:p>
            <w:pPr>
              <w:pStyle w:val="TableParagraph"/>
              <w:spacing w:before="145"/>
              <w:ind w:left="27" w:right="121"/>
              <w:rPr>
                <w:sz w:val="42"/>
              </w:rPr>
            </w:pPr>
            <w:r>
              <w:rPr>
                <w:sz w:val="42"/>
              </w:rPr>
              <w:t>挖掘机</w:t>
            </w:r>
          </w:p>
        </w:tc>
        <w:tc>
          <w:tcPr>
            <w:tcW w:w="2148" w:type="dxa"/>
          </w:tcPr>
          <w:p>
            <w:pPr>
              <w:pStyle w:val="TableParagraph"/>
              <w:spacing w:before="145"/>
              <w:ind w:left="121" w:right="96"/>
              <w:rPr>
                <w:sz w:val="42"/>
              </w:rPr>
            </w:pPr>
            <w:r>
              <w:rPr>
                <w:sz w:val="42"/>
              </w:rPr>
              <w:t>HD1250VII</w:t>
            </w:r>
          </w:p>
        </w:tc>
        <w:tc>
          <w:tcPr>
            <w:tcW w:w="1116" w:type="dxa"/>
          </w:tcPr>
          <w:p>
            <w:pPr>
              <w:pStyle w:val="TableParagraph"/>
              <w:spacing w:before="145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45"/>
              <w:ind w:left="145" w:right="180"/>
              <w:rPr>
                <w:sz w:val="42"/>
              </w:rPr>
            </w:pPr>
            <w:r>
              <w:rPr>
                <w:sz w:val="42"/>
              </w:rPr>
              <w:t>2010</w:t>
            </w:r>
          </w:p>
        </w:tc>
        <w:tc>
          <w:tcPr>
            <w:tcW w:w="2984" w:type="dxa"/>
          </w:tcPr>
          <w:p>
            <w:pPr>
              <w:pStyle w:val="TableParagraph"/>
              <w:spacing w:before="145"/>
              <w:ind w:left="189" w:right="197"/>
              <w:rPr>
                <w:sz w:val="29"/>
              </w:rPr>
            </w:pPr>
            <w:r>
              <w:rPr>
                <w:sz w:val="42"/>
              </w:rPr>
              <w:t>1 m</w:t>
            </w:r>
            <w:r>
              <w:rPr>
                <w:position w:val="3"/>
                <w:sz w:val="29"/>
              </w:rPr>
              <w:t>3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5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租赁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3137" w:type="dxa"/>
          </w:tcPr>
          <w:p>
            <w:pPr>
              <w:pStyle w:val="TableParagraph"/>
              <w:spacing w:before="144"/>
              <w:ind w:left="31" w:right="121"/>
              <w:rPr>
                <w:sz w:val="42"/>
              </w:rPr>
            </w:pPr>
            <w:r>
              <w:rPr>
                <w:sz w:val="42"/>
              </w:rPr>
              <w:t>自卸汽车</w:t>
            </w:r>
          </w:p>
        </w:tc>
        <w:tc>
          <w:tcPr>
            <w:tcW w:w="2148" w:type="dxa"/>
          </w:tcPr>
          <w:p>
            <w:pPr>
              <w:pStyle w:val="TableParagraph"/>
              <w:spacing w:before="144"/>
              <w:ind w:left="121" w:right="96"/>
              <w:rPr>
                <w:sz w:val="42"/>
              </w:rPr>
            </w:pPr>
            <w:r>
              <w:rPr>
                <w:sz w:val="42"/>
              </w:rPr>
              <w:t>CQ19210/E</w:t>
            </w:r>
          </w:p>
        </w:tc>
        <w:tc>
          <w:tcPr>
            <w:tcW w:w="1116" w:type="dxa"/>
          </w:tcPr>
          <w:p>
            <w:pPr>
              <w:pStyle w:val="TableParagraph"/>
              <w:spacing w:before="144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46" w:type="dxa"/>
          </w:tcPr>
          <w:p>
            <w:pPr>
              <w:pStyle w:val="TableParagraph"/>
              <w:spacing w:before="144"/>
              <w:ind w:left="145" w:right="180"/>
              <w:rPr>
                <w:sz w:val="42"/>
              </w:rPr>
            </w:pPr>
            <w:r>
              <w:rPr>
                <w:sz w:val="42"/>
              </w:rPr>
              <w:t>2011</w:t>
            </w:r>
          </w:p>
        </w:tc>
        <w:tc>
          <w:tcPr>
            <w:tcW w:w="2984" w:type="dxa"/>
          </w:tcPr>
          <w:p>
            <w:pPr>
              <w:pStyle w:val="TableParagraph"/>
              <w:spacing w:before="144"/>
              <w:ind w:left="185" w:right="234"/>
              <w:rPr>
                <w:sz w:val="42"/>
              </w:rPr>
            </w:pPr>
            <w:r>
              <w:rPr>
                <w:sz w:val="42"/>
              </w:rPr>
              <w:t>8t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4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6"/>
          <w:jc w:val="left"/>
        </w:trPr>
        <w:tc>
          <w:tcPr>
            <w:tcW w:w="3137" w:type="dxa"/>
          </w:tcPr>
          <w:p>
            <w:pPr>
              <w:pStyle w:val="TableParagraph"/>
              <w:spacing w:before="145"/>
              <w:ind w:left="33" w:right="121"/>
              <w:rPr>
                <w:sz w:val="42"/>
              </w:rPr>
            </w:pPr>
            <w:r>
              <w:rPr>
                <w:sz w:val="42"/>
              </w:rPr>
              <w:t>蛙式打夯机</w:t>
            </w:r>
          </w:p>
        </w:tc>
        <w:tc>
          <w:tcPr>
            <w:tcW w:w="2148" w:type="dxa"/>
          </w:tcPr>
          <w:p>
            <w:pPr>
              <w:pStyle w:val="TableParagraph"/>
              <w:spacing w:before="145"/>
              <w:ind w:left="116" w:right="96"/>
              <w:rPr>
                <w:sz w:val="42"/>
              </w:rPr>
            </w:pPr>
            <w:r>
              <w:rPr>
                <w:sz w:val="42"/>
              </w:rPr>
              <w:t>HW-20A</w:t>
            </w:r>
          </w:p>
        </w:tc>
        <w:tc>
          <w:tcPr>
            <w:tcW w:w="1116" w:type="dxa"/>
          </w:tcPr>
          <w:p>
            <w:pPr>
              <w:pStyle w:val="TableParagraph"/>
              <w:spacing w:before="145"/>
              <w:ind w:right="44"/>
              <w:rPr>
                <w:sz w:val="42"/>
              </w:rPr>
            </w:pPr>
            <w:r>
              <w:rPr>
                <w:w w:val="100"/>
                <w:sz w:val="42"/>
              </w:rPr>
              <w:t>２</w:t>
            </w:r>
          </w:p>
        </w:tc>
        <w:tc>
          <w:tcPr>
            <w:tcW w:w="2046" w:type="dxa"/>
          </w:tcPr>
          <w:p>
            <w:pPr>
              <w:pStyle w:val="TableParagraph"/>
              <w:spacing w:before="145"/>
              <w:ind w:left="145" w:right="180"/>
              <w:rPr>
                <w:sz w:val="42"/>
              </w:rPr>
            </w:pPr>
            <w:r>
              <w:rPr>
                <w:sz w:val="42"/>
              </w:rPr>
              <w:t>2008</w:t>
            </w:r>
          </w:p>
        </w:tc>
        <w:tc>
          <w:tcPr>
            <w:tcW w:w="2984" w:type="dxa"/>
          </w:tcPr>
          <w:p>
            <w:pPr>
              <w:pStyle w:val="TableParagraph"/>
              <w:spacing w:before="145"/>
              <w:ind w:left="186" w:right="234"/>
              <w:rPr>
                <w:sz w:val="42"/>
              </w:rPr>
            </w:pPr>
            <w:r>
              <w:rPr>
                <w:sz w:val="42"/>
              </w:rPr>
              <w:t>2.2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5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3137" w:type="dxa"/>
          </w:tcPr>
          <w:p>
            <w:pPr>
              <w:pStyle w:val="TableParagraph"/>
              <w:spacing w:before="123"/>
              <w:ind w:left="27" w:right="121"/>
              <w:rPr>
                <w:sz w:val="42"/>
              </w:rPr>
            </w:pPr>
            <w:r>
              <w:rPr>
                <w:sz w:val="42"/>
              </w:rPr>
              <w:t>潜水泵</w:t>
            </w:r>
          </w:p>
        </w:tc>
        <w:tc>
          <w:tcPr>
            <w:tcW w:w="2148" w:type="dxa"/>
          </w:tcPr>
          <w:p>
            <w:pPr>
              <w:pStyle w:val="TableParagraph"/>
              <w:spacing w:before="123"/>
              <w:ind w:left="120" w:right="96"/>
              <w:rPr>
                <w:sz w:val="42"/>
              </w:rPr>
            </w:pPr>
            <w:r>
              <w:rPr>
                <w:sz w:val="42"/>
              </w:rPr>
              <w:t>QY25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3"/>
              <w:ind w:right="44"/>
              <w:rPr>
                <w:sz w:val="42"/>
              </w:rPr>
            </w:pPr>
            <w:r>
              <w:rPr>
                <w:w w:val="100"/>
                <w:sz w:val="42"/>
              </w:rPr>
              <w:t>２</w:t>
            </w:r>
          </w:p>
        </w:tc>
        <w:tc>
          <w:tcPr>
            <w:tcW w:w="2046" w:type="dxa"/>
          </w:tcPr>
          <w:p>
            <w:pPr>
              <w:pStyle w:val="TableParagraph"/>
              <w:spacing w:before="123"/>
              <w:ind w:left="145" w:right="180"/>
              <w:rPr>
                <w:sz w:val="42"/>
              </w:rPr>
            </w:pPr>
            <w:r>
              <w:rPr>
                <w:sz w:val="42"/>
              </w:rPr>
              <w:t>2008</w:t>
            </w:r>
          </w:p>
        </w:tc>
        <w:tc>
          <w:tcPr>
            <w:tcW w:w="2984" w:type="dxa"/>
          </w:tcPr>
          <w:p>
            <w:pPr>
              <w:pStyle w:val="TableParagraph"/>
              <w:spacing w:before="123"/>
              <w:ind w:left="186" w:right="234"/>
              <w:rPr>
                <w:sz w:val="42"/>
              </w:rPr>
            </w:pPr>
            <w:r>
              <w:rPr>
                <w:sz w:val="42"/>
              </w:rPr>
              <w:t>2.2</w:t>
            </w:r>
          </w:p>
        </w:tc>
        <w:tc>
          <w:tcPr>
            <w:tcW w:w="1147" w:type="dxa"/>
          </w:tcPr>
          <w:p>
            <w:pPr>
              <w:pStyle w:val="TableParagraph"/>
              <w:spacing w:before="123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1"/>
          <w:jc w:val="left"/>
        </w:trPr>
        <w:tc>
          <w:tcPr>
            <w:tcW w:w="3137" w:type="dxa"/>
          </w:tcPr>
          <w:p>
            <w:pPr>
              <w:pStyle w:val="TableParagraph"/>
              <w:spacing w:before="102"/>
              <w:ind w:left="27" w:right="121"/>
              <w:rPr>
                <w:sz w:val="42"/>
              </w:rPr>
            </w:pPr>
            <w:r>
              <w:rPr>
                <w:sz w:val="42"/>
              </w:rPr>
              <w:t>翻斗车</w:t>
            </w:r>
          </w:p>
        </w:tc>
        <w:tc>
          <w:tcPr>
            <w:tcW w:w="2148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116" w:type="dxa"/>
          </w:tcPr>
          <w:p>
            <w:pPr>
              <w:pStyle w:val="TableParagraph"/>
              <w:spacing w:before="102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02"/>
              <w:ind w:left="145" w:right="180"/>
              <w:rPr>
                <w:sz w:val="42"/>
              </w:rPr>
            </w:pPr>
            <w:r>
              <w:rPr>
                <w:sz w:val="42"/>
              </w:rPr>
              <w:t>2009</w:t>
            </w:r>
          </w:p>
        </w:tc>
        <w:tc>
          <w:tcPr>
            <w:tcW w:w="2984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147" w:type="dxa"/>
          </w:tcPr>
          <w:p>
            <w:pPr>
              <w:pStyle w:val="TableParagraph"/>
              <w:spacing w:before="102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1"/>
          <w:jc w:val="left"/>
        </w:trPr>
        <w:tc>
          <w:tcPr>
            <w:tcW w:w="3137" w:type="dxa"/>
          </w:tcPr>
          <w:p>
            <w:pPr>
              <w:pStyle w:val="TableParagraph"/>
              <w:spacing w:before="102"/>
              <w:ind w:left="27" w:right="121"/>
              <w:rPr>
                <w:sz w:val="42"/>
              </w:rPr>
            </w:pPr>
            <w:r>
              <w:rPr>
                <w:sz w:val="42"/>
              </w:rPr>
              <w:t>压路机</w:t>
            </w:r>
          </w:p>
        </w:tc>
        <w:tc>
          <w:tcPr>
            <w:tcW w:w="2148" w:type="dxa"/>
          </w:tcPr>
          <w:p>
            <w:pPr>
              <w:pStyle w:val="TableParagraph"/>
              <w:spacing w:before="102"/>
              <w:ind w:left="116" w:right="96"/>
              <w:rPr>
                <w:sz w:val="42"/>
              </w:rPr>
            </w:pPr>
            <w:r>
              <w:rPr>
                <w:sz w:val="42"/>
              </w:rPr>
              <w:t>8t/10t</w:t>
            </w:r>
          </w:p>
        </w:tc>
        <w:tc>
          <w:tcPr>
            <w:tcW w:w="1116" w:type="dxa"/>
          </w:tcPr>
          <w:p>
            <w:pPr>
              <w:pStyle w:val="TableParagraph"/>
              <w:spacing w:before="102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02"/>
              <w:ind w:left="145" w:right="180"/>
              <w:rPr>
                <w:sz w:val="42"/>
              </w:rPr>
            </w:pPr>
            <w:r>
              <w:rPr>
                <w:sz w:val="42"/>
              </w:rPr>
              <w:t>2010</w:t>
            </w:r>
          </w:p>
        </w:tc>
        <w:tc>
          <w:tcPr>
            <w:tcW w:w="2984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147" w:type="dxa"/>
          </w:tcPr>
          <w:p>
            <w:pPr>
              <w:pStyle w:val="TableParagraph"/>
              <w:spacing w:before="102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3137" w:type="dxa"/>
          </w:tcPr>
          <w:p>
            <w:pPr>
              <w:pStyle w:val="TableParagraph"/>
              <w:spacing w:before="102"/>
              <w:ind w:left="33" w:right="121"/>
              <w:rPr>
                <w:sz w:val="42"/>
              </w:rPr>
            </w:pPr>
            <w:r>
              <w:rPr>
                <w:sz w:val="42"/>
              </w:rPr>
              <w:t>路面切缝机</w:t>
            </w:r>
          </w:p>
        </w:tc>
        <w:tc>
          <w:tcPr>
            <w:tcW w:w="2148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116" w:type="dxa"/>
          </w:tcPr>
          <w:p>
            <w:pPr>
              <w:pStyle w:val="TableParagraph"/>
              <w:spacing w:before="102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02"/>
              <w:ind w:left="145" w:right="180"/>
              <w:rPr>
                <w:sz w:val="42"/>
              </w:rPr>
            </w:pPr>
            <w:r>
              <w:rPr>
                <w:sz w:val="42"/>
              </w:rPr>
              <w:t>2009</w:t>
            </w:r>
          </w:p>
        </w:tc>
        <w:tc>
          <w:tcPr>
            <w:tcW w:w="2984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147" w:type="dxa"/>
          </w:tcPr>
          <w:p>
            <w:pPr>
              <w:pStyle w:val="TableParagraph"/>
              <w:spacing w:before="102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  <w:tr>
        <w:tblPrEx>
          <w:tblW w:w="0" w:type="auto"/>
          <w:jc w:val="left"/>
          <w:tblInd w:w="5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3137" w:type="dxa"/>
          </w:tcPr>
          <w:p>
            <w:pPr>
              <w:pStyle w:val="TableParagraph"/>
              <w:spacing w:before="123" w:line="459" w:lineRule="exact"/>
              <w:ind w:left="33" w:right="121"/>
              <w:rPr>
                <w:sz w:val="42"/>
              </w:rPr>
            </w:pPr>
            <w:r>
              <w:rPr>
                <w:sz w:val="42"/>
              </w:rPr>
              <w:t>交流弧焊机</w:t>
            </w:r>
          </w:p>
        </w:tc>
        <w:tc>
          <w:tcPr>
            <w:tcW w:w="2148" w:type="dxa"/>
          </w:tcPr>
          <w:p>
            <w:pPr>
              <w:pStyle w:val="TableParagraph"/>
              <w:spacing w:before="123" w:line="459" w:lineRule="exact"/>
              <w:ind w:left="116" w:right="96"/>
              <w:rPr>
                <w:sz w:val="42"/>
              </w:rPr>
            </w:pPr>
            <w:r>
              <w:rPr>
                <w:sz w:val="42"/>
              </w:rPr>
              <w:t>BX-330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3" w:line="459" w:lineRule="exact"/>
              <w:ind w:right="39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6" w:type="dxa"/>
          </w:tcPr>
          <w:p>
            <w:pPr>
              <w:pStyle w:val="TableParagraph"/>
              <w:spacing w:before="123" w:line="459" w:lineRule="exact"/>
              <w:ind w:left="145" w:right="180"/>
              <w:rPr>
                <w:sz w:val="42"/>
              </w:rPr>
            </w:pPr>
            <w:r>
              <w:rPr>
                <w:sz w:val="42"/>
              </w:rPr>
              <w:t>2007</w:t>
            </w:r>
          </w:p>
        </w:tc>
        <w:tc>
          <w:tcPr>
            <w:tcW w:w="2984" w:type="dxa"/>
          </w:tcPr>
          <w:p>
            <w:pPr>
              <w:pStyle w:val="TableParagraph"/>
              <w:spacing w:before="123" w:line="459" w:lineRule="exact"/>
              <w:ind w:left="184" w:right="234"/>
              <w:rPr>
                <w:sz w:val="42"/>
              </w:rPr>
            </w:pPr>
            <w:r>
              <w:rPr>
                <w:sz w:val="42"/>
              </w:rPr>
              <w:t>19KVA</w:t>
            </w:r>
          </w:p>
        </w:tc>
        <w:tc>
          <w:tcPr>
            <w:tcW w:w="1147" w:type="dxa"/>
          </w:tcPr>
          <w:p>
            <w:pPr>
              <w:pStyle w:val="TableParagraph"/>
              <w:spacing w:before="123" w:line="459" w:lineRule="exact"/>
              <w:ind w:right="42"/>
              <w:jc w:val="right"/>
              <w:rPr>
                <w:sz w:val="42"/>
              </w:rPr>
            </w:pPr>
            <w:r>
              <w:rPr>
                <w:sz w:val="42"/>
              </w:rPr>
              <w:t>自有</w:t>
            </w:r>
          </w:p>
        </w:tc>
      </w:tr>
    </w:tbl>
    <w:p>
      <w:pPr>
        <w:pStyle w:val="BodyText"/>
        <w:spacing w:before="4"/>
        <w:rPr>
          <w:b/>
          <w:sz w:val="34"/>
        </w:rPr>
      </w:pPr>
    </w:p>
    <w:p>
      <w:pPr>
        <w:pStyle w:val="Heading1"/>
        <w:numPr>
          <w:ilvl w:val="0"/>
          <w:numId w:val="16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劳动力调配计划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60" w:right="379" w:firstLine="838"/>
      </w:pPr>
      <w:r>
        <w:t>根据本工程特点：施工场地狭窄、工期紧、工程质量要求高，结合我公司的人、机、资源实力，基本能够满足本工程的施工需要。</w:t>
      </w:r>
    </w:p>
    <w:p>
      <w:pPr>
        <w:pStyle w:val="ListParagraph"/>
        <w:numPr>
          <w:ilvl w:val="1"/>
          <w:numId w:val="16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人员：</w:t>
      </w:r>
    </w:p>
    <w:p>
      <w:pPr>
        <w:pStyle w:val="BodyText"/>
        <w:rPr>
          <w:sz w:val="31"/>
        </w:rPr>
      </w:pPr>
    </w:p>
    <w:p>
      <w:pPr>
        <w:pStyle w:val="BodyText"/>
        <w:ind w:left="999"/>
      </w:pPr>
      <w:r>
        <w:t>劳动力投入配备：如下表，平均每天施工为 15 人，施工高峰期达 20 人。</w:t>
      </w:r>
    </w:p>
    <w:p>
      <w:pPr>
        <w:spacing w:after="0"/>
        <w:sectPr>
          <w:headerReference w:type="default" r:id="rId7"/>
          <w:pgSz w:w="17860" w:h="25260"/>
          <w:pgMar w:top="800" w:right="1000" w:bottom="280" w:left="2000" w:header="310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49"/>
        </w:tabs>
        <w:spacing w:before="185" w:after="0" w:line="240" w:lineRule="auto"/>
        <w:ind w:left="1748" w:right="0" w:hanging="736"/>
        <w:jc w:val="left"/>
        <w:rPr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611886</wp:posOffset>
            </wp:positionV>
            <wp:extent cx="8601741" cy="430720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1741" cy="430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人员配备：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6"/>
        <w:gridCol w:w="1068"/>
        <w:gridCol w:w="5418"/>
        <w:gridCol w:w="431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176" w:type="dxa"/>
          </w:tcPr>
          <w:p>
            <w:pPr>
              <w:pStyle w:val="TableParagraph"/>
              <w:spacing w:line="480" w:lineRule="exact"/>
              <w:ind w:left="84"/>
              <w:rPr>
                <w:b/>
                <w:sz w:val="42"/>
              </w:rPr>
            </w:pPr>
            <w:r>
              <w:rPr>
                <w:b/>
                <w:sz w:val="42"/>
              </w:rPr>
              <w:t>工种</w:t>
            </w:r>
          </w:p>
        </w:tc>
        <w:tc>
          <w:tcPr>
            <w:tcW w:w="1068" w:type="dxa"/>
          </w:tcPr>
          <w:p>
            <w:pPr>
              <w:pStyle w:val="TableParagraph"/>
              <w:spacing w:line="480" w:lineRule="exact"/>
              <w:ind w:right="193"/>
              <w:rPr>
                <w:b/>
                <w:sz w:val="42"/>
              </w:rPr>
            </w:pPr>
            <w:r>
              <w:rPr>
                <w:b/>
                <w:sz w:val="42"/>
              </w:rPr>
              <w:t>人数</w:t>
            </w:r>
          </w:p>
        </w:tc>
        <w:tc>
          <w:tcPr>
            <w:tcW w:w="5418" w:type="dxa"/>
          </w:tcPr>
          <w:p>
            <w:pPr>
              <w:pStyle w:val="TableParagraph"/>
              <w:spacing w:line="480" w:lineRule="exact"/>
              <w:ind w:left="188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计划进场时间</w:t>
            </w:r>
          </w:p>
        </w:tc>
        <w:tc>
          <w:tcPr>
            <w:tcW w:w="4312" w:type="dxa"/>
          </w:tcPr>
          <w:p>
            <w:pPr>
              <w:pStyle w:val="TableParagraph"/>
              <w:spacing w:line="480" w:lineRule="exact"/>
              <w:ind w:left="1732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计划退场时间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176" w:type="dxa"/>
          </w:tcPr>
          <w:p>
            <w:pPr>
              <w:pStyle w:val="TableParagraph"/>
              <w:spacing w:before="210"/>
              <w:ind w:left="84"/>
              <w:rPr>
                <w:sz w:val="42"/>
              </w:rPr>
            </w:pPr>
            <w:r>
              <w:rPr>
                <w:sz w:val="42"/>
              </w:rPr>
              <w:t>普工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0"/>
              <w:ind w:right="190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5418" w:type="dxa"/>
          </w:tcPr>
          <w:p>
            <w:pPr>
              <w:pStyle w:val="TableParagraph"/>
              <w:spacing w:before="210"/>
              <w:ind w:left="207"/>
              <w:jc w:val="left"/>
              <w:rPr>
                <w:sz w:val="42"/>
              </w:rPr>
            </w:pPr>
            <w:r>
              <w:rPr>
                <w:sz w:val="42"/>
              </w:rPr>
              <w:t>雨水管道、路面工程</w:t>
            </w:r>
          </w:p>
        </w:tc>
        <w:tc>
          <w:tcPr>
            <w:tcW w:w="4312" w:type="dxa"/>
          </w:tcPr>
          <w:p>
            <w:pPr>
              <w:pStyle w:val="TableParagraph"/>
              <w:spacing w:before="210"/>
              <w:ind w:left="1001"/>
              <w:jc w:val="left"/>
              <w:rPr>
                <w:sz w:val="42"/>
              </w:rPr>
            </w:pPr>
            <w:r>
              <w:rPr>
                <w:sz w:val="42"/>
              </w:rPr>
              <w:t>竣工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176" w:type="dxa"/>
          </w:tcPr>
          <w:p>
            <w:pPr>
              <w:pStyle w:val="TableParagraph"/>
              <w:spacing w:before="212"/>
              <w:ind w:left="87"/>
              <w:rPr>
                <w:sz w:val="42"/>
              </w:rPr>
            </w:pPr>
            <w:r>
              <w:rPr>
                <w:sz w:val="42"/>
              </w:rPr>
              <w:t>泥水工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2"/>
              <w:ind w:right="190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5418" w:type="dxa"/>
          </w:tcPr>
          <w:p>
            <w:pPr>
              <w:pStyle w:val="TableParagraph"/>
              <w:spacing w:before="212"/>
              <w:ind w:left="207"/>
              <w:jc w:val="left"/>
              <w:rPr>
                <w:sz w:val="42"/>
              </w:rPr>
            </w:pPr>
            <w:r>
              <w:rPr>
                <w:sz w:val="42"/>
              </w:rPr>
              <w:t>雨水管道、路面工程</w:t>
            </w:r>
          </w:p>
        </w:tc>
        <w:tc>
          <w:tcPr>
            <w:tcW w:w="4312" w:type="dxa"/>
          </w:tcPr>
          <w:p>
            <w:pPr>
              <w:pStyle w:val="TableParagraph"/>
              <w:spacing w:before="212"/>
              <w:ind w:left="1001"/>
              <w:jc w:val="left"/>
              <w:rPr>
                <w:sz w:val="42"/>
              </w:rPr>
            </w:pPr>
            <w:r>
              <w:rPr>
                <w:sz w:val="42"/>
              </w:rPr>
              <w:t>竣工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176" w:type="dxa"/>
          </w:tcPr>
          <w:p>
            <w:pPr>
              <w:pStyle w:val="TableParagraph"/>
              <w:spacing w:before="210"/>
              <w:ind w:left="87"/>
              <w:rPr>
                <w:sz w:val="42"/>
              </w:rPr>
            </w:pPr>
            <w:r>
              <w:rPr>
                <w:sz w:val="42"/>
              </w:rPr>
              <w:t>模板工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0"/>
              <w:ind w:right="190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5418" w:type="dxa"/>
          </w:tcPr>
          <w:p>
            <w:pPr>
              <w:pStyle w:val="TableParagraph"/>
              <w:spacing w:before="210"/>
              <w:ind w:left="207"/>
              <w:jc w:val="left"/>
              <w:rPr>
                <w:sz w:val="42"/>
              </w:rPr>
            </w:pPr>
            <w:r>
              <w:rPr>
                <w:sz w:val="42"/>
              </w:rPr>
              <w:t>路面工程</w:t>
            </w:r>
          </w:p>
        </w:tc>
        <w:tc>
          <w:tcPr>
            <w:tcW w:w="4312" w:type="dxa"/>
          </w:tcPr>
          <w:p>
            <w:pPr>
              <w:pStyle w:val="TableParagraph"/>
              <w:spacing w:before="210"/>
              <w:ind w:left="1001"/>
              <w:jc w:val="left"/>
              <w:rPr>
                <w:sz w:val="42"/>
              </w:rPr>
            </w:pPr>
            <w:r>
              <w:rPr>
                <w:sz w:val="42"/>
              </w:rPr>
              <w:t>路面工程完成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2176" w:type="dxa"/>
          </w:tcPr>
          <w:p>
            <w:pPr>
              <w:pStyle w:val="TableParagraph"/>
              <w:spacing w:before="210"/>
              <w:ind w:left="84"/>
              <w:rPr>
                <w:sz w:val="42"/>
              </w:rPr>
            </w:pPr>
            <w:r>
              <w:rPr>
                <w:sz w:val="42"/>
              </w:rPr>
              <w:t>电工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0"/>
              <w:ind w:right="19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5418" w:type="dxa"/>
          </w:tcPr>
          <w:p>
            <w:pPr>
              <w:pStyle w:val="TableParagraph"/>
              <w:spacing w:before="210"/>
              <w:ind w:left="207"/>
              <w:jc w:val="left"/>
              <w:rPr>
                <w:sz w:val="42"/>
              </w:rPr>
            </w:pPr>
            <w:r>
              <w:rPr>
                <w:sz w:val="42"/>
              </w:rPr>
              <w:t>开工</w:t>
            </w:r>
          </w:p>
        </w:tc>
        <w:tc>
          <w:tcPr>
            <w:tcW w:w="4312" w:type="dxa"/>
          </w:tcPr>
          <w:p>
            <w:pPr>
              <w:pStyle w:val="TableParagraph"/>
              <w:spacing w:before="210"/>
              <w:ind w:left="1001"/>
              <w:jc w:val="left"/>
              <w:rPr>
                <w:sz w:val="42"/>
              </w:rPr>
            </w:pPr>
            <w:r>
              <w:rPr>
                <w:sz w:val="42"/>
              </w:rPr>
              <w:t>竣工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176" w:type="dxa"/>
          </w:tcPr>
          <w:p>
            <w:pPr>
              <w:pStyle w:val="TableParagraph"/>
              <w:spacing w:before="210"/>
              <w:ind w:left="87"/>
              <w:rPr>
                <w:sz w:val="42"/>
              </w:rPr>
            </w:pPr>
            <w:r>
              <w:rPr>
                <w:sz w:val="42"/>
              </w:rPr>
              <w:t>机修工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0"/>
              <w:ind w:right="19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5418" w:type="dxa"/>
          </w:tcPr>
          <w:p>
            <w:pPr>
              <w:pStyle w:val="TableParagraph"/>
              <w:spacing w:before="210"/>
              <w:ind w:left="207"/>
              <w:jc w:val="left"/>
              <w:rPr>
                <w:sz w:val="42"/>
              </w:rPr>
            </w:pPr>
            <w:r>
              <w:rPr>
                <w:sz w:val="42"/>
              </w:rPr>
              <w:t>开工</w:t>
            </w:r>
          </w:p>
        </w:tc>
        <w:tc>
          <w:tcPr>
            <w:tcW w:w="4312" w:type="dxa"/>
          </w:tcPr>
          <w:p>
            <w:pPr>
              <w:pStyle w:val="TableParagraph"/>
              <w:spacing w:before="210"/>
              <w:ind w:left="1001"/>
              <w:jc w:val="left"/>
              <w:rPr>
                <w:sz w:val="42"/>
              </w:rPr>
            </w:pPr>
            <w:r>
              <w:rPr>
                <w:sz w:val="42"/>
              </w:rPr>
              <w:t>竣工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0"/>
          <w:jc w:val="left"/>
        </w:trPr>
        <w:tc>
          <w:tcPr>
            <w:tcW w:w="2176" w:type="dxa"/>
          </w:tcPr>
          <w:p>
            <w:pPr>
              <w:pStyle w:val="TableParagraph"/>
              <w:spacing w:before="212"/>
              <w:ind w:left="84"/>
              <w:rPr>
                <w:b/>
                <w:sz w:val="42"/>
              </w:rPr>
            </w:pPr>
            <w:r>
              <w:rPr>
                <w:b/>
                <w:sz w:val="42"/>
              </w:rPr>
              <w:t>合计</w:t>
            </w:r>
          </w:p>
          <w:p>
            <w:pPr>
              <w:pStyle w:val="TableParagraph"/>
              <w:spacing w:before="5"/>
              <w:jc w:val="left"/>
              <w:rPr>
                <w:sz w:val="34"/>
              </w:rPr>
            </w:pPr>
          </w:p>
          <w:p>
            <w:pPr>
              <w:pStyle w:val="TableParagraph"/>
              <w:spacing w:before="1" w:line="459" w:lineRule="exact"/>
              <w:ind w:left="33"/>
              <w:rPr>
                <w:b/>
                <w:sz w:val="42"/>
              </w:rPr>
            </w:pPr>
            <w:r>
              <w:rPr>
                <w:b/>
                <w:sz w:val="42"/>
              </w:rPr>
              <w:t>5.施工准备</w:t>
            </w:r>
          </w:p>
        </w:tc>
        <w:tc>
          <w:tcPr>
            <w:tcW w:w="1068" w:type="dxa"/>
          </w:tcPr>
          <w:p>
            <w:pPr>
              <w:pStyle w:val="TableParagraph"/>
              <w:spacing w:before="212"/>
              <w:ind w:right="195"/>
              <w:rPr>
                <w:b/>
                <w:sz w:val="42"/>
              </w:rPr>
            </w:pPr>
            <w:r>
              <w:rPr>
                <w:b/>
                <w:sz w:val="42"/>
              </w:rPr>
              <w:t>20</w:t>
            </w:r>
          </w:p>
        </w:tc>
        <w:tc>
          <w:tcPr>
            <w:tcW w:w="5418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431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1"/>
          <w:numId w:val="15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施工组织准备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5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管理层的组织：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517" w:firstLine="838"/>
      </w:pPr>
      <w:r>
        <w:rPr>
          <w:spacing w:val="-10"/>
        </w:rPr>
        <w:t>我公司选配管理过类似工程、有丰富施工管理经验、且有优秀业绩的人员</w:t>
      </w:r>
      <w:r>
        <w:t>担任本工程的项目经理。建立反应快捷、效率高的施工管理部门。</w:t>
      </w:r>
    </w:p>
    <w:p>
      <w:pPr>
        <w:pStyle w:val="ListParagraph"/>
        <w:numPr>
          <w:ilvl w:val="2"/>
          <w:numId w:val="15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机械、物资的组织：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525" w:firstLine="838"/>
      </w:pPr>
      <w:r>
        <w:rPr>
          <w:spacing w:val="-13"/>
        </w:rPr>
        <w:t>合理组织机械、物资是保证工程质量和进度的必要条件，一是周密的预先</w:t>
      </w:r>
      <w:r>
        <w:t>安排，二是严格的管理，三是提前对现场机械的保养、维护及维修。</w:t>
      </w:r>
    </w:p>
    <w:p>
      <w:pPr>
        <w:pStyle w:val="ListParagraph"/>
        <w:numPr>
          <w:ilvl w:val="2"/>
          <w:numId w:val="15"/>
        </w:numPr>
        <w:tabs>
          <w:tab w:val="left" w:pos="2155"/>
        </w:tabs>
        <w:spacing w:before="0" w:after="0" w:line="537" w:lineRule="exact"/>
        <w:ind w:left="2155" w:right="0" w:hanging="1156"/>
        <w:jc w:val="left"/>
        <w:rPr>
          <w:sz w:val="42"/>
        </w:rPr>
      </w:pPr>
      <w:r>
        <w:rPr>
          <w:sz w:val="42"/>
        </w:rPr>
        <w:t>劳动力的组织：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377" w:firstLine="1051"/>
        <w:jc w:val="both"/>
      </w:pPr>
      <w:r>
        <w:t>按照劳动力配备计划组织施工人员分批进场，并签定劳务协议。按照既定的现场管理组织机构配足管理人员。对进场的施工人员进行有计划的入场教育。包括公司及项目部管理制度的学习、安全知识教育，基本施工规范的学习等。</w:t>
      </w:r>
    </w:p>
    <w:p>
      <w:pPr>
        <w:pStyle w:val="ListParagraph"/>
        <w:numPr>
          <w:ilvl w:val="1"/>
          <w:numId w:val="15"/>
        </w:numPr>
        <w:tabs>
          <w:tab w:val="left" w:pos="1734"/>
        </w:tabs>
        <w:spacing w:before="0" w:after="0" w:line="538" w:lineRule="exact"/>
        <w:ind w:left="1733" w:right="0" w:hanging="735"/>
        <w:jc w:val="left"/>
        <w:rPr>
          <w:sz w:val="42"/>
        </w:rPr>
      </w:pPr>
      <w:r>
        <w:rPr>
          <w:sz w:val="42"/>
        </w:rPr>
        <w:t>技术准备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5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熟悉和审查施工图纸：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9"/>
          <w:pgSz w:w="17860" w:h="25260"/>
          <w:pgMar w:top="800" w:right="1000" w:bottom="280" w:left="2000" w:header="310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 w:line="417" w:lineRule="auto"/>
        <w:ind w:left="160" w:right="800" w:firstLine="838"/>
      </w:pPr>
      <w:r>
        <w:t>各技术人员抓紧熟悉图纸，检查施工图纸及各组成部分间有无矛盾和错误。</w:t>
      </w:r>
    </w:p>
    <w:p>
      <w:pPr>
        <w:pStyle w:val="BodyText"/>
        <w:spacing w:line="417" w:lineRule="auto"/>
        <w:ind w:left="160" w:right="513"/>
      </w:pPr>
      <w:r>
        <w:rPr>
          <w:spacing w:val="-13"/>
        </w:rPr>
        <w:t>通过图纸自审、互审和会审形成图纸会审纪要，掌握拟建工程的特性及应重点</w:t>
      </w:r>
      <w:r>
        <w:t>注意的问题，给工程的全面施工创造条件。</w:t>
      </w:r>
    </w:p>
    <w:p>
      <w:pPr>
        <w:pStyle w:val="ListParagraph"/>
        <w:numPr>
          <w:ilvl w:val="2"/>
          <w:numId w:val="24"/>
        </w:numPr>
        <w:tabs>
          <w:tab w:val="left" w:pos="2155"/>
        </w:tabs>
        <w:spacing w:before="0" w:after="0" w:line="537" w:lineRule="exact"/>
        <w:ind w:left="2155" w:right="0" w:hanging="1156"/>
        <w:jc w:val="left"/>
        <w:rPr>
          <w:sz w:val="42"/>
        </w:rPr>
      </w:pPr>
      <w:r>
        <w:rPr>
          <w:sz w:val="42"/>
        </w:rPr>
        <w:t>各项资料的调查分析：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379" w:firstLine="838"/>
      </w:pPr>
      <w:r>
        <w:t>开工前，派有关管理人员对该地区周边的技术经济条件等进行调查分析， 如三大材的价格、交通资源、建筑协作单位的施工能力等。</w:t>
      </w:r>
    </w:p>
    <w:p>
      <w:pPr>
        <w:pStyle w:val="ListParagraph"/>
        <w:numPr>
          <w:ilvl w:val="2"/>
          <w:numId w:val="24"/>
        </w:numPr>
        <w:tabs>
          <w:tab w:val="left" w:pos="2155"/>
        </w:tabs>
        <w:spacing w:before="1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预算员作好施工预算及分部工程工料分析。主要构配件及时统计计</w:t>
      </w:r>
      <w:r>
        <w:rPr>
          <w:sz w:val="42"/>
        </w:rPr>
        <w:t>划，提出加工定货数量、规格及需用日期。</w:t>
      </w:r>
    </w:p>
    <w:p>
      <w:pPr>
        <w:pStyle w:val="ListParagraph"/>
        <w:numPr>
          <w:ilvl w:val="2"/>
          <w:numId w:val="24"/>
        </w:numPr>
        <w:tabs>
          <w:tab w:val="left" w:pos="2155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 xml:space="preserve">按施工现场实际情况、以往施工经验及合同批准的施工组织设计， </w:t>
      </w:r>
      <w:r>
        <w:rPr>
          <w:sz w:val="42"/>
        </w:rPr>
        <w:t>制定专项施工方案及创优计划，组织技术交底。</w:t>
      </w:r>
    </w:p>
    <w:p>
      <w:pPr>
        <w:pStyle w:val="ListParagraph"/>
        <w:numPr>
          <w:ilvl w:val="1"/>
          <w:numId w:val="24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施工现场准备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60" w:right="379" w:firstLine="838"/>
      </w:pPr>
      <w:r>
        <w:t>施工现场准备工作包括：施工现场原有的道路、绿化、管线、设施和装置等破除、移植、恢复和加固保护工作；</w:t>
      </w:r>
    </w:p>
    <w:p>
      <w:pPr>
        <w:pStyle w:val="BodyText"/>
        <w:spacing w:line="417" w:lineRule="auto"/>
        <w:ind w:left="160" w:right="377"/>
      </w:pPr>
      <w:r>
        <w:t>施工现场临时围墙的施工，临时设施的建造，临时施工道路的浇筑；临时用水用电管网的布置和敷设。</w:t>
      </w:r>
    </w:p>
    <w:p>
      <w:pPr>
        <w:pStyle w:val="ListParagraph"/>
        <w:numPr>
          <w:ilvl w:val="1"/>
          <w:numId w:val="24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物资、设备供应准备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377" w:firstLine="838"/>
        <w:rPr>
          <w:b/>
        </w:rPr>
      </w:pPr>
      <w:r>
        <w:t>本工程的主材由我方供应，项目经理部将与业主密切配合，并严格按照ISO9001 质量体系中物资采购程序来操作，以保证进场材料的质量。无论甲供材料还是自购材料，必须严格按照物资验收程序，不合格物资严禁进场使用。</w:t>
      </w:r>
      <w:r>
        <w:rPr>
          <w:b/>
        </w:rPr>
        <w:t>三、施工现场布置</w:t>
      </w:r>
    </w:p>
    <w:p>
      <w:pPr>
        <w:pStyle w:val="Heading1"/>
        <w:numPr>
          <w:ilvl w:val="0"/>
          <w:numId w:val="14"/>
        </w:numPr>
        <w:tabs>
          <w:tab w:val="left" w:pos="586"/>
        </w:tabs>
        <w:spacing w:before="0" w:after="0" w:line="538" w:lineRule="exact"/>
        <w:ind w:left="585" w:right="0" w:hanging="426"/>
        <w:jc w:val="left"/>
      </w:pPr>
      <w:r>
        <w:t>现场施工道路和围墙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/>
        <w:ind w:left="999"/>
      </w:pPr>
      <w:r>
        <w:t>按业主要求设置临时围栏，将施工区域进行全封闭，尽量减少对周边环境</w:t>
      </w:r>
    </w:p>
    <w:p>
      <w:pPr>
        <w:spacing w:after="0"/>
        <w:sectPr>
          <w:headerReference w:type="default" r:id="rId10"/>
          <w:pgSz w:w="17860" w:h="25260"/>
          <w:pgMar w:top="800" w:right="1000" w:bottom="280" w:left="2000" w:header="310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60"/>
      </w:pPr>
      <w:r>
        <w:t>的影响。</w:t>
      </w:r>
    </w:p>
    <w:p>
      <w:pPr>
        <w:pStyle w:val="BodyText"/>
        <w:spacing w:before="1"/>
        <w:rPr>
          <w:sz w:val="31"/>
        </w:rPr>
      </w:pPr>
    </w:p>
    <w:p>
      <w:pPr>
        <w:pStyle w:val="Heading1"/>
        <w:numPr>
          <w:ilvl w:val="0"/>
          <w:numId w:val="14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r>
        <w:t>临时设施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60" w:right="511" w:firstLine="838"/>
      </w:pPr>
      <w:r>
        <w:rPr>
          <w:spacing w:val="-11"/>
        </w:rPr>
        <w:t>办公设施和生活设施：根据工程实际情况，施工现场不设办公设施和生活</w:t>
      </w:r>
      <w:r>
        <w:t>设施。</w:t>
      </w:r>
    </w:p>
    <w:p>
      <w:pPr>
        <w:pStyle w:val="Heading1"/>
        <w:numPr>
          <w:ilvl w:val="0"/>
          <w:numId w:val="14"/>
        </w:numPr>
        <w:tabs>
          <w:tab w:val="left" w:pos="586"/>
        </w:tabs>
        <w:spacing w:before="0" w:after="0" w:line="537" w:lineRule="exact"/>
        <w:ind w:left="585" w:right="0" w:hanging="426"/>
        <w:jc w:val="left"/>
      </w:pPr>
      <w:r>
        <w:t>临时用电、接水及排水布置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14"/>
        </w:numPr>
        <w:tabs>
          <w:tab w:val="left" w:pos="1734"/>
        </w:tabs>
        <w:spacing w:before="1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临时用电布置：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528" w:firstLine="838"/>
      </w:pPr>
      <w:r>
        <w:rPr>
          <w:spacing w:val="-11"/>
        </w:rPr>
        <w:t>本工程电源线由业主提供的电源引入，经装表计量后通到各用电位置。根</w:t>
      </w:r>
      <w:r>
        <w:t>据工程需要，设置若干配电箱。为便于管理，在现场四周布置外围照明灯。</w:t>
      </w:r>
    </w:p>
    <w:p>
      <w:pPr>
        <w:pStyle w:val="ListParagraph"/>
        <w:numPr>
          <w:ilvl w:val="1"/>
          <w:numId w:val="14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临时用水及消防布置：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529" w:firstLine="838"/>
      </w:pPr>
      <w:r>
        <w:rPr>
          <w:spacing w:val="-9"/>
        </w:rPr>
        <w:t>施工用水由业主提供的水源接口引入，经装表计量后通到各用水点，在平</w:t>
      </w:r>
      <w:r>
        <w:t>面上沿施工道路布置主管。</w:t>
      </w:r>
    </w:p>
    <w:p>
      <w:pPr>
        <w:pStyle w:val="BodyText"/>
        <w:spacing w:line="417" w:lineRule="auto"/>
        <w:ind w:left="160" w:right="379" w:firstLine="838"/>
      </w:pPr>
      <w:r>
        <w:t>在各个消防关键部位，安放一定数量的灭火器，定人照管，定期更换灭火剂，保证灭火器的完好。</w:t>
      </w:r>
    </w:p>
    <w:p>
      <w:pPr>
        <w:pStyle w:val="ListParagraph"/>
        <w:numPr>
          <w:ilvl w:val="1"/>
          <w:numId w:val="14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施工现场排水：</w:t>
      </w:r>
    </w:p>
    <w:p>
      <w:pPr>
        <w:pStyle w:val="BodyText"/>
        <w:rPr>
          <w:sz w:val="31"/>
        </w:rPr>
      </w:pPr>
    </w:p>
    <w:p>
      <w:pPr>
        <w:pStyle w:val="BodyText"/>
        <w:ind w:left="999"/>
      </w:pPr>
      <w:r>
        <w:t>场地周边设置排水沟，并在转角处设置沉淀池。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525" w:firstLine="838"/>
      </w:pPr>
      <w:r>
        <w:rPr>
          <w:spacing w:val="-10"/>
        </w:rPr>
        <w:t>场地道路二侧设置雨水沟，雨水通过明沟或雨水管排至沉淀池，经沉淀排</w:t>
      </w:r>
      <w:r>
        <w:t>入市政管道。</w:t>
      </w:r>
    </w:p>
    <w:p>
      <w:pPr>
        <w:pStyle w:val="Heading1"/>
        <w:spacing w:line="537" w:lineRule="exact"/>
        <w:ind w:left="160" w:firstLine="0"/>
      </w:pPr>
      <w:r>
        <w:t>四、主要分部分项工程施工方案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586"/>
        </w:tabs>
        <w:spacing w:before="0" w:after="0" w:line="240" w:lineRule="auto"/>
        <w:ind w:left="585" w:right="0" w:hanging="426"/>
        <w:jc w:val="left"/>
        <w:rPr>
          <w:b/>
          <w:sz w:val="40"/>
        </w:rPr>
      </w:pPr>
      <w:r>
        <w:rPr>
          <w:b/>
          <w:sz w:val="42"/>
        </w:rPr>
        <w:t>施工测量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13"/>
        </w:numPr>
        <w:tabs>
          <w:tab w:val="left" w:pos="1734"/>
        </w:tabs>
        <w:spacing w:before="0" w:after="0" w:line="417" w:lineRule="auto"/>
        <w:ind w:left="160" w:right="377" w:firstLine="838"/>
        <w:jc w:val="both"/>
        <w:rPr>
          <w:sz w:val="42"/>
        </w:rPr>
      </w:pPr>
      <w:r>
        <w:rPr>
          <w:sz w:val="42"/>
        </w:rPr>
        <w:t>根据建设单位现场提供的坐标点，采用全站仪，采用极坐标与直线测量法，先测设出停车场的四角坐标控制点，用小圆木桩（或钢钉）</w:t>
      </w:r>
      <w:r>
        <w:rPr>
          <w:spacing w:val="-4"/>
          <w:sz w:val="42"/>
        </w:rPr>
        <w:t xml:space="preserve">进行定位， </w:t>
      </w:r>
      <w:r>
        <w:rPr>
          <w:sz w:val="42"/>
        </w:rPr>
        <w:t>圆木桩（或钢钉）</w:t>
      </w:r>
      <w:r>
        <w:rPr>
          <w:spacing w:val="-39"/>
          <w:sz w:val="42"/>
        </w:rPr>
        <w:t xml:space="preserve">每隔 </w:t>
      </w:r>
      <w:r>
        <w:rPr>
          <w:sz w:val="42"/>
        </w:rPr>
        <w:t>10M</w:t>
      </w:r>
      <w:r>
        <w:rPr>
          <w:spacing w:val="-11"/>
          <w:sz w:val="42"/>
        </w:rPr>
        <w:t xml:space="preserve"> 设置一根，以控制直线与坡度的精确。</w:t>
      </w:r>
    </w:p>
    <w:p>
      <w:pPr>
        <w:pStyle w:val="ListParagraph"/>
        <w:numPr>
          <w:ilvl w:val="1"/>
          <w:numId w:val="13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当停车场的各个主控桩点的坐标轴线点确定后，根据设计图纸的停车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11"/>
          <w:pgSz w:w="17860" w:h="25260"/>
          <w:pgMar w:top="800" w:right="1000" w:bottom="280" w:left="2000" w:header="31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 w:line="417" w:lineRule="auto"/>
        <w:ind w:left="160" w:right="377"/>
      </w:pPr>
      <w:r>
        <w:rPr>
          <w:spacing w:val="-1"/>
        </w:rPr>
        <w:t>坪设计位置及地下管线埋设位置，先用小木桩设定，进而拉线，用石灰撒出灰线，作为工程竣工后的停车坪参考界线，会同设计、甲方、监理等有关人员根据现场实际情况，对部分停车坪和有关设施等进行位置调整。最终，根据调整</w:t>
      </w:r>
      <w:r>
        <w:rPr>
          <w:spacing w:val="-11"/>
        </w:rPr>
        <w:t>方案及设计图纸，测定出停车坪和配套设施的坐标位置和控制标高。同时采用辅助控制桩（或钢钉点）</w:t>
      </w:r>
      <w:r>
        <w:rPr>
          <w:spacing w:val="-12"/>
        </w:rPr>
        <w:t>把停车坪等桩点引出场边外进行设置，并做到设点准</w:t>
      </w:r>
      <w:r>
        <w:t>确，设桩牢固。对引外的桩点进行标记（包括坐标点和高程点</w:t>
      </w:r>
      <w:r>
        <w:rPr>
          <w:spacing w:val="-81"/>
        </w:rPr>
        <w:t>）</w:t>
      </w:r>
      <w:r>
        <w:rPr>
          <w:spacing w:val="-15"/>
        </w:rPr>
        <w:t>，记录于施工笔记本上，注明桩号的移向和距离，以供存查。</w:t>
      </w:r>
    </w:p>
    <w:p>
      <w:pPr>
        <w:pStyle w:val="ListParagraph"/>
        <w:numPr>
          <w:ilvl w:val="1"/>
          <w:numId w:val="25"/>
        </w:numPr>
        <w:tabs>
          <w:tab w:val="left" w:pos="1734"/>
        </w:tabs>
        <w:spacing w:before="0" w:after="0" w:line="417" w:lineRule="auto"/>
        <w:ind w:left="160" w:right="487" w:firstLine="838"/>
        <w:jc w:val="both"/>
        <w:rPr>
          <w:sz w:val="42"/>
        </w:rPr>
      </w:pPr>
      <w:r>
        <w:rPr>
          <w:spacing w:val="-1"/>
          <w:sz w:val="42"/>
        </w:rPr>
        <w:t>测量放线完毕，对所测定的各坐标点及点线，应反复校验，保证测量</w:t>
      </w:r>
      <w:r>
        <w:rPr>
          <w:spacing w:val="-7"/>
          <w:sz w:val="42"/>
        </w:rPr>
        <w:t>成果与所提供的坐标点和水准点的基本数据相吻合，保证测量成果的误差在规</w:t>
      </w:r>
      <w:r>
        <w:rPr>
          <w:spacing w:val="-18"/>
          <w:sz w:val="42"/>
        </w:rPr>
        <w:t xml:space="preserve">定范围内，且不超过 </w:t>
      </w:r>
      <w:r>
        <w:rPr>
          <w:sz w:val="42"/>
        </w:rPr>
        <w:t>1cm。</w:t>
      </w:r>
    </w:p>
    <w:p>
      <w:pPr>
        <w:pStyle w:val="ListParagraph"/>
        <w:numPr>
          <w:ilvl w:val="1"/>
          <w:numId w:val="25"/>
        </w:numPr>
        <w:tabs>
          <w:tab w:val="left" w:pos="1803"/>
        </w:tabs>
        <w:spacing w:before="0" w:after="0" w:line="417" w:lineRule="auto"/>
        <w:ind w:left="160" w:right="511" w:firstLine="838"/>
        <w:jc w:val="both"/>
        <w:rPr>
          <w:sz w:val="42"/>
        </w:rPr>
      </w:pPr>
      <w:r>
        <w:rPr>
          <w:spacing w:val="-3"/>
          <w:sz w:val="42"/>
        </w:rPr>
        <w:t xml:space="preserve">测设路面的高程控制点，采用 </w:t>
      </w:r>
      <w:r>
        <w:rPr>
          <w:sz w:val="42"/>
        </w:rPr>
        <w:t>DSZ3</w:t>
      </w:r>
      <w:r>
        <w:rPr>
          <w:spacing w:val="-7"/>
          <w:sz w:val="42"/>
        </w:rPr>
        <w:t xml:space="preserve"> 水准仪把高程点引设至本工程的</w:t>
      </w:r>
      <w:r>
        <w:rPr>
          <w:spacing w:val="-9"/>
          <w:sz w:val="42"/>
        </w:rPr>
        <w:t>红线范围内的周边场所上。可采用木桩砼基座进行设定，必要时可引设于附近</w:t>
      </w:r>
      <w:r>
        <w:rPr>
          <w:spacing w:val="-9"/>
          <w:w w:val="100"/>
          <w:sz w:val="42"/>
        </w:rPr>
        <w:t>的建（构）筑物上（引设的建、构筑物必须是稳定的</w:t>
      </w:r>
      <w:r>
        <w:rPr>
          <w:spacing w:val="-169"/>
          <w:w w:val="100"/>
          <w:sz w:val="42"/>
        </w:rPr>
        <w:t>）</w:t>
      </w:r>
      <w:r>
        <w:rPr>
          <w:w w:val="100"/>
          <w:sz w:val="42"/>
        </w:rPr>
        <w:t>，并形成完整的水准控</w:t>
      </w:r>
      <w:r>
        <w:rPr>
          <w:sz w:val="42"/>
        </w:rPr>
        <w:t>制网，以便于施工过程的高程控制和经常复验。</w:t>
      </w:r>
    </w:p>
    <w:p>
      <w:pPr>
        <w:pStyle w:val="ListParagraph"/>
        <w:numPr>
          <w:ilvl w:val="1"/>
          <w:numId w:val="25"/>
        </w:numPr>
        <w:tabs>
          <w:tab w:val="left" w:pos="1734"/>
        </w:tabs>
        <w:spacing w:before="0" w:after="0" w:line="417" w:lineRule="auto"/>
        <w:ind w:left="160" w:right="377" w:firstLine="838"/>
        <w:jc w:val="both"/>
        <w:rPr>
          <w:sz w:val="42"/>
        </w:rPr>
      </w:pPr>
      <w:r>
        <w:rPr>
          <w:sz w:val="42"/>
        </w:rPr>
        <w:t>测量放线完成后，经复核无误，应通知工程监理单位进行单位工程定</w:t>
      </w:r>
      <w:r>
        <w:rPr>
          <w:spacing w:val="-1"/>
          <w:sz w:val="42"/>
        </w:rPr>
        <w:t>位复核及验收，并做好签证手续，验收前应编制测量成果报告书，内容包括施</w:t>
      </w:r>
      <w:r>
        <w:rPr>
          <w:sz w:val="42"/>
        </w:rPr>
        <w:t>测方法，计算方法，操作规程，观测仪器设备等。</w:t>
      </w:r>
    </w:p>
    <w:p>
      <w:pPr>
        <w:pStyle w:val="Heading1"/>
        <w:numPr>
          <w:ilvl w:val="0"/>
          <w:numId w:val="25"/>
        </w:numPr>
        <w:tabs>
          <w:tab w:val="left" w:pos="586"/>
        </w:tabs>
        <w:spacing w:before="0" w:after="0" w:line="537" w:lineRule="exact"/>
        <w:ind w:left="585" w:right="0" w:hanging="426"/>
        <w:jc w:val="left"/>
        <w:rPr>
          <w:sz w:val="40"/>
        </w:rPr>
      </w:pPr>
      <w:r>
        <w:t>雨水管道工程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 w:line="417" w:lineRule="auto"/>
        <w:ind w:left="160" w:right="379" w:firstLine="838"/>
      </w:pPr>
      <w:r>
        <w:t>雨水管线工程施工时，拟采用流水作业施工法，即分为管沟土方开挖、基础压实、管道安装及检查井砌筑。</w:t>
      </w:r>
    </w:p>
    <w:p>
      <w:pPr>
        <w:pStyle w:val="ListParagraph"/>
        <w:numPr>
          <w:ilvl w:val="1"/>
          <w:numId w:val="25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挖沟槽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5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施工放样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t>首先根据设计图纸放出雨水检查井的具体位置，并用木桩做好标记，做为</w:t>
      </w:r>
    </w:p>
    <w:p>
      <w:pPr>
        <w:spacing w:after="0"/>
        <w:sectPr>
          <w:headerReference w:type="default" r:id="rId12"/>
          <w:pgSz w:w="17860" w:h="25260"/>
          <w:pgMar w:top="800" w:right="1000" w:bottom="280" w:left="2000" w:header="31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60"/>
      </w:pPr>
      <w:r>
        <w:t>今后施工中排水管道位置复核的依据；然后放出雨水管线的位置。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6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沟槽开挖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379" w:firstLine="838"/>
      </w:pPr>
      <w:r>
        <w:t>依据图纸进行实地测量后，计算出开糟宽度、放坡及开挖深度，并用白灰线做出明确标记以便于开挖。</w:t>
      </w:r>
    </w:p>
    <w:p>
      <w:pPr>
        <w:pStyle w:val="BodyText"/>
        <w:spacing w:line="417" w:lineRule="auto"/>
        <w:ind w:left="160" w:right="377" w:firstLine="838"/>
      </w:pPr>
      <w:r>
        <w:t>全线雨水管线及检查井基坑的土方开挖均采用机械开挖</w:t>
      </w:r>
      <w:r>
        <w:rPr>
          <w:spacing w:val="-51"/>
        </w:rPr>
        <w:t xml:space="preserve">，并预留基底 </w:t>
      </w:r>
      <w:r>
        <w:t xml:space="preserve">30cm </w:t>
      </w:r>
      <w:r>
        <w:rPr>
          <w:spacing w:val="-1"/>
        </w:rPr>
        <w:t>厚土用人工配合清槽，以保证持力层不被扰动。根据土质确定放坡大小，一般</w:t>
      </w:r>
      <w:r>
        <w:rPr>
          <w:spacing w:val="-46"/>
        </w:rPr>
        <w:t xml:space="preserve">为 </w:t>
      </w:r>
      <w:r>
        <w:t>1：0.33。挖沟槽时，由管道的最低点向高点的顺序分段施工，以有利于地</w:t>
      </w:r>
      <w:r>
        <w:rPr>
          <w:spacing w:val="-1"/>
        </w:rPr>
        <w:t>下水及雨水的排出；检查井挖基时应保证一次开挖成型，不得超挖。施工中做</w:t>
      </w:r>
      <w:r>
        <w:t>到尽快开挖。</w:t>
      </w:r>
    </w:p>
    <w:p>
      <w:pPr>
        <w:pStyle w:val="ListParagraph"/>
        <w:numPr>
          <w:ilvl w:val="1"/>
          <w:numId w:val="26"/>
        </w:numPr>
        <w:tabs>
          <w:tab w:val="left" w:pos="1734"/>
        </w:tabs>
        <w:spacing w:before="0" w:after="0" w:line="537" w:lineRule="exact"/>
        <w:ind w:left="1733" w:right="0" w:hanging="735"/>
        <w:jc w:val="left"/>
        <w:rPr>
          <w:sz w:val="42"/>
        </w:rPr>
      </w:pPr>
      <w:r>
        <w:rPr>
          <w:sz w:val="42"/>
        </w:rPr>
        <w:t>管基施工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377" w:firstLine="838"/>
      </w:pPr>
      <w:r>
        <w:rPr>
          <w:spacing w:val="-11"/>
        </w:rPr>
        <w:t>基础开挖后，用人工清理浮土并防止地下水对基坑的浸泡，必要时挖集水</w:t>
      </w:r>
      <w:r>
        <w:rPr>
          <w:spacing w:val="-12"/>
        </w:rPr>
        <w:t>坑进行排水。并用机械进行夯实，进行位置标高复核，现场监理检收后方可进</w:t>
      </w:r>
      <w:r>
        <w:t>行下步工序施工。</w:t>
      </w:r>
    </w:p>
    <w:p>
      <w:pPr>
        <w:pStyle w:val="ListParagraph"/>
        <w:numPr>
          <w:ilvl w:val="1"/>
          <w:numId w:val="26"/>
        </w:numPr>
        <w:tabs>
          <w:tab w:val="left" w:pos="1734"/>
        </w:tabs>
        <w:spacing w:before="0" w:after="0" w:line="538" w:lineRule="exact"/>
        <w:ind w:left="1733" w:right="0" w:hanging="735"/>
        <w:jc w:val="left"/>
        <w:rPr>
          <w:sz w:val="42"/>
        </w:rPr>
      </w:pPr>
      <w:r>
        <w:rPr>
          <w:sz w:val="42"/>
        </w:rPr>
        <w:t>雨水管道安装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6"/>
        </w:numPr>
        <w:tabs>
          <w:tab w:val="left" w:pos="2155"/>
        </w:tabs>
        <w:spacing w:before="1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管道安装前，首先对基础上的泥土、灰尘清理干净。然后用经纬仪</w:t>
      </w:r>
      <w:r>
        <w:rPr>
          <w:sz w:val="42"/>
        </w:rPr>
        <w:t>测放出管道的中心线和检查井的中心位置，并打木桩做好标记。</w:t>
      </w:r>
    </w:p>
    <w:p>
      <w:pPr>
        <w:pStyle w:val="ListParagraph"/>
        <w:numPr>
          <w:ilvl w:val="2"/>
          <w:numId w:val="26"/>
        </w:numPr>
        <w:tabs>
          <w:tab w:val="left" w:pos="2155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 xml:space="preserve">雨水管采用双壁波纹管。管节进场后，检查管件及橡胶圈的质量， </w:t>
      </w:r>
      <w:r>
        <w:rPr>
          <w:sz w:val="42"/>
        </w:rPr>
        <w:t>并准备相应作业项目施工卡具。</w:t>
      </w:r>
    </w:p>
    <w:p>
      <w:pPr>
        <w:pStyle w:val="ListParagraph"/>
        <w:numPr>
          <w:ilvl w:val="2"/>
          <w:numId w:val="26"/>
        </w:numPr>
        <w:tabs>
          <w:tab w:val="left" w:pos="2155"/>
        </w:tabs>
        <w:spacing w:before="0" w:after="0" w:line="417" w:lineRule="auto"/>
        <w:ind w:left="160" w:right="316" w:firstLine="838"/>
        <w:jc w:val="left"/>
        <w:rPr>
          <w:sz w:val="42"/>
        </w:rPr>
      </w:pPr>
      <w:r>
        <w:rPr>
          <w:spacing w:val="-16"/>
          <w:sz w:val="42"/>
        </w:rPr>
        <w:t xml:space="preserve">将插口上的橡胶圈沟槽、承口端面的工作面及橡胶圈用砂轮，砂纸， </w:t>
      </w:r>
      <w:r>
        <w:rPr>
          <w:sz w:val="42"/>
        </w:rPr>
        <w:t>大布清理干净，不得有土或其它杂物且承插表面不得有影响安装质量凸起物。</w:t>
      </w:r>
    </w:p>
    <w:p>
      <w:pPr>
        <w:pStyle w:val="ListParagraph"/>
        <w:numPr>
          <w:ilvl w:val="2"/>
          <w:numId w:val="26"/>
        </w:numPr>
        <w:tabs>
          <w:tab w:val="left" w:pos="2155"/>
        </w:tabs>
        <w:spacing w:before="0" w:after="0" w:line="537" w:lineRule="exact"/>
        <w:ind w:left="2155" w:right="0" w:hanging="1156"/>
        <w:jc w:val="left"/>
        <w:rPr>
          <w:sz w:val="42"/>
        </w:rPr>
      </w:pPr>
      <w:r>
        <w:rPr>
          <w:sz w:val="42"/>
        </w:rPr>
        <w:t>将橡胶圈正确安装在橡胶沟槽中，不得扭曲。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6"/>
        </w:numPr>
        <w:tabs>
          <w:tab w:val="left" w:pos="2271"/>
        </w:tabs>
        <w:spacing w:before="0" w:after="0" w:line="417" w:lineRule="auto"/>
        <w:ind w:left="160" w:right="377" w:firstLine="838"/>
        <w:jc w:val="left"/>
        <w:rPr>
          <w:sz w:val="42"/>
        </w:rPr>
      </w:pPr>
      <w:r>
        <w:rPr>
          <w:sz w:val="42"/>
        </w:rPr>
        <w:t xml:space="preserve">用毛刷将润滑剂均匀地涂在装嵌在插口处的橡胶圈和承口端表面 </w:t>
      </w:r>
      <w:r>
        <w:rPr>
          <w:spacing w:val="-1"/>
          <w:sz w:val="42"/>
        </w:rPr>
        <w:t>目，但不得将润滑剂涂到橡胶圈沟槽内；润滑剂可采用食用油，禁止使用黄油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3"/>
          <w:pgSz w:w="17860" w:h="25260"/>
          <w:pgMar w:top="800" w:right="1000" w:bottom="280" w:left="2000" w:header="31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60"/>
      </w:pPr>
      <w:r>
        <w:t>或其它类做润滑剂。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7"/>
        </w:numPr>
        <w:tabs>
          <w:tab w:val="left" w:pos="2181"/>
        </w:tabs>
        <w:spacing w:before="0" w:after="0" w:line="417" w:lineRule="auto"/>
        <w:ind w:left="160" w:right="526" w:firstLine="838"/>
        <w:jc w:val="both"/>
        <w:rPr>
          <w:sz w:val="42"/>
        </w:rPr>
      </w:pPr>
      <w:r>
        <w:rPr>
          <w:spacing w:val="-6"/>
          <w:sz w:val="42"/>
        </w:rPr>
        <w:t xml:space="preserve">管道在组对前应在管道接头上挖一宽 </w:t>
      </w:r>
      <w:r>
        <w:rPr>
          <w:sz w:val="42"/>
        </w:rPr>
        <w:t>400mm</w:t>
      </w:r>
      <w:r>
        <w:rPr>
          <w:spacing w:val="-24"/>
          <w:sz w:val="42"/>
        </w:rPr>
        <w:t xml:space="preserve">，深 </w:t>
      </w:r>
      <w:r>
        <w:rPr>
          <w:sz w:val="42"/>
        </w:rPr>
        <w:t>100mm</w:t>
      </w:r>
      <w:r>
        <w:rPr>
          <w:spacing w:val="-17"/>
          <w:sz w:val="42"/>
        </w:rPr>
        <w:t xml:space="preserve"> 工作坑。避</w:t>
      </w:r>
      <w:r>
        <w:rPr>
          <w:spacing w:val="-10"/>
          <w:sz w:val="42"/>
        </w:rPr>
        <w:t>免承插口处受管道的重量，接口安装后用垫层材料把操作坑回填好，使管道整</w:t>
      </w:r>
      <w:r>
        <w:rPr>
          <w:sz w:val="42"/>
        </w:rPr>
        <w:t>体形成连续支撑。</w:t>
      </w:r>
    </w:p>
    <w:p>
      <w:pPr>
        <w:pStyle w:val="ListParagraph"/>
        <w:numPr>
          <w:ilvl w:val="2"/>
          <w:numId w:val="27"/>
        </w:numPr>
        <w:tabs>
          <w:tab w:val="left" w:pos="2155"/>
        </w:tabs>
        <w:spacing w:before="0" w:after="0" w:line="417" w:lineRule="auto"/>
        <w:ind w:left="160" w:right="487" w:firstLine="838"/>
        <w:jc w:val="both"/>
        <w:rPr>
          <w:sz w:val="42"/>
        </w:rPr>
      </w:pPr>
      <w:r>
        <w:rPr>
          <w:spacing w:val="-1"/>
          <w:sz w:val="42"/>
        </w:rPr>
        <w:t>被连接的管线要找直，吊起对准成一直线，再用导线两侧面，均匀</w:t>
      </w:r>
      <w:r>
        <w:rPr>
          <w:spacing w:val="-8"/>
          <w:sz w:val="42"/>
        </w:rPr>
        <w:t>地将插口插入承口中的标线位置，安装用力时要均匀，尤其是管端进入第一密封圈时要特别注意。</w:t>
      </w:r>
    </w:p>
    <w:p>
      <w:pPr>
        <w:pStyle w:val="ListParagraph"/>
        <w:numPr>
          <w:ilvl w:val="2"/>
          <w:numId w:val="27"/>
        </w:numPr>
        <w:tabs>
          <w:tab w:val="left" w:pos="2148"/>
        </w:tabs>
        <w:spacing w:before="0" w:after="0" w:line="538" w:lineRule="exact"/>
        <w:ind w:left="2147" w:right="0" w:hanging="1149"/>
        <w:jc w:val="left"/>
        <w:rPr>
          <w:sz w:val="42"/>
        </w:rPr>
      </w:pPr>
      <w:r>
        <w:rPr>
          <w:sz w:val="42"/>
        </w:rPr>
        <w:t>安装好的管线每天下班前要将管口封口堵好</w:t>
      </w:r>
      <w:r>
        <w:rPr>
          <w:spacing w:val="-24"/>
          <w:sz w:val="42"/>
        </w:rPr>
        <w:t>，防止尘土及异物进入。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7"/>
        </w:numPr>
        <w:tabs>
          <w:tab w:val="left" w:pos="2155"/>
        </w:tabs>
        <w:spacing w:before="0" w:after="0" w:line="240" w:lineRule="auto"/>
        <w:ind w:left="2155" w:right="0" w:hanging="1156"/>
        <w:jc w:val="left"/>
        <w:rPr>
          <w:sz w:val="42"/>
        </w:rPr>
      </w:pPr>
      <w:r>
        <w:rPr>
          <w:sz w:val="42"/>
        </w:rPr>
        <w:t>用塞尺顺承插口间隙插入，沿管圆周检查橡胶圈的安装是否正确。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7"/>
        </w:numPr>
        <w:tabs>
          <w:tab w:val="left" w:pos="2364"/>
        </w:tabs>
        <w:spacing w:before="1" w:after="0" w:line="240" w:lineRule="auto"/>
        <w:ind w:left="2363" w:right="0" w:hanging="1365"/>
        <w:jc w:val="left"/>
        <w:rPr>
          <w:sz w:val="42"/>
        </w:rPr>
      </w:pPr>
      <w:r>
        <w:rPr>
          <w:sz w:val="42"/>
        </w:rPr>
        <w:t>安装完经自检合格后应及时向监理工程师报检。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7"/>
        </w:numPr>
        <w:tabs>
          <w:tab w:val="left" w:pos="1734"/>
        </w:tabs>
        <w:spacing w:before="0" w:after="0" w:line="240" w:lineRule="auto"/>
        <w:ind w:left="1733" w:right="0" w:hanging="735"/>
        <w:jc w:val="left"/>
        <w:rPr>
          <w:sz w:val="42"/>
        </w:rPr>
      </w:pPr>
      <w:r>
        <w:rPr>
          <w:sz w:val="42"/>
        </w:rPr>
        <w:t>检查井的砌筑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7"/>
        </w:numPr>
        <w:tabs>
          <w:tab w:val="left" w:pos="2155"/>
        </w:tabs>
        <w:spacing w:before="0" w:after="0" w:line="417" w:lineRule="auto"/>
        <w:ind w:left="160" w:right="306" w:firstLine="838"/>
        <w:jc w:val="both"/>
        <w:rPr>
          <w:sz w:val="42"/>
        </w:rPr>
      </w:pPr>
      <w:r>
        <w:rPr>
          <w:spacing w:val="-17"/>
          <w:sz w:val="42"/>
        </w:rPr>
        <w:t xml:space="preserve">管道安装完毕后，可进行砖彻检查井的砌筑，砖砌体必须砂浆饱满， </w:t>
      </w:r>
      <w:r>
        <w:rPr>
          <w:sz w:val="42"/>
        </w:rPr>
        <w:t>灰均匀，砖彻体不得有直缝，垂直度、平面尺寸应符合规范要求。井内外墙用1：2</w:t>
      </w:r>
      <w:r>
        <w:rPr>
          <w:spacing w:val="-24"/>
          <w:sz w:val="42"/>
        </w:rPr>
        <w:t xml:space="preserve"> 防水砂浆抹面，厚 </w:t>
      </w:r>
      <w:r>
        <w:rPr>
          <w:sz w:val="42"/>
        </w:rPr>
        <w:t>20mm。</w:t>
      </w:r>
    </w:p>
    <w:p>
      <w:pPr>
        <w:pStyle w:val="ListParagraph"/>
        <w:numPr>
          <w:ilvl w:val="2"/>
          <w:numId w:val="27"/>
        </w:numPr>
        <w:tabs>
          <w:tab w:val="left" w:pos="2155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盖板安装要保证表面平整、光滑、无蜂窝麻面。堆放及运输时不得</w:t>
      </w:r>
      <w:r>
        <w:rPr>
          <w:sz w:val="42"/>
        </w:rPr>
        <w:t>倒置。</w:t>
      </w:r>
    </w:p>
    <w:p>
      <w:pPr>
        <w:pStyle w:val="ListParagraph"/>
        <w:numPr>
          <w:ilvl w:val="2"/>
          <w:numId w:val="27"/>
        </w:numPr>
        <w:tabs>
          <w:tab w:val="left" w:pos="2224"/>
        </w:tabs>
        <w:spacing w:before="0" w:after="0" w:line="417" w:lineRule="auto"/>
        <w:ind w:left="160" w:right="506" w:firstLine="838"/>
        <w:jc w:val="left"/>
        <w:rPr>
          <w:sz w:val="42"/>
        </w:rPr>
      </w:pPr>
      <w:r>
        <w:rPr>
          <w:spacing w:val="-5"/>
          <w:sz w:val="42"/>
        </w:rPr>
        <w:t xml:space="preserve">井盖安装时用 </w:t>
      </w:r>
      <w:r>
        <w:rPr>
          <w:sz w:val="42"/>
        </w:rPr>
        <w:t>1：2</w:t>
      </w:r>
      <w:r>
        <w:rPr>
          <w:spacing w:val="-6"/>
          <w:sz w:val="42"/>
        </w:rPr>
        <w:t xml:space="preserve"> 防水水泥沙浆浆处理，安装后的井盖与人行道</w:t>
      </w:r>
      <w:r>
        <w:rPr>
          <w:sz w:val="42"/>
        </w:rPr>
        <w:t>路相平。</w:t>
      </w:r>
    </w:p>
    <w:p>
      <w:pPr>
        <w:pStyle w:val="ListParagraph"/>
        <w:numPr>
          <w:ilvl w:val="0"/>
          <w:numId w:val="27"/>
        </w:numPr>
        <w:tabs>
          <w:tab w:val="left" w:pos="583"/>
        </w:tabs>
        <w:spacing w:before="0" w:after="0" w:line="240" w:lineRule="auto"/>
        <w:ind w:left="583" w:right="0" w:hanging="423"/>
        <w:jc w:val="left"/>
        <w:rPr>
          <w:sz w:val="40"/>
        </w:rPr>
      </w:pPr>
      <w:r>
        <w:rPr>
          <w:sz w:val="42"/>
        </w:rPr>
        <w:t>雨水检查井的土方回填：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7"/>
        </w:numPr>
        <w:tabs>
          <w:tab w:val="left" w:pos="1734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土方回填前应对分段管道做密水试验。各连接处接口、管道等无明显</w:t>
      </w:r>
      <w:r>
        <w:rPr>
          <w:sz w:val="42"/>
        </w:rPr>
        <w:t>滴漏现象，否则应进行处理。</w:t>
      </w:r>
    </w:p>
    <w:p>
      <w:pPr>
        <w:pStyle w:val="ListParagraph"/>
        <w:numPr>
          <w:ilvl w:val="1"/>
          <w:numId w:val="27"/>
        </w:numPr>
        <w:tabs>
          <w:tab w:val="left" w:pos="1734"/>
        </w:tabs>
        <w:spacing w:before="0" w:after="0" w:line="417" w:lineRule="auto"/>
        <w:ind w:left="160" w:right="518" w:firstLine="838"/>
        <w:jc w:val="left"/>
        <w:rPr>
          <w:sz w:val="42"/>
        </w:rPr>
      </w:pPr>
      <w:r>
        <w:rPr>
          <w:spacing w:val="-11"/>
          <w:sz w:val="42"/>
        </w:rPr>
        <w:t xml:space="preserve">土方回填应分层填筑，面层填筑厚度不大于 </w:t>
      </w:r>
      <w:r>
        <w:rPr>
          <w:sz w:val="42"/>
        </w:rPr>
        <w:t>20cm</w:t>
      </w:r>
      <w:r>
        <w:rPr>
          <w:spacing w:val="-9"/>
          <w:sz w:val="42"/>
        </w:rPr>
        <w:t>。管道两侧采用轻型</w:t>
      </w:r>
      <w:r>
        <w:rPr>
          <w:spacing w:val="4"/>
          <w:sz w:val="42"/>
        </w:rPr>
        <w:t xml:space="preserve">夯夯实，填至管顶不小于 </w:t>
      </w:r>
      <w:r>
        <w:rPr>
          <w:sz w:val="42"/>
        </w:rPr>
        <w:t>50cm。然后用轻型压路机械分层填至路面。检查井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4"/>
          <w:pgSz w:w="17860" w:h="25260"/>
          <w:pgMar w:top="800" w:right="1000" w:bottom="280" w:left="2000" w:header="310" w:footer="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5" w:line="417" w:lineRule="auto"/>
        <w:ind w:left="160" w:right="377"/>
        <w:jc w:val="both"/>
      </w:pPr>
      <w:r>
        <w:t>回填时，应先将盖板座浆盖好，在井墙和井筒周围同时回填。回填用土含水量应力最佳含水量，不得有大小 10cm 石块、垃圾等，回填土密度度应符合规范要求。</w:t>
      </w:r>
    </w:p>
    <w:p>
      <w:pPr>
        <w:pStyle w:val="ListParagraph"/>
        <w:numPr>
          <w:ilvl w:val="1"/>
          <w:numId w:val="28"/>
        </w:numPr>
        <w:tabs>
          <w:tab w:val="left" w:pos="1734"/>
        </w:tabs>
        <w:spacing w:before="0" w:after="0" w:line="417" w:lineRule="auto"/>
        <w:ind w:left="160" w:right="526" w:firstLine="838"/>
        <w:jc w:val="both"/>
        <w:rPr>
          <w:sz w:val="42"/>
        </w:rPr>
      </w:pPr>
      <w:r>
        <w:rPr>
          <w:spacing w:val="-29"/>
          <w:sz w:val="42"/>
        </w:rPr>
        <w:t xml:space="preserve">回填土方时，如有地下水需做降水处理，并把浸泡泥浆清理后，用 </w:t>
      </w:r>
      <w:r>
        <w:rPr>
          <w:spacing w:val="-7"/>
          <w:sz w:val="42"/>
        </w:rPr>
        <w:t xml:space="preserve">10％ </w:t>
      </w:r>
      <w:r>
        <w:rPr>
          <w:sz w:val="42"/>
        </w:rPr>
        <w:t>的石灰土做处理。</w:t>
      </w:r>
    </w:p>
    <w:p>
      <w:pPr>
        <w:pStyle w:val="Heading1"/>
        <w:numPr>
          <w:ilvl w:val="0"/>
          <w:numId w:val="12"/>
        </w:numPr>
        <w:tabs>
          <w:tab w:val="left" w:pos="586"/>
        </w:tabs>
        <w:spacing w:before="0" w:after="0" w:line="537" w:lineRule="exact"/>
        <w:ind w:left="585" w:right="0" w:hanging="426"/>
        <w:jc w:val="left"/>
      </w:pPr>
      <w:r>
        <w:t>土方工程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12"/>
        </w:numPr>
        <w:tabs>
          <w:tab w:val="left" w:pos="1734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土方填筑在基础处理、隐蔽工程和基坑清理等验收合格后才能进行。</w:t>
      </w:r>
      <w:r>
        <w:rPr>
          <w:sz w:val="42"/>
        </w:rPr>
        <w:t>验收合格的填筑面要及时填筑，以防造成破坏。</w:t>
      </w:r>
    </w:p>
    <w:p>
      <w:pPr>
        <w:pStyle w:val="ListParagraph"/>
        <w:numPr>
          <w:ilvl w:val="1"/>
          <w:numId w:val="12"/>
        </w:numPr>
        <w:tabs>
          <w:tab w:val="left" w:pos="1734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根据填筑部位的不同，采用不同的压实方法，确保填筑土方达到设计</w:t>
      </w:r>
      <w:r>
        <w:rPr>
          <w:sz w:val="42"/>
        </w:rPr>
        <w:t>要求。</w:t>
      </w:r>
    </w:p>
    <w:p>
      <w:pPr>
        <w:pStyle w:val="ListParagraph"/>
        <w:numPr>
          <w:ilvl w:val="1"/>
          <w:numId w:val="12"/>
        </w:numPr>
        <w:tabs>
          <w:tab w:val="left" w:pos="1734"/>
        </w:tabs>
        <w:spacing w:before="0" w:after="0" w:line="417" w:lineRule="auto"/>
        <w:ind w:left="160" w:right="487" w:firstLine="838"/>
        <w:jc w:val="both"/>
        <w:rPr>
          <w:sz w:val="42"/>
        </w:rPr>
      </w:pPr>
      <w:r>
        <w:rPr>
          <w:spacing w:val="-1"/>
          <w:sz w:val="42"/>
        </w:rPr>
        <w:t>土方填筑采用接近最佳含水量的土料，在料场严格控制上堤土料的含</w:t>
      </w:r>
      <w:r>
        <w:rPr>
          <w:spacing w:val="-11"/>
          <w:sz w:val="42"/>
        </w:rPr>
        <w:t>水量。当料场土料或利用方土料的含水量超出最佳含水量范围时，根据土料开</w:t>
      </w:r>
      <w:r>
        <w:rPr>
          <w:spacing w:val="-13"/>
          <w:sz w:val="42"/>
        </w:rPr>
        <w:t>挖方式、装运卸流程以及气象等条件对土料含水量进行调整，调整方法如翻晒或加水等，使其含水量满足要求后，再进行填筑。</w:t>
      </w:r>
    </w:p>
    <w:p>
      <w:pPr>
        <w:pStyle w:val="ListParagraph"/>
        <w:numPr>
          <w:ilvl w:val="1"/>
          <w:numId w:val="12"/>
        </w:numPr>
        <w:tabs>
          <w:tab w:val="left" w:pos="1734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分段填筑时，各段土层之间设立标志，以防漏压、欠压和过压，上、</w:t>
      </w:r>
      <w:r>
        <w:rPr>
          <w:sz w:val="42"/>
        </w:rPr>
        <w:t>下层分段位置应错开。</w:t>
      </w:r>
    </w:p>
    <w:p>
      <w:pPr>
        <w:pStyle w:val="ListParagraph"/>
        <w:numPr>
          <w:ilvl w:val="1"/>
          <w:numId w:val="12"/>
        </w:numPr>
        <w:tabs>
          <w:tab w:val="left" w:pos="1785"/>
        </w:tabs>
        <w:spacing w:before="0" w:after="0" w:line="417" w:lineRule="auto"/>
        <w:ind w:left="160" w:right="528" w:firstLine="838"/>
        <w:jc w:val="both"/>
        <w:rPr>
          <w:sz w:val="42"/>
        </w:rPr>
      </w:pPr>
      <w:r>
        <w:rPr>
          <w:spacing w:val="-3"/>
          <w:sz w:val="42"/>
        </w:rPr>
        <w:t xml:space="preserve">必须严格控制铺土厚度及土块粒径。机械压实每层不超过 </w:t>
      </w:r>
      <w:r>
        <w:rPr>
          <w:sz w:val="42"/>
        </w:rPr>
        <w:t>30</w:t>
      </w:r>
      <w:r>
        <w:rPr>
          <w:spacing w:val="21"/>
          <w:sz w:val="42"/>
        </w:rPr>
        <w:t xml:space="preserve"> </w:t>
      </w:r>
      <w:r>
        <w:rPr>
          <w:spacing w:val="-3"/>
          <w:sz w:val="42"/>
        </w:rPr>
        <w:t>cm</w:t>
      </w:r>
      <w:r>
        <w:rPr>
          <w:spacing w:val="-9"/>
          <w:sz w:val="42"/>
        </w:rPr>
        <w:t>，并</w:t>
      </w:r>
      <w:r>
        <w:rPr>
          <w:spacing w:val="5"/>
          <w:sz w:val="42"/>
        </w:rPr>
        <w:t xml:space="preserve">控制土块粒径不超过 </w:t>
      </w:r>
      <w:r>
        <w:rPr>
          <w:sz w:val="42"/>
        </w:rPr>
        <w:t>10cm；每层压实后经监理人验收合格后方可铺筑上层土料。</w:t>
      </w:r>
    </w:p>
    <w:p>
      <w:pPr>
        <w:pStyle w:val="ListParagraph"/>
        <w:numPr>
          <w:ilvl w:val="1"/>
          <w:numId w:val="12"/>
        </w:numPr>
        <w:tabs>
          <w:tab w:val="left" w:pos="1842"/>
        </w:tabs>
        <w:spacing w:before="0" w:after="0" w:line="417" w:lineRule="auto"/>
        <w:ind w:left="160" w:right="569" w:firstLine="838"/>
        <w:jc w:val="both"/>
        <w:rPr>
          <w:sz w:val="42"/>
        </w:rPr>
      </w:pPr>
      <w:r>
        <w:rPr>
          <w:spacing w:val="-15"/>
          <w:sz w:val="42"/>
        </w:rPr>
        <w:t>如填土出现“弹簧”、层间中空，松土层或剪力破坏现象时，根据情</w:t>
      </w:r>
      <w:r>
        <w:rPr>
          <w:sz w:val="42"/>
        </w:rPr>
        <w:t>况认真处理，并经监理人检验合格后，方可进行下一道工序。</w:t>
      </w:r>
    </w:p>
    <w:p>
      <w:pPr>
        <w:pStyle w:val="ListParagraph"/>
        <w:numPr>
          <w:ilvl w:val="1"/>
          <w:numId w:val="12"/>
        </w:numPr>
        <w:tabs>
          <w:tab w:val="left" w:pos="1734"/>
        </w:tabs>
        <w:spacing w:before="0" w:after="0" w:line="417" w:lineRule="auto"/>
        <w:ind w:left="160" w:right="487" w:firstLine="838"/>
        <w:jc w:val="left"/>
        <w:rPr>
          <w:sz w:val="42"/>
        </w:rPr>
      </w:pPr>
      <w:r>
        <w:rPr>
          <w:spacing w:val="-1"/>
          <w:sz w:val="42"/>
        </w:rPr>
        <w:t>施工过程中保证观测设备的埋设安装和测量工作的正常进行，并保护</w:t>
      </w:r>
      <w:r>
        <w:rPr>
          <w:sz w:val="42"/>
        </w:rPr>
        <w:t>好观测设备标志完。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https://d.book118.com/517166160033006044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headerReference w:type="default" r:id="rId16"/>
      <w:pgSz w:w="17860" w:h="25260"/>
      <w:pgMar w:top="800" w:right="1000" w:bottom="280" w:left="2000" w:header="31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4pt;height:20pt;margin-top:14.49pt;margin-left:107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6916817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6817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4pt;height:20pt;margin-top:14.49pt;margin-left:107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853859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3859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4pt;height:20pt;margin-top:14.49pt;margin-left:107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1910949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0949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4pt;height:20pt;margin-top:14.49pt;margin-left:107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11544805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4805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4pt;height:20pt;margin-top:14.49pt;margin-left:107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2489668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9668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4pt;height:20pt;margin-top:14.49pt;margin-left:107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1867278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72789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4pt;height:20pt;margin-top:14.49pt;margin-left:107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1233293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293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4pt;height:20pt;margin-top:14.49pt;margin-left:107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3487251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7251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4pt;height:20pt;margin-top:14.49pt;margin-left:107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469900</wp:posOffset>
          </wp:positionV>
          <wp:extent cx="9080500" cy="38100"/>
          <wp:effectExtent l="0" t="0" r="0" b="0"/>
          <wp:wrapNone/>
          <wp:docPr id="409301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301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4pt;height:20pt;margin-top:14.49pt;margin-left:107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rFonts w:ascii="幼圆" w:eastAsia="幼圆" w:hint="eastAsia"/>
                    <w:sz w:val="36"/>
                  </w:rPr>
                  <w:t>实用文档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254FE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735"/>
      </w:pPr>
      <w:rPr>
        <w:rFonts w:hint="default"/>
      </w:rPr>
    </w:lvl>
  </w:abstractNum>
  <w:abstractNum w:abstractNumId="1">
    <w:nsid w:val="050FFC51"/>
    <w:multiLevelType w:val="hybridMultilevel"/>
    <w:tmpl w:val="00000000"/>
    <w:lvl w:ilvl="0">
      <w:start w:val="3"/>
      <w:numFmt w:val="decimal"/>
      <w:lvlText w:val="%1"/>
      <w:lvlJc w:val="left"/>
      <w:pPr>
        <w:ind w:left="16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9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735"/>
      </w:pPr>
      <w:rPr>
        <w:rFonts w:hint="default"/>
      </w:rPr>
    </w:lvl>
  </w:abstractNum>
  <w:abstractNum w:abstractNumId="2">
    <w:nsid w:val="05D1A33A"/>
    <w:multiLevelType w:val="hybridMultilevel"/>
    <w:tmpl w:val="00000000"/>
    <w:lvl w:ilvl="0">
      <w:start w:val="4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0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425"/>
      </w:pPr>
      <w:rPr>
        <w:rFonts w:hint="default"/>
      </w:rPr>
    </w:lvl>
  </w:abstractNum>
  <w:abstractNum w:abstractNumId="3">
    <w:nsid w:val="05DA0190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16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4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8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1156"/>
      </w:pPr>
      <w:rPr>
        <w:rFonts w:hint="default"/>
      </w:rPr>
    </w:lvl>
  </w:abstractNum>
  <w:abstractNum w:abstractNumId="4">
    <w:nsid w:val="09293714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735"/>
      </w:pPr>
      <w:rPr>
        <w:rFonts w:hint="default"/>
      </w:rPr>
    </w:lvl>
  </w:abstractNum>
  <w:abstractNum w:abstractNumId="5">
    <w:nsid w:val="0935F0F6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423"/>
      </w:pPr>
      <w:rPr>
        <w:rFonts w:hint="default"/>
      </w:rPr>
    </w:lvl>
  </w:abstractNum>
  <w:abstractNum w:abstractNumId="6">
    <w:nsid w:val="0E57C126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16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4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8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1156"/>
      </w:pPr>
      <w:rPr>
        <w:rFonts w:hint="default"/>
      </w:rPr>
    </w:lvl>
  </w:abstractNum>
  <w:abstractNum w:abstractNumId="7">
    <w:nsid w:val="0F104042"/>
    <w:multiLevelType w:val="hybridMultilevel"/>
    <w:tmpl w:val="00000000"/>
    <w:lvl w:ilvl="0">
      <w:start w:val="4"/>
      <w:numFmt w:val="decimal"/>
      <w:lvlText w:val="%1"/>
      <w:lvlJc w:val="left"/>
      <w:pPr>
        <w:ind w:left="1733" w:hanging="73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60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655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1156"/>
      </w:pPr>
      <w:rPr>
        <w:rFonts w:hint="default"/>
      </w:rPr>
    </w:lvl>
  </w:abstractNum>
  <w:abstractNum w:abstractNumId="8">
    <w:nsid w:val="15C02DDD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735"/>
      </w:pPr>
      <w:rPr>
        <w:rFonts w:hint="default"/>
      </w:rPr>
    </w:lvl>
  </w:abstractNum>
  <w:abstractNum w:abstractNumId="9">
    <w:nsid w:val="1BE242B8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16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4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8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1156"/>
      </w:pPr>
      <w:rPr>
        <w:rFonts w:hint="default"/>
      </w:rPr>
    </w:lvl>
  </w:abstractNum>
  <w:abstractNum w:abstractNumId="10">
    <w:nsid w:val="20CBD3B1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62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9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735"/>
      </w:pPr>
      <w:rPr>
        <w:rFonts w:hint="default"/>
      </w:rPr>
    </w:lvl>
  </w:abstractNum>
  <w:abstractNum w:abstractNumId="11">
    <w:nsid w:val="212E1831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735"/>
      </w:pPr>
      <w:rPr>
        <w:rFonts w:hint="default"/>
      </w:rPr>
    </w:lvl>
  </w:abstractNum>
  <w:abstractNum w:abstractNumId="12">
    <w:nsid w:val="2BEC9AE9"/>
    <w:multiLevelType w:val="hybridMultilevel"/>
    <w:tmpl w:val="00000000"/>
    <w:lvl w:ilvl="0">
      <w:start w:val="5"/>
      <w:numFmt w:val="decimal"/>
      <w:lvlText w:val="%1"/>
      <w:lvlJc w:val="left"/>
      <w:pPr>
        <w:ind w:left="1733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82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7" w:hanging="1156"/>
      </w:pPr>
      <w:rPr>
        <w:rFonts w:hint="default"/>
      </w:rPr>
    </w:lvl>
  </w:abstractNum>
  <w:abstractNum w:abstractNumId="13">
    <w:nsid w:val="2E4636CE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423"/>
      </w:pPr>
      <w:rPr>
        <w:rFonts w:hint="default"/>
      </w:rPr>
    </w:lvl>
  </w:abstractNum>
  <w:abstractNum w:abstractNumId="14">
    <w:nsid w:val="37E2D35D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0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425"/>
      </w:pPr>
      <w:rPr>
        <w:rFonts w:hint="default"/>
      </w:rPr>
    </w:lvl>
  </w:abstractNum>
  <w:abstractNum w:abstractNumId="15">
    <w:nsid w:val="39A11F93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895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45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2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7" w:hanging="735"/>
      </w:pPr>
      <w:rPr>
        <w:rFonts w:hint="default"/>
      </w:rPr>
    </w:lvl>
  </w:abstractNum>
  <w:abstractNum w:abstractNumId="16">
    <w:nsid w:val="3C48B289"/>
    <w:multiLevelType w:val="hybridMultilevel"/>
    <w:tmpl w:val="00000000"/>
    <w:lvl w:ilvl="0">
      <w:start w:val="2"/>
      <w:numFmt w:val="decimal"/>
      <w:lvlText w:val="%1"/>
      <w:lvlJc w:val="left"/>
      <w:pPr>
        <w:ind w:left="16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9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735"/>
      </w:pPr>
      <w:rPr>
        <w:rFonts w:hint="default"/>
      </w:rPr>
    </w:lvl>
  </w:abstractNum>
  <w:abstractNum w:abstractNumId="17">
    <w:nsid w:val="3E37680D"/>
    <w:multiLevelType w:val="hybridMultilevel"/>
    <w:tmpl w:val="00000000"/>
    <w:lvl w:ilvl="0">
      <w:start w:val="1"/>
      <w:numFmt w:val="decimal"/>
      <w:lvlText w:val="%1"/>
      <w:lvlJc w:val="left"/>
      <w:pPr>
        <w:ind w:left="793" w:hanging="63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3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1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633"/>
      </w:pPr>
      <w:rPr>
        <w:rFonts w:hint="default"/>
      </w:rPr>
    </w:lvl>
  </w:abstractNum>
  <w:abstractNum w:abstractNumId="18">
    <w:nsid w:val="3F38BE5D"/>
    <w:multiLevelType w:val="hybridMultilevel"/>
    <w:tmpl w:val="00000000"/>
    <w:lvl w:ilvl="0">
      <w:start w:val="2"/>
      <w:numFmt w:val="decimal"/>
      <w:lvlText w:val="%1"/>
      <w:lvlJc w:val="left"/>
      <w:pPr>
        <w:ind w:left="79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3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1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633"/>
      </w:pPr>
      <w:rPr>
        <w:rFonts w:hint="default"/>
      </w:rPr>
    </w:lvl>
  </w:abstractNum>
  <w:abstractNum w:abstractNumId="19">
    <w:nsid w:val="432F80F6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423"/>
      </w:pPr>
      <w:rPr>
        <w:rFonts w:hint="default"/>
      </w:rPr>
    </w:lvl>
  </w:abstractNum>
  <w:abstractNum w:abstractNumId="20">
    <w:nsid w:val="43DB6238"/>
    <w:multiLevelType w:val="hybridMultilevel"/>
    <w:tmpl w:val="00000000"/>
    <w:lvl w:ilvl="0">
      <w:start w:val="3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60" w:hanging="1156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37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1156"/>
      </w:pPr>
      <w:rPr>
        <w:rFonts w:hint="default"/>
      </w:rPr>
    </w:lvl>
  </w:abstractNum>
  <w:abstractNum w:abstractNumId="21">
    <w:nsid w:val="51A3B67C"/>
    <w:multiLevelType w:val="hybridMultilevel"/>
    <w:tmpl w:val="00000000"/>
    <w:lvl w:ilvl="0">
      <w:start w:val="5"/>
      <w:numFmt w:val="decimal"/>
      <w:lvlText w:val="%1"/>
      <w:lvlJc w:val="left"/>
      <w:pPr>
        <w:ind w:left="1733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82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7" w:hanging="1156"/>
      </w:pPr>
      <w:rPr>
        <w:rFonts w:hint="default"/>
      </w:rPr>
    </w:lvl>
  </w:abstractNum>
  <w:abstractNum w:abstractNumId="22">
    <w:nsid w:val="59092500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16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4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8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1156"/>
      </w:pPr>
      <w:rPr>
        <w:rFonts w:hint="default"/>
      </w:rPr>
    </w:lvl>
  </w:abstractNum>
  <w:abstractNum w:abstractNumId="23">
    <w:nsid w:val="5C4E89DF"/>
    <w:multiLevelType w:val="hybridMultilevel"/>
    <w:tmpl w:val="00000000"/>
    <w:lvl w:ilvl="0">
      <w:start w:val="4"/>
      <w:numFmt w:val="decimal"/>
      <w:lvlText w:val="%1"/>
      <w:lvlJc w:val="left"/>
      <w:pPr>
        <w:ind w:left="2363" w:hanging="13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63" w:hanging="1365"/>
        <w:jc w:val="left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2363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109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9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1365"/>
      </w:pPr>
      <w:rPr>
        <w:rFonts w:hint="default"/>
      </w:rPr>
    </w:lvl>
  </w:abstractNum>
  <w:abstractNum w:abstractNumId="24">
    <w:nsid w:val="66CB09D1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55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16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4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8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1156"/>
      </w:pPr>
      <w:rPr>
        <w:rFonts w:hint="default"/>
      </w:rPr>
    </w:lvl>
  </w:abstractNum>
  <w:abstractNum w:abstractNumId="25">
    <w:nsid w:val="75D72CE3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423"/>
      </w:pPr>
      <w:rPr>
        <w:rFonts w:hint="default"/>
      </w:rPr>
    </w:lvl>
  </w:abstractNum>
  <w:abstractNum w:abstractNumId="26">
    <w:nsid w:val="7CC1674F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60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1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6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3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6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3" w:hanging="735"/>
      </w:pPr>
      <w:rPr>
        <w:rFonts w:hint="default"/>
      </w:rPr>
    </w:lvl>
  </w:abstractNum>
  <w:abstractNum w:abstractNumId="27">
    <w:nsid w:val="7F44E0B0"/>
    <w:multiLevelType w:val="hybridMultilevel"/>
    <w:tmpl w:val="00000000"/>
    <w:lvl w:ilvl="0">
      <w:start w:val="4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733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735"/>
      </w:pPr>
      <w:rPr>
        <w:rFonts w:hint="default"/>
      </w:rPr>
    </w:lvl>
  </w:abstractNum>
  <w:num w:numId="1">
    <w:abstractNumId w:val="10"/>
  </w:num>
  <w:num w:numId="2">
    <w:abstractNumId w:val="16"/>
  </w:num>
  <w:num w:numId="3">
    <w:abstractNumId w:val="8"/>
  </w:num>
  <w:num w:numId="4">
    <w:abstractNumId w:val="5"/>
  </w:num>
  <w:num w:numId="5">
    <w:abstractNumId w:val="25"/>
  </w:num>
  <w:num w:numId="6">
    <w:abstractNumId w:val="19"/>
  </w:num>
  <w:num w:numId="7">
    <w:abstractNumId w:val="1"/>
  </w:num>
  <w:num w:numId="8">
    <w:abstractNumId w:val="26"/>
  </w:num>
  <w:num w:numId="9">
    <w:abstractNumId w:val="13"/>
  </w:num>
  <w:num w:numId="10">
    <w:abstractNumId w:val="7"/>
  </w:num>
  <w:num w:numId="11">
    <w:abstractNumId w:val="23"/>
  </w:num>
  <w:num w:numId="12">
    <w:abstractNumId w:val="20"/>
  </w:num>
  <w:num w:numId="13">
    <w:abstractNumId w:val="3"/>
  </w:num>
  <w:num w:numId="14">
    <w:abstractNumId w:val="11"/>
  </w:num>
  <w:num w:numId="15">
    <w:abstractNumId w:val="12"/>
  </w:num>
  <w:num w:numId="16">
    <w:abstractNumId w:val="27"/>
  </w:num>
  <w:num w:numId="17">
    <w:abstractNumId w:val="4"/>
  </w:num>
  <w:num w:numId="18">
    <w:abstractNumId w:val="14"/>
  </w:num>
  <w:num w:numId="19">
    <w:abstractNumId w:val="2"/>
  </w:num>
  <w:num w:numId="20">
    <w:abstractNumId w:val="18"/>
  </w:num>
  <w:num w:numId="21">
    <w:abstractNumId w:val="17"/>
  </w:num>
  <w:num w:numId="22">
    <w:abstractNumId w:val="15"/>
  </w:num>
  <w:num w:numId="23">
    <w:abstractNumId w:val="0"/>
  </w:num>
  <w:num w:numId="24">
    <w:abstractNumId w:val="21"/>
  </w:num>
  <w:num w:numId="25">
    <w:abstractNumId w:val="24"/>
  </w:num>
  <w:num w:numId="26">
    <w:abstractNumId w:val="22"/>
  </w:num>
  <w:num w:numId="27">
    <w:abstractNumId w:val="6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585" w:hanging="426"/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60" w:firstLine="83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yperlink" Target="https://d.book118.com/517166160033006044" TargetMode="External" /><Relationship Id="rId16" Type="http://schemas.openxmlformats.org/officeDocument/2006/relationships/header" Target="header10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image" Target="media/image3.png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2024-01-31T03:53:26Z</dcterms:created>
  <dcterms:modified xsi:type="dcterms:W3CDTF">2024-01-31T03:53:26Z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2024-01-31T00:00:00Z</vt:filetime>
  </property>
</Properties>
</file>