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彩色等离子体显示屏专用系列光刻浆料项目规划设计蓝图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3" w:history="1">
        <w:r>
          <w:rPr>
            <w:rFonts w:ascii="仿宋" w:eastAsia="仿宋" w:hAnsi="仿宋" w:cs="仿宋" w:hint="eastAsia"/>
            <w:lang w:eastAsia="zh-CN"/>
          </w:rPr>
          <w:t>前言</w:t>
        </w:r>
        <w:r>
          <w:tab/>
        </w:r>
        <w:r>
          <w:fldChar w:fldCharType="begin"/>
        </w:r>
        <w:r>
          <w:instrText xml:space="preserve"> PAGEREF _Toc20293 \h </w:instrText>
        </w:r>
        <w:r>
          <w:fldChar w:fldCharType="separate"/>
        </w:r>
        <w:r>
          <w:t>3</w:t>
        </w:r>
        <w:r>
          <w:fldChar w:fldCharType="end"/>
        </w:r>
      </w:hyperlink>
    </w:p>
    <w:p>
      <w:pPr>
        <w:pStyle w:val="TOC1"/>
        <w:tabs>
          <w:tab w:val="right" w:leader="dot" w:pos="8306"/>
        </w:tabs>
      </w:pPr>
      <w:hyperlink w:anchor="_Toc3227" w:history="1">
        <w:r>
          <w:rPr>
            <w:rFonts w:ascii="仿宋" w:eastAsia="仿宋" w:hAnsi="仿宋" w:cs="仿宋" w:hint="eastAsia"/>
            <w:lang w:eastAsia="zh-CN"/>
          </w:rPr>
          <w:t>一、彩色等离子体显示屏专用系列光刻浆料项目绩效评估</w:t>
        </w:r>
        <w:r>
          <w:tab/>
        </w:r>
        <w:r>
          <w:fldChar w:fldCharType="begin"/>
        </w:r>
        <w:r>
          <w:instrText xml:space="preserve"> PAGEREF _Toc3227 \h </w:instrText>
        </w:r>
        <w:r>
          <w:fldChar w:fldCharType="separate"/>
        </w:r>
        <w:r>
          <w:t>3</w:t>
        </w:r>
        <w:r>
          <w:fldChar w:fldCharType="end"/>
        </w:r>
      </w:hyperlink>
    </w:p>
    <w:p>
      <w:pPr>
        <w:pStyle w:val="TOC2"/>
        <w:tabs>
          <w:tab w:val="right" w:leader="dot" w:pos="8306"/>
        </w:tabs>
      </w:pPr>
      <w:hyperlink w:anchor="_Toc7325" w:history="1">
        <w:r>
          <w:rPr>
            <w:rFonts w:ascii="仿宋" w:eastAsia="仿宋" w:hAnsi="仿宋" w:cs="仿宋" w:hint="eastAsia"/>
            <w:lang w:eastAsia="zh-CN"/>
          </w:rPr>
          <w:t>(一)、绩效评估指标</w:t>
        </w:r>
        <w:r>
          <w:tab/>
        </w:r>
        <w:r>
          <w:fldChar w:fldCharType="begin"/>
        </w:r>
        <w:r>
          <w:instrText xml:space="preserve"> PAGEREF _Toc7325 \h </w:instrText>
        </w:r>
        <w:r>
          <w:fldChar w:fldCharType="separate"/>
        </w:r>
        <w:r>
          <w:t>3</w:t>
        </w:r>
        <w:r>
          <w:fldChar w:fldCharType="end"/>
        </w:r>
      </w:hyperlink>
    </w:p>
    <w:p>
      <w:pPr>
        <w:pStyle w:val="TOC2"/>
        <w:tabs>
          <w:tab w:val="right" w:leader="dot" w:pos="8306"/>
        </w:tabs>
      </w:pPr>
      <w:hyperlink w:anchor="_Toc13370" w:history="1">
        <w:r>
          <w:rPr>
            <w:rFonts w:ascii="仿宋" w:eastAsia="仿宋" w:hAnsi="仿宋" w:cs="仿宋" w:hint="eastAsia"/>
            <w:lang w:eastAsia="zh-CN"/>
          </w:rPr>
          <w:t>(二)、绩效评估方法</w:t>
        </w:r>
        <w:r>
          <w:tab/>
        </w:r>
        <w:r>
          <w:fldChar w:fldCharType="begin"/>
        </w:r>
        <w:r>
          <w:instrText xml:space="preserve"> PAGEREF _Toc13370 \h </w:instrText>
        </w:r>
        <w:r>
          <w:fldChar w:fldCharType="separate"/>
        </w:r>
        <w:r>
          <w:t>4</w:t>
        </w:r>
        <w:r>
          <w:fldChar w:fldCharType="end"/>
        </w:r>
      </w:hyperlink>
    </w:p>
    <w:p>
      <w:pPr>
        <w:pStyle w:val="TOC2"/>
        <w:tabs>
          <w:tab w:val="right" w:leader="dot" w:pos="8306"/>
        </w:tabs>
      </w:pPr>
      <w:hyperlink w:anchor="_Toc30569" w:history="1">
        <w:r>
          <w:rPr>
            <w:rFonts w:ascii="仿宋" w:eastAsia="仿宋" w:hAnsi="仿宋" w:cs="仿宋" w:hint="eastAsia"/>
            <w:lang w:eastAsia="zh-CN"/>
          </w:rPr>
          <w:t>(三)、绩效评估周期</w:t>
        </w:r>
        <w:r>
          <w:tab/>
        </w:r>
        <w:r>
          <w:fldChar w:fldCharType="begin"/>
        </w:r>
        <w:r>
          <w:instrText xml:space="preserve"> PAGEREF _Toc30569 \h </w:instrText>
        </w:r>
        <w:r>
          <w:fldChar w:fldCharType="separate"/>
        </w:r>
        <w:r>
          <w:t>6</w:t>
        </w:r>
        <w:r>
          <w:fldChar w:fldCharType="end"/>
        </w:r>
      </w:hyperlink>
    </w:p>
    <w:p>
      <w:pPr>
        <w:pStyle w:val="TOC1"/>
        <w:tabs>
          <w:tab w:val="right" w:leader="dot" w:pos="8306"/>
        </w:tabs>
      </w:pPr>
      <w:hyperlink w:anchor="_Toc11515" w:history="1">
        <w:r>
          <w:rPr>
            <w:rFonts w:ascii="仿宋" w:eastAsia="仿宋" w:hAnsi="仿宋" w:cs="仿宋" w:hint="eastAsia"/>
            <w:lang w:eastAsia="zh-CN"/>
          </w:rPr>
          <w:t>二、彩色等离子体显示屏专用系列光刻浆料项目建设单位说明</w:t>
        </w:r>
        <w:r>
          <w:tab/>
        </w:r>
        <w:r>
          <w:fldChar w:fldCharType="begin"/>
        </w:r>
        <w:r>
          <w:instrText xml:space="preserve"> PAGEREF _Toc11515 \h </w:instrText>
        </w:r>
        <w:r>
          <w:fldChar w:fldCharType="separate"/>
        </w:r>
        <w:r>
          <w:t>7</w:t>
        </w:r>
        <w:r>
          <w:fldChar w:fldCharType="end"/>
        </w:r>
      </w:hyperlink>
    </w:p>
    <w:p>
      <w:pPr>
        <w:pStyle w:val="TOC2"/>
        <w:tabs>
          <w:tab w:val="right" w:leader="dot" w:pos="8306"/>
        </w:tabs>
      </w:pPr>
      <w:hyperlink w:anchor="_Toc30551" w:history="1">
        <w:r>
          <w:rPr>
            <w:rFonts w:ascii="仿宋" w:eastAsia="仿宋" w:hAnsi="仿宋" w:cs="仿宋" w:hint="eastAsia"/>
            <w:lang w:eastAsia="zh-CN"/>
          </w:rPr>
          <w:t>(一)、彩色等离子体显示屏专用系列光刻浆料项目承办单位基本情况</w:t>
        </w:r>
        <w:r>
          <w:tab/>
        </w:r>
        <w:r>
          <w:fldChar w:fldCharType="begin"/>
        </w:r>
        <w:r>
          <w:instrText xml:space="preserve"> PAGEREF _Toc30551 \h </w:instrText>
        </w:r>
        <w:r>
          <w:fldChar w:fldCharType="separate"/>
        </w:r>
        <w:r>
          <w:t>7</w:t>
        </w:r>
        <w:r>
          <w:fldChar w:fldCharType="end"/>
        </w:r>
      </w:hyperlink>
    </w:p>
    <w:p>
      <w:pPr>
        <w:pStyle w:val="TOC2"/>
        <w:tabs>
          <w:tab w:val="right" w:leader="dot" w:pos="8306"/>
        </w:tabs>
      </w:pPr>
      <w:hyperlink w:anchor="_Toc23996" w:history="1">
        <w:r>
          <w:rPr>
            <w:rFonts w:ascii="仿宋" w:eastAsia="仿宋" w:hAnsi="仿宋" w:cs="仿宋" w:hint="eastAsia"/>
            <w:lang w:eastAsia="zh-CN"/>
          </w:rPr>
          <w:t>(二)、公司经济效益分析</w:t>
        </w:r>
        <w:r>
          <w:tab/>
        </w:r>
        <w:r>
          <w:fldChar w:fldCharType="begin"/>
        </w:r>
        <w:r>
          <w:instrText xml:space="preserve"> PAGEREF _Toc23996 \h </w:instrText>
        </w:r>
        <w:r>
          <w:fldChar w:fldCharType="separate"/>
        </w:r>
        <w:r>
          <w:t>7</w:t>
        </w:r>
        <w:r>
          <w:fldChar w:fldCharType="end"/>
        </w:r>
      </w:hyperlink>
    </w:p>
    <w:p>
      <w:pPr>
        <w:pStyle w:val="TOC1"/>
        <w:tabs>
          <w:tab w:val="right" w:leader="dot" w:pos="8306"/>
        </w:tabs>
      </w:pPr>
      <w:hyperlink w:anchor="_Toc1549" w:history="1">
        <w:r>
          <w:rPr>
            <w:rFonts w:ascii="仿宋" w:eastAsia="仿宋" w:hAnsi="仿宋" w:cs="仿宋" w:hint="eastAsia"/>
            <w:lang w:eastAsia="zh-CN"/>
          </w:rPr>
          <w:t>三、彩色等离子体显示屏专用系列光刻浆料项目危机管理</w:t>
        </w:r>
        <w:r>
          <w:tab/>
        </w:r>
        <w:r>
          <w:fldChar w:fldCharType="begin"/>
        </w:r>
        <w:r>
          <w:instrText xml:space="preserve"> PAGEREF _Toc1549 \h </w:instrText>
        </w:r>
        <w:r>
          <w:fldChar w:fldCharType="separate"/>
        </w:r>
        <w:r>
          <w:t>9</w:t>
        </w:r>
        <w:r>
          <w:fldChar w:fldCharType="end"/>
        </w:r>
      </w:hyperlink>
    </w:p>
    <w:p>
      <w:pPr>
        <w:pStyle w:val="TOC2"/>
        <w:tabs>
          <w:tab w:val="right" w:leader="dot" w:pos="8306"/>
        </w:tabs>
      </w:pPr>
      <w:hyperlink w:anchor="_Toc14023" w:history="1">
        <w:r>
          <w:rPr>
            <w:rFonts w:ascii="仿宋" w:eastAsia="仿宋" w:hAnsi="仿宋" w:cs="仿宋" w:hint="eastAsia"/>
            <w:lang w:eastAsia="zh-CN"/>
          </w:rPr>
          <w:t>(一)、危机预警与识别</w:t>
        </w:r>
        <w:r>
          <w:tab/>
        </w:r>
        <w:r>
          <w:fldChar w:fldCharType="begin"/>
        </w:r>
        <w:r>
          <w:instrText xml:space="preserve"> PAGEREF _Toc14023 \h </w:instrText>
        </w:r>
        <w:r>
          <w:fldChar w:fldCharType="separate"/>
        </w:r>
        <w:r>
          <w:t>9</w:t>
        </w:r>
        <w:r>
          <w:fldChar w:fldCharType="end"/>
        </w:r>
      </w:hyperlink>
    </w:p>
    <w:p>
      <w:pPr>
        <w:pStyle w:val="TOC2"/>
        <w:tabs>
          <w:tab w:val="right" w:leader="dot" w:pos="8306"/>
        </w:tabs>
      </w:pPr>
      <w:hyperlink w:anchor="_Toc13062" w:history="1">
        <w:r>
          <w:rPr>
            <w:rFonts w:ascii="仿宋" w:eastAsia="仿宋" w:hAnsi="仿宋" w:cs="仿宋" w:hint="eastAsia"/>
            <w:lang w:eastAsia="zh-CN"/>
          </w:rPr>
          <w:t>(二)、危机应对与恢复</w:t>
        </w:r>
        <w:r>
          <w:tab/>
        </w:r>
        <w:r>
          <w:fldChar w:fldCharType="begin"/>
        </w:r>
        <w:r>
          <w:instrText xml:space="preserve"> PAGEREF _Toc13062 \h </w:instrText>
        </w:r>
        <w:r>
          <w:fldChar w:fldCharType="separate"/>
        </w:r>
        <w:r>
          <w:t>10</w:t>
        </w:r>
        <w:r>
          <w:fldChar w:fldCharType="end"/>
        </w:r>
      </w:hyperlink>
    </w:p>
    <w:p>
      <w:pPr>
        <w:pStyle w:val="TOC1"/>
        <w:tabs>
          <w:tab w:val="right" w:leader="dot" w:pos="8306"/>
        </w:tabs>
      </w:pPr>
      <w:hyperlink w:anchor="_Toc12469" w:history="1">
        <w:r>
          <w:rPr>
            <w:rFonts w:ascii="仿宋" w:eastAsia="仿宋" w:hAnsi="仿宋" w:cs="仿宋" w:hint="eastAsia"/>
            <w:lang w:eastAsia="zh-CN"/>
          </w:rPr>
          <w:t>四、工艺说明</w:t>
        </w:r>
        <w:r>
          <w:tab/>
        </w:r>
        <w:r>
          <w:fldChar w:fldCharType="begin"/>
        </w:r>
        <w:r>
          <w:instrText xml:space="preserve"> PAGEREF _Toc12469 \h </w:instrText>
        </w:r>
        <w:r>
          <w:fldChar w:fldCharType="separate"/>
        </w:r>
        <w:r>
          <w:t>12</w:t>
        </w:r>
        <w:r>
          <w:fldChar w:fldCharType="end"/>
        </w:r>
      </w:hyperlink>
    </w:p>
    <w:p>
      <w:pPr>
        <w:pStyle w:val="TOC2"/>
        <w:tabs>
          <w:tab w:val="right" w:leader="dot" w:pos="8306"/>
        </w:tabs>
      </w:pPr>
      <w:hyperlink w:anchor="_Toc18257" w:history="1">
        <w:r>
          <w:rPr>
            <w:rFonts w:ascii="仿宋" w:eastAsia="仿宋" w:hAnsi="仿宋" w:cs="仿宋" w:hint="eastAsia"/>
            <w:lang w:eastAsia="zh-CN"/>
          </w:rPr>
          <w:t>(一)、技术管理特点</w:t>
        </w:r>
        <w:r>
          <w:tab/>
        </w:r>
        <w:r>
          <w:fldChar w:fldCharType="begin"/>
        </w:r>
        <w:r>
          <w:instrText xml:space="preserve"> PAGEREF _Toc18257 \h </w:instrText>
        </w:r>
        <w:r>
          <w:fldChar w:fldCharType="separate"/>
        </w:r>
        <w:r>
          <w:t>12</w:t>
        </w:r>
        <w:r>
          <w:fldChar w:fldCharType="end"/>
        </w:r>
      </w:hyperlink>
    </w:p>
    <w:p>
      <w:pPr>
        <w:pStyle w:val="TOC2"/>
        <w:tabs>
          <w:tab w:val="right" w:leader="dot" w:pos="8306"/>
        </w:tabs>
      </w:pPr>
      <w:hyperlink w:anchor="_Toc24497" w:history="1">
        <w:r>
          <w:rPr>
            <w:rFonts w:ascii="仿宋" w:eastAsia="仿宋" w:hAnsi="仿宋" w:cs="仿宋" w:hint="eastAsia"/>
            <w:lang w:eastAsia="zh-CN"/>
          </w:rPr>
          <w:t>(二)、彩色等离子体显示屏专用系列光刻浆料项目工艺技术设计方案</w:t>
        </w:r>
        <w:r>
          <w:tab/>
        </w:r>
        <w:r>
          <w:fldChar w:fldCharType="begin"/>
        </w:r>
        <w:r>
          <w:instrText xml:space="preserve"> PAGEREF _Toc24497 \h </w:instrText>
        </w:r>
        <w:r>
          <w:fldChar w:fldCharType="separate"/>
        </w:r>
        <w:r>
          <w:t>13</w:t>
        </w:r>
        <w:r>
          <w:fldChar w:fldCharType="end"/>
        </w:r>
      </w:hyperlink>
    </w:p>
    <w:p>
      <w:pPr>
        <w:pStyle w:val="TOC2"/>
        <w:tabs>
          <w:tab w:val="right" w:leader="dot" w:pos="8306"/>
        </w:tabs>
      </w:pPr>
      <w:hyperlink w:anchor="_Toc8292" w:history="1">
        <w:r>
          <w:rPr>
            <w:rFonts w:ascii="仿宋" w:eastAsia="仿宋" w:hAnsi="仿宋" w:cs="仿宋" w:hint="eastAsia"/>
            <w:lang w:eastAsia="zh-CN"/>
          </w:rPr>
          <w:t>(三)、设备选型方案</w:t>
        </w:r>
        <w:r>
          <w:tab/>
        </w:r>
        <w:r>
          <w:fldChar w:fldCharType="begin"/>
        </w:r>
        <w:r>
          <w:instrText xml:space="preserve"> PAGEREF _Toc8292 \h </w:instrText>
        </w:r>
        <w:r>
          <w:fldChar w:fldCharType="separate"/>
        </w:r>
        <w:r>
          <w:t>15</w:t>
        </w:r>
        <w:r>
          <w:fldChar w:fldCharType="end"/>
        </w:r>
      </w:hyperlink>
    </w:p>
    <w:p>
      <w:pPr>
        <w:pStyle w:val="TOC1"/>
        <w:tabs>
          <w:tab w:val="right" w:leader="dot" w:pos="8306"/>
        </w:tabs>
      </w:pPr>
      <w:hyperlink w:anchor="_Toc9607" w:history="1">
        <w:r>
          <w:rPr>
            <w:rFonts w:ascii="仿宋" w:eastAsia="仿宋" w:hAnsi="仿宋" w:cs="仿宋" w:hint="eastAsia"/>
            <w:lang w:eastAsia="zh-CN"/>
          </w:rPr>
          <w:t>五、彩色等离子体显示屏专用系列光刻浆料项目文档管理</w:t>
        </w:r>
        <w:r>
          <w:tab/>
        </w:r>
        <w:r>
          <w:fldChar w:fldCharType="begin"/>
        </w:r>
        <w:r>
          <w:instrText xml:space="preserve"> PAGEREF _Toc9607 \h </w:instrText>
        </w:r>
        <w:r>
          <w:fldChar w:fldCharType="separate"/>
        </w:r>
        <w:r>
          <w:t>16</w:t>
        </w:r>
        <w:r>
          <w:fldChar w:fldCharType="end"/>
        </w:r>
      </w:hyperlink>
    </w:p>
    <w:p>
      <w:pPr>
        <w:pStyle w:val="TOC2"/>
        <w:tabs>
          <w:tab w:val="right" w:leader="dot" w:pos="8306"/>
        </w:tabs>
      </w:pPr>
      <w:hyperlink w:anchor="_Toc21082" w:history="1">
        <w:r>
          <w:rPr>
            <w:rFonts w:ascii="仿宋" w:eastAsia="仿宋" w:hAnsi="仿宋" w:cs="仿宋" w:hint="eastAsia"/>
            <w:lang w:eastAsia="zh-CN"/>
          </w:rPr>
          <w:t>(一)、文档编制与审查</w:t>
        </w:r>
        <w:r>
          <w:tab/>
        </w:r>
        <w:r>
          <w:fldChar w:fldCharType="begin"/>
        </w:r>
        <w:r>
          <w:instrText xml:space="preserve"> PAGEREF _Toc21082 \h </w:instrText>
        </w:r>
        <w:r>
          <w:fldChar w:fldCharType="separate"/>
        </w:r>
        <w:r>
          <w:t>16</w:t>
        </w:r>
        <w:r>
          <w:fldChar w:fldCharType="end"/>
        </w:r>
      </w:hyperlink>
    </w:p>
    <w:p>
      <w:pPr>
        <w:pStyle w:val="TOC2"/>
        <w:tabs>
          <w:tab w:val="right" w:leader="dot" w:pos="8306"/>
        </w:tabs>
      </w:pPr>
      <w:hyperlink w:anchor="_Toc8540" w:history="1">
        <w:r>
          <w:rPr>
            <w:rFonts w:ascii="仿宋" w:eastAsia="仿宋" w:hAnsi="仿宋" w:cs="仿宋" w:hint="eastAsia"/>
            <w:lang w:eastAsia="zh-CN"/>
          </w:rPr>
          <w:t>(二)、文档发布与分发</w:t>
        </w:r>
        <w:r>
          <w:tab/>
        </w:r>
        <w:r>
          <w:fldChar w:fldCharType="begin"/>
        </w:r>
        <w:r>
          <w:instrText xml:space="preserve"> PAGEREF _Toc8540 \h </w:instrText>
        </w:r>
        <w:r>
          <w:fldChar w:fldCharType="separate"/>
        </w:r>
        <w:r>
          <w:t>18</w:t>
        </w:r>
        <w:r>
          <w:fldChar w:fldCharType="end"/>
        </w:r>
      </w:hyperlink>
    </w:p>
    <w:p>
      <w:pPr>
        <w:pStyle w:val="TOC2"/>
        <w:tabs>
          <w:tab w:val="right" w:leader="dot" w:pos="8306"/>
        </w:tabs>
      </w:pPr>
      <w:hyperlink w:anchor="_Toc21849" w:history="1">
        <w:r>
          <w:rPr>
            <w:rFonts w:ascii="仿宋" w:eastAsia="仿宋" w:hAnsi="仿宋" w:cs="仿宋" w:hint="eastAsia"/>
            <w:lang w:eastAsia="zh-CN"/>
          </w:rPr>
          <w:t>(三)、文档存档与归档</w:t>
        </w:r>
        <w:r>
          <w:tab/>
        </w:r>
        <w:r>
          <w:fldChar w:fldCharType="begin"/>
        </w:r>
        <w:r>
          <w:instrText xml:space="preserve"> PAGEREF _Toc21849 \h </w:instrText>
        </w:r>
        <w:r>
          <w:fldChar w:fldCharType="separate"/>
        </w:r>
        <w:r>
          <w:t>19</w:t>
        </w:r>
        <w:r>
          <w:fldChar w:fldCharType="end"/>
        </w:r>
      </w:hyperlink>
    </w:p>
    <w:p>
      <w:pPr>
        <w:pStyle w:val="TOC1"/>
        <w:tabs>
          <w:tab w:val="right" w:leader="dot" w:pos="8306"/>
        </w:tabs>
      </w:pPr>
      <w:hyperlink w:anchor="_Toc12809" w:history="1">
        <w:r>
          <w:rPr>
            <w:rFonts w:ascii="仿宋" w:eastAsia="仿宋" w:hAnsi="仿宋" w:cs="仿宋" w:hint="eastAsia"/>
            <w:lang w:eastAsia="zh-CN"/>
          </w:rPr>
          <w:t>六、彩色等离子体显示屏专用系列光刻浆料项目概论</w:t>
        </w:r>
        <w:r>
          <w:tab/>
        </w:r>
        <w:r>
          <w:fldChar w:fldCharType="begin"/>
        </w:r>
        <w:r>
          <w:instrText xml:space="preserve"> PAGEREF _Toc12809 \h </w:instrText>
        </w:r>
        <w:r>
          <w:fldChar w:fldCharType="separate"/>
        </w:r>
        <w:r>
          <w:t>20</w:t>
        </w:r>
        <w:r>
          <w:fldChar w:fldCharType="end"/>
        </w:r>
      </w:hyperlink>
    </w:p>
    <w:p>
      <w:pPr>
        <w:pStyle w:val="TOC2"/>
        <w:tabs>
          <w:tab w:val="right" w:leader="dot" w:pos="8306"/>
        </w:tabs>
      </w:pPr>
      <w:hyperlink w:anchor="_Toc24308" w:history="1">
        <w:r>
          <w:rPr>
            <w:rFonts w:ascii="仿宋" w:eastAsia="仿宋" w:hAnsi="仿宋" w:cs="仿宋" w:hint="eastAsia"/>
            <w:lang w:eastAsia="zh-CN"/>
          </w:rPr>
          <w:t>(一)、彩色等离子体显示屏专用系列光刻浆料项目概况</w:t>
        </w:r>
        <w:r>
          <w:tab/>
        </w:r>
        <w:r>
          <w:fldChar w:fldCharType="begin"/>
        </w:r>
        <w:r>
          <w:instrText xml:space="preserve"> PAGEREF _Toc24308 \h </w:instrText>
        </w:r>
        <w:r>
          <w:fldChar w:fldCharType="separate"/>
        </w:r>
        <w:r>
          <w:t>20</w:t>
        </w:r>
        <w:r>
          <w:fldChar w:fldCharType="end"/>
        </w:r>
      </w:hyperlink>
    </w:p>
    <w:p>
      <w:pPr>
        <w:pStyle w:val="TOC2"/>
        <w:tabs>
          <w:tab w:val="right" w:leader="dot" w:pos="8306"/>
        </w:tabs>
      </w:pPr>
      <w:hyperlink w:anchor="_Toc18542" w:history="1">
        <w:r>
          <w:rPr>
            <w:rFonts w:ascii="仿宋" w:eastAsia="仿宋" w:hAnsi="仿宋" w:cs="仿宋" w:hint="eastAsia"/>
            <w:lang w:eastAsia="zh-CN"/>
          </w:rPr>
          <w:t>(二)、彩色等离子体显示屏专用系列光刻浆料项目目标</w:t>
        </w:r>
        <w:r>
          <w:tab/>
        </w:r>
        <w:r>
          <w:fldChar w:fldCharType="begin"/>
        </w:r>
        <w:r>
          <w:instrText xml:space="preserve"> PAGEREF _Toc18542 \h </w:instrText>
        </w:r>
        <w:r>
          <w:fldChar w:fldCharType="separate"/>
        </w:r>
        <w:r>
          <w:t>23</w:t>
        </w:r>
        <w:r>
          <w:fldChar w:fldCharType="end"/>
        </w:r>
      </w:hyperlink>
    </w:p>
    <w:p>
      <w:pPr>
        <w:pStyle w:val="TOC2"/>
        <w:tabs>
          <w:tab w:val="right" w:leader="dot" w:pos="8306"/>
        </w:tabs>
      </w:pPr>
      <w:hyperlink w:anchor="_Toc20416" w:history="1">
        <w:r>
          <w:rPr>
            <w:rFonts w:ascii="仿宋" w:eastAsia="仿宋" w:hAnsi="仿宋" w:cs="仿宋" w:hint="eastAsia"/>
            <w:lang w:eastAsia="zh-CN"/>
          </w:rPr>
          <w:t>(三)、彩色等离子体显示屏专用系列光刻浆料项目提出的理由</w:t>
        </w:r>
        <w:r>
          <w:tab/>
        </w:r>
        <w:r>
          <w:fldChar w:fldCharType="begin"/>
        </w:r>
        <w:r>
          <w:instrText xml:space="preserve"> PAGEREF _Toc20416 \h </w:instrText>
        </w:r>
        <w:r>
          <w:fldChar w:fldCharType="separate"/>
        </w:r>
        <w:r>
          <w:t>24</w:t>
        </w:r>
        <w:r>
          <w:fldChar w:fldCharType="end"/>
        </w:r>
      </w:hyperlink>
    </w:p>
    <w:p>
      <w:pPr>
        <w:pStyle w:val="TOC2"/>
        <w:tabs>
          <w:tab w:val="right" w:leader="dot" w:pos="8306"/>
        </w:tabs>
      </w:pPr>
      <w:hyperlink w:anchor="_Toc28983" w:history="1">
        <w:r>
          <w:rPr>
            <w:rFonts w:ascii="仿宋" w:eastAsia="仿宋" w:hAnsi="仿宋" w:cs="仿宋" w:hint="eastAsia"/>
            <w:lang w:eastAsia="zh-CN"/>
          </w:rPr>
          <w:t>(四)、彩色等离子体显示屏专用系列光刻浆料项目意义</w:t>
        </w:r>
        <w:r>
          <w:tab/>
        </w:r>
        <w:r>
          <w:fldChar w:fldCharType="begin"/>
        </w:r>
        <w:r>
          <w:instrText xml:space="preserve"> PAGEREF _Toc28983 \h </w:instrText>
        </w:r>
        <w:r>
          <w:fldChar w:fldCharType="separate"/>
        </w:r>
        <w:r>
          <w:t>26</w:t>
        </w:r>
        <w:r>
          <w:fldChar w:fldCharType="end"/>
        </w:r>
      </w:hyperlink>
    </w:p>
    <w:p>
      <w:pPr>
        <w:pStyle w:val="TOC2"/>
        <w:tabs>
          <w:tab w:val="right" w:leader="dot" w:pos="8306"/>
        </w:tabs>
      </w:pPr>
      <w:hyperlink w:anchor="_Toc7803" w:history="1">
        <w:r>
          <w:rPr>
            <w:rFonts w:ascii="仿宋" w:eastAsia="仿宋" w:hAnsi="仿宋" w:cs="仿宋" w:hint="eastAsia"/>
            <w:lang w:eastAsia="zh-CN"/>
          </w:rPr>
          <w:t>(五)、彩色等离子体显示屏专用系列光刻浆料项目背景</w:t>
        </w:r>
        <w:r>
          <w:tab/>
        </w:r>
        <w:r>
          <w:fldChar w:fldCharType="begin"/>
        </w:r>
        <w:r>
          <w:instrText xml:space="preserve"> PAGEREF _Toc7803 \h </w:instrText>
        </w:r>
        <w:r>
          <w:fldChar w:fldCharType="separate"/>
        </w:r>
        <w:r>
          <w:t>27</w:t>
        </w:r>
        <w:r>
          <w:fldChar w:fldCharType="end"/>
        </w:r>
      </w:hyperlink>
    </w:p>
    <w:p>
      <w:pPr>
        <w:pStyle w:val="TOC1"/>
        <w:tabs>
          <w:tab w:val="right" w:leader="dot" w:pos="8306"/>
        </w:tabs>
      </w:pPr>
      <w:hyperlink w:anchor="_Toc31207" w:history="1">
        <w:r>
          <w:rPr>
            <w:rFonts w:ascii="仿宋" w:eastAsia="仿宋" w:hAnsi="仿宋" w:cs="仿宋" w:hint="eastAsia"/>
            <w:lang w:eastAsia="zh-CN"/>
          </w:rPr>
          <w:t>七、彩色等离子体显示屏专用系列光刻浆料项目计划安排</w:t>
        </w:r>
        <w:r>
          <w:tab/>
        </w:r>
        <w:r>
          <w:fldChar w:fldCharType="begin"/>
        </w:r>
        <w:r>
          <w:instrText xml:space="preserve"> PAGEREF _Toc31207 \h </w:instrText>
        </w:r>
        <w:r>
          <w:fldChar w:fldCharType="separate"/>
        </w:r>
        <w:r>
          <w:t>28</w:t>
        </w:r>
        <w:r>
          <w:fldChar w:fldCharType="end"/>
        </w:r>
      </w:hyperlink>
    </w:p>
    <w:p>
      <w:pPr>
        <w:pStyle w:val="TOC2"/>
        <w:tabs>
          <w:tab w:val="right" w:leader="dot" w:pos="8306"/>
        </w:tabs>
      </w:pPr>
      <w:hyperlink w:anchor="_Toc13678" w:history="1">
        <w:r>
          <w:rPr>
            <w:rFonts w:ascii="仿宋" w:eastAsia="仿宋" w:hAnsi="仿宋" w:cs="仿宋" w:hint="eastAsia"/>
            <w:lang w:eastAsia="zh-CN"/>
          </w:rPr>
          <w:t>(一)、建设周期</w:t>
        </w:r>
        <w:r>
          <w:tab/>
        </w:r>
        <w:r>
          <w:fldChar w:fldCharType="begin"/>
        </w:r>
        <w:r>
          <w:instrText xml:space="preserve"> PAGEREF _Toc13678 \h </w:instrText>
        </w:r>
        <w:r>
          <w:fldChar w:fldCharType="separate"/>
        </w:r>
        <w:r>
          <w:t>28</w:t>
        </w:r>
        <w:r>
          <w:fldChar w:fldCharType="end"/>
        </w:r>
      </w:hyperlink>
    </w:p>
    <w:p>
      <w:pPr>
        <w:pStyle w:val="TOC2"/>
        <w:tabs>
          <w:tab w:val="right" w:leader="dot" w:pos="8306"/>
        </w:tabs>
      </w:pPr>
      <w:hyperlink w:anchor="_Toc29480" w:history="1">
        <w:r>
          <w:rPr>
            <w:rFonts w:ascii="仿宋" w:eastAsia="仿宋" w:hAnsi="仿宋" w:cs="仿宋" w:hint="eastAsia"/>
            <w:lang w:eastAsia="zh-CN"/>
          </w:rPr>
          <w:t>(二)、建设进度</w:t>
        </w:r>
        <w:r>
          <w:tab/>
        </w:r>
        <w:r>
          <w:fldChar w:fldCharType="begin"/>
        </w:r>
        <w:r>
          <w:instrText xml:space="preserve"> PAGEREF _Toc29480 \h </w:instrText>
        </w:r>
        <w:r>
          <w:fldChar w:fldCharType="separate"/>
        </w:r>
        <w:r>
          <w:t>29</w:t>
        </w:r>
        <w:r>
          <w:fldChar w:fldCharType="end"/>
        </w:r>
      </w:hyperlink>
    </w:p>
    <w:p>
      <w:pPr>
        <w:pStyle w:val="TOC2"/>
        <w:tabs>
          <w:tab w:val="right" w:leader="dot" w:pos="8306"/>
        </w:tabs>
      </w:pPr>
      <w:hyperlink w:anchor="_Toc7163" w:history="1">
        <w:r>
          <w:rPr>
            <w:rFonts w:ascii="仿宋" w:eastAsia="仿宋" w:hAnsi="仿宋" w:cs="仿宋" w:hint="eastAsia"/>
            <w:lang w:eastAsia="zh-CN"/>
          </w:rPr>
          <w:t>(三)、进度安排注意事项</w:t>
        </w:r>
        <w:r>
          <w:tab/>
        </w:r>
        <w:r>
          <w:fldChar w:fldCharType="begin"/>
        </w:r>
        <w:r>
          <w:instrText xml:space="preserve"> PAGEREF _Toc7163 \h </w:instrText>
        </w:r>
        <w:r>
          <w:fldChar w:fldCharType="separate"/>
        </w:r>
        <w:r>
          <w:t>30</w:t>
        </w:r>
        <w:r>
          <w:fldChar w:fldCharType="end"/>
        </w:r>
      </w:hyperlink>
    </w:p>
    <w:p>
      <w:pPr>
        <w:pStyle w:val="TOC2"/>
        <w:tabs>
          <w:tab w:val="right" w:leader="dot" w:pos="8306"/>
        </w:tabs>
      </w:pPr>
      <w:hyperlink w:anchor="_Toc8881" w:history="1">
        <w:r>
          <w:rPr>
            <w:rFonts w:ascii="仿宋" w:eastAsia="仿宋" w:hAnsi="仿宋" w:cs="仿宋" w:hint="eastAsia"/>
            <w:lang w:eastAsia="zh-CN"/>
          </w:rPr>
          <w:t>(四)、人力资源配置</w:t>
        </w:r>
        <w:r>
          <w:tab/>
        </w:r>
        <w:r>
          <w:fldChar w:fldCharType="begin"/>
        </w:r>
        <w:r>
          <w:instrText xml:space="preserve"> PAGEREF _Toc8881 \h </w:instrText>
        </w:r>
        <w:r>
          <w:fldChar w:fldCharType="separate"/>
        </w:r>
        <w:r>
          <w:t>32</w:t>
        </w:r>
        <w:r>
          <w:fldChar w:fldCharType="end"/>
        </w:r>
      </w:hyperlink>
    </w:p>
    <w:p>
      <w:pPr>
        <w:pStyle w:val="TOC1"/>
        <w:tabs>
          <w:tab w:val="right" w:leader="dot" w:pos="8306"/>
        </w:tabs>
      </w:pPr>
      <w:hyperlink w:anchor="_Toc21872" w:history="1">
        <w:r>
          <w:rPr>
            <w:rFonts w:ascii="仿宋" w:eastAsia="仿宋" w:hAnsi="仿宋" w:cs="仿宋" w:hint="eastAsia"/>
            <w:lang w:eastAsia="zh-CN"/>
          </w:rPr>
          <w:t>八、彩色等离子体显示屏专用系列光刻浆料项目投资规划</w:t>
        </w:r>
        <w:r>
          <w:tab/>
        </w:r>
        <w:r>
          <w:fldChar w:fldCharType="begin"/>
        </w:r>
        <w:r>
          <w:instrText xml:space="preserve"> PAGEREF _Toc21872 \h </w:instrText>
        </w:r>
        <w:r>
          <w:fldChar w:fldCharType="separate"/>
        </w:r>
        <w:r>
          <w:t>33</w:t>
        </w:r>
        <w:r>
          <w:fldChar w:fldCharType="end"/>
        </w:r>
      </w:hyperlink>
    </w:p>
    <w:p>
      <w:pPr>
        <w:pStyle w:val="TOC2"/>
        <w:tabs>
          <w:tab w:val="right" w:leader="dot" w:pos="8306"/>
        </w:tabs>
      </w:pPr>
      <w:hyperlink w:anchor="_Toc18752" w:history="1">
        <w:r>
          <w:rPr>
            <w:rFonts w:ascii="仿宋" w:eastAsia="仿宋" w:hAnsi="仿宋" w:cs="仿宋" w:hint="eastAsia"/>
            <w:lang w:eastAsia="zh-CN"/>
          </w:rPr>
          <w:t>(一)、彩色等离子体显示屏专用系列光刻浆料项目总投资估算</w:t>
        </w:r>
        <w:r>
          <w:tab/>
        </w:r>
        <w:r>
          <w:fldChar w:fldCharType="begin"/>
        </w:r>
        <w:r>
          <w:instrText xml:space="preserve"> PAGEREF _Toc18752 \h </w:instrText>
        </w:r>
        <w:r>
          <w:fldChar w:fldCharType="separate"/>
        </w:r>
        <w:r>
          <w:t>33</w:t>
        </w:r>
        <w:r>
          <w:fldChar w:fldCharType="end"/>
        </w:r>
      </w:hyperlink>
    </w:p>
    <w:p>
      <w:pPr>
        <w:pStyle w:val="TOC2"/>
        <w:tabs>
          <w:tab w:val="right" w:leader="dot" w:pos="8306"/>
        </w:tabs>
      </w:pPr>
      <w:hyperlink w:anchor="_Toc26518" w:history="1">
        <w:r>
          <w:rPr>
            <w:rFonts w:ascii="仿宋" w:eastAsia="仿宋" w:hAnsi="仿宋" w:cs="仿宋" w:hint="eastAsia"/>
            <w:lang w:eastAsia="zh-CN"/>
          </w:rPr>
          <w:t>(二)、资金筹措</w:t>
        </w:r>
        <w:r>
          <w:tab/>
        </w:r>
        <w:r>
          <w:fldChar w:fldCharType="begin"/>
        </w:r>
        <w:r>
          <w:instrText xml:space="preserve"> PAGEREF _Toc26518 \h </w:instrText>
        </w:r>
        <w:r>
          <w:fldChar w:fldCharType="separate"/>
        </w:r>
        <w:r>
          <w:t>34</w:t>
        </w:r>
        <w:r>
          <w:fldChar w:fldCharType="end"/>
        </w:r>
      </w:hyperlink>
    </w:p>
    <w:p>
      <w:pPr>
        <w:pStyle w:val="TOC1"/>
        <w:tabs>
          <w:tab w:val="right" w:leader="dot" w:pos="8306"/>
        </w:tabs>
      </w:pPr>
      <w:hyperlink w:anchor="_Toc1399" w:history="1">
        <w:r>
          <w:rPr>
            <w:rFonts w:ascii="仿宋" w:eastAsia="仿宋" w:hAnsi="仿宋" w:cs="仿宋" w:hint="eastAsia"/>
            <w:lang w:eastAsia="zh-CN"/>
          </w:rPr>
          <w:t>九、彩色等离子体显示屏专用系列光刻浆料项目环境影响分析</w:t>
        </w:r>
        <w:r>
          <w:tab/>
        </w:r>
        <w:r>
          <w:fldChar w:fldCharType="begin"/>
        </w:r>
        <w:r>
          <w:instrText xml:space="preserve"> PAGEREF _Toc1399 \h </w:instrText>
        </w:r>
        <w:r>
          <w:fldChar w:fldCharType="separate"/>
        </w:r>
        <w:r>
          <w:t>35</w:t>
        </w:r>
        <w:r>
          <w:fldChar w:fldCharType="end"/>
        </w:r>
      </w:hyperlink>
    </w:p>
    <w:p>
      <w:pPr>
        <w:pStyle w:val="TOC2"/>
        <w:tabs>
          <w:tab w:val="right" w:leader="dot" w:pos="8306"/>
        </w:tabs>
      </w:pPr>
      <w:hyperlink w:anchor="_Toc20117" w:history="1">
        <w:r>
          <w:rPr>
            <w:rFonts w:ascii="仿宋" w:eastAsia="仿宋" w:hAnsi="仿宋" w:cs="仿宋" w:hint="eastAsia"/>
            <w:lang w:eastAsia="zh-CN"/>
          </w:rPr>
          <w:t>(一)、建设区域环境质量现状</w:t>
        </w:r>
        <w:r>
          <w:tab/>
        </w:r>
        <w:r>
          <w:fldChar w:fldCharType="begin"/>
        </w:r>
        <w:r>
          <w:instrText xml:space="preserve"> PAGEREF _Toc20117 \h </w:instrText>
        </w:r>
        <w:r>
          <w:fldChar w:fldCharType="separate"/>
        </w:r>
        <w:r>
          <w:t>35</w:t>
        </w:r>
        <w:r>
          <w:fldChar w:fldCharType="end"/>
        </w:r>
      </w:hyperlink>
    </w:p>
    <w:p>
      <w:pPr>
        <w:pStyle w:val="TOC2"/>
        <w:tabs>
          <w:tab w:val="right" w:leader="dot" w:pos="8306"/>
        </w:tabs>
      </w:pPr>
      <w:hyperlink w:anchor="_Toc8870" w:history="1">
        <w:r>
          <w:rPr>
            <w:rFonts w:ascii="仿宋" w:eastAsia="仿宋" w:hAnsi="仿宋" w:cs="仿宋" w:hint="eastAsia"/>
            <w:lang w:eastAsia="zh-CN"/>
          </w:rPr>
          <w:t>(二)、建设期环境保护</w:t>
        </w:r>
        <w:r>
          <w:tab/>
        </w:r>
        <w:r>
          <w:fldChar w:fldCharType="begin"/>
        </w:r>
        <w:r>
          <w:instrText xml:space="preserve"> PAGEREF _Toc8870 \h </w:instrText>
        </w:r>
        <w:r>
          <w:fldChar w:fldCharType="separate"/>
        </w:r>
        <w:r>
          <w:t>37</w:t>
        </w:r>
        <w:r>
          <w:fldChar w:fldCharType="end"/>
        </w:r>
      </w:hyperlink>
    </w:p>
    <w:p>
      <w:pPr>
        <w:pStyle w:val="TOC2"/>
        <w:tabs>
          <w:tab w:val="right" w:leader="dot" w:pos="8306"/>
        </w:tabs>
      </w:pPr>
      <w:hyperlink w:anchor="_Toc4390" w:history="1">
        <w:r>
          <w:rPr>
            <w:rFonts w:ascii="仿宋" w:eastAsia="仿宋" w:hAnsi="仿宋" w:cs="仿宋" w:hint="eastAsia"/>
            <w:lang w:eastAsia="zh-CN"/>
          </w:rPr>
          <w:t>(三)、运营期环境保护</w:t>
        </w:r>
        <w:r>
          <w:tab/>
        </w:r>
        <w:r>
          <w:fldChar w:fldCharType="begin"/>
        </w:r>
        <w:r>
          <w:instrText xml:space="preserve"> PAGEREF _Toc4390 \h </w:instrText>
        </w:r>
        <w:r>
          <w:fldChar w:fldCharType="separate"/>
        </w:r>
        <w:r>
          <w:t>38</w:t>
        </w:r>
        <w:r>
          <w:fldChar w:fldCharType="end"/>
        </w:r>
      </w:hyperlink>
    </w:p>
    <w:p>
      <w:pPr>
        <w:pStyle w:val="TOC2"/>
        <w:tabs>
          <w:tab w:val="right" w:leader="dot" w:pos="8306"/>
        </w:tabs>
      </w:pPr>
      <w:hyperlink w:anchor="_Toc23227" w:history="1">
        <w:r>
          <w:rPr>
            <w:rFonts w:ascii="仿宋" w:eastAsia="仿宋" w:hAnsi="仿宋" w:cs="仿宋" w:hint="eastAsia"/>
            <w:lang w:eastAsia="zh-CN"/>
          </w:rPr>
          <w:t>(四)、彩色等离子体显示屏专用系列光刻浆料项目建设对区域经济的影响</w:t>
        </w:r>
        <w:r>
          <w:tab/>
        </w:r>
        <w:r>
          <w:fldChar w:fldCharType="begin"/>
        </w:r>
        <w:r>
          <w:instrText xml:space="preserve"> PAGEREF _Toc23227 \h </w:instrText>
        </w:r>
        <w:r>
          <w:fldChar w:fldCharType="separate"/>
        </w:r>
        <w:r>
          <w:t>40</w:t>
        </w:r>
        <w:r>
          <w:fldChar w:fldCharType="end"/>
        </w:r>
      </w:hyperlink>
    </w:p>
    <w:p>
      <w:pPr>
        <w:pStyle w:val="TOC2"/>
        <w:tabs>
          <w:tab w:val="right" w:leader="dot" w:pos="8306"/>
        </w:tabs>
      </w:pPr>
      <w:hyperlink w:anchor="_Toc32557" w:history="1">
        <w:r>
          <w:rPr>
            <w:rFonts w:ascii="仿宋" w:eastAsia="仿宋" w:hAnsi="仿宋" w:cs="仿宋" w:hint="eastAsia"/>
            <w:lang w:eastAsia="zh-CN"/>
          </w:rPr>
          <w:t>(五)、废弃物处理</w:t>
        </w:r>
        <w:r>
          <w:tab/>
        </w:r>
        <w:r>
          <w:fldChar w:fldCharType="begin"/>
        </w:r>
        <w:r>
          <w:instrText xml:space="preserve"> PAGEREF _Toc32557 \h </w:instrText>
        </w:r>
        <w:r>
          <w:fldChar w:fldCharType="separate"/>
        </w:r>
        <w:r>
          <w:t>42</w:t>
        </w:r>
        <w:r>
          <w:fldChar w:fldCharType="end"/>
        </w:r>
      </w:hyperlink>
    </w:p>
    <w:p>
      <w:pPr>
        <w:pStyle w:val="TOC2"/>
        <w:tabs>
          <w:tab w:val="right" w:leader="dot" w:pos="8306"/>
        </w:tabs>
      </w:pPr>
      <w:hyperlink w:anchor="_Toc3320" w:history="1">
        <w:r>
          <w:rPr>
            <w:rFonts w:ascii="仿宋" w:eastAsia="仿宋" w:hAnsi="仿宋" w:cs="仿宋" w:hint="eastAsia"/>
            <w:lang w:eastAsia="zh-CN"/>
          </w:rPr>
          <w:t>(六)、特殊环境影响分析</w:t>
        </w:r>
        <w:r>
          <w:tab/>
        </w:r>
        <w:r>
          <w:fldChar w:fldCharType="begin"/>
        </w:r>
        <w:r>
          <w:instrText xml:space="preserve"> PAGEREF _Toc3320 \h </w:instrText>
        </w:r>
        <w:r>
          <w:fldChar w:fldCharType="separate"/>
        </w:r>
        <w:r>
          <w:t>43</w:t>
        </w:r>
        <w:r>
          <w:fldChar w:fldCharType="end"/>
        </w:r>
      </w:hyperlink>
    </w:p>
    <w:p>
      <w:pPr>
        <w:pStyle w:val="TOC2"/>
        <w:tabs>
          <w:tab w:val="right" w:leader="dot" w:pos="8306"/>
        </w:tabs>
      </w:pPr>
      <w:hyperlink w:anchor="_Toc13860" w:history="1">
        <w:r>
          <w:rPr>
            <w:rFonts w:ascii="仿宋" w:eastAsia="仿宋" w:hAnsi="仿宋" w:cs="仿宋" w:hint="eastAsia"/>
            <w:lang w:eastAsia="zh-CN"/>
          </w:rPr>
          <w:t>(七)、清洁生产</w:t>
        </w:r>
        <w:r>
          <w:tab/>
        </w:r>
        <w:r>
          <w:fldChar w:fldCharType="begin"/>
        </w:r>
        <w:r>
          <w:instrText xml:space="preserve"> PAGEREF _Toc13860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15" w:history="1">
        <w:r>
          <w:rPr>
            <w:rFonts w:ascii="仿宋" w:eastAsia="仿宋" w:hAnsi="仿宋" w:cs="仿宋" w:hint="eastAsia"/>
            <w:lang w:eastAsia="zh-CN"/>
          </w:rPr>
          <w:t>(八)、环境保护综合评价</w:t>
        </w:r>
        <w:r>
          <w:tab/>
        </w:r>
        <w:r>
          <w:fldChar w:fldCharType="begin"/>
        </w:r>
        <w:r>
          <w:instrText xml:space="preserve"> PAGEREF _Toc14115 \h </w:instrText>
        </w:r>
        <w:r>
          <w:fldChar w:fldCharType="separate"/>
        </w:r>
        <w:r>
          <w:t>46</w:t>
        </w:r>
        <w:r>
          <w:fldChar w:fldCharType="end"/>
        </w:r>
      </w:hyperlink>
    </w:p>
    <w:p>
      <w:pPr>
        <w:pStyle w:val="TOC1"/>
        <w:tabs>
          <w:tab w:val="right" w:leader="dot" w:pos="8306"/>
        </w:tabs>
      </w:pPr>
      <w:hyperlink w:anchor="_Toc8719" w:history="1">
        <w:r>
          <w:rPr>
            <w:rFonts w:ascii="仿宋" w:eastAsia="仿宋" w:hAnsi="仿宋" w:cs="仿宋" w:hint="eastAsia"/>
            <w:lang w:eastAsia="zh-CN"/>
          </w:rPr>
          <w:t>十、彩色等离子体显示屏专用系列光刻浆料项目人力资源管理</w:t>
        </w:r>
        <w:r>
          <w:tab/>
        </w:r>
        <w:r>
          <w:fldChar w:fldCharType="begin"/>
        </w:r>
        <w:r>
          <w:instrText xml:space="preserve"> PAGEREF _Toc8719 \h </w:instrText>
        </w:r>
        <w:r>
          <w:fldChar w:fldCharType="separate"/>
        </w:r>
        <w:r>
          <w:t>47</w:t>
        </w:r>
        <w:r>
          <w:fldChar w:fldCharType="end"/>
        </w:r>
      </w:hyperlink>
    </w:p>
    <w:p>
      <w:pPr>
        <w:pStyle w:val="TOC2"/>
        <w:tabs>
          <w:tab w:val="right" w:leader="dot" w:pos="8306"/>
        </w:tabs>
      </w:pPr>
      <w:hyperlink w:anchor="_Toc11582" w:history="1">
        <w:r>
          <w:rPr>
            <w:rFonts w:ascii="仿宋" w:eastAsia="仿宋" w:hAnsi="仿宋" w:cs="仿宋" w:hint="eastAsia"/>
            <w:lang w:eastAsia="zh-CN"/>
          </w:rPr>
          <w:t>(一)、建立健全的预算管理制度</w:t>
        </w:r>
        <w:r>
          <w:tab/>
        </w:r>
        <w:r>
          <w:fldChar w:fldCharType="begin"/>
        </w:r>
        <w:r>
          <w:instrText xml:space="preserve"> PAGEREF _Toc11582 \h </w:instrText>
        </w:r>
        <w:r>
          <w:fldChar w:fldCharType="separate"/>
        </w:r>
        <w:r>
          <w:t>47</w:t>
        </w:r>
        <w:r>
          <w:fldChar w:fldCharType="end"/>
        </w:r>
      </w:hyperlink>
    </w:p>
    <w:p>
      <w:pPr>
        <w:pStyle w:val="TOC2"/>
        <w:tabs>
          <w:tab w:val="right" w:leader="dot" w:pos="8306"/>
        </w:tabs>
      </w:pPr>
      <w:hyperlink w:anchor="_Toc9929" w:history="1">
        <w:r>
          <w:rPr>
            <w:rFonts w:ascii="仿宋" w:eastAsia="仿宋" w:hAnsi="仿宋" w:cs="仿宋" w:hint="eastAsia"/>
            <w:lang w:eastAsia="zh-CN"/>
          </w:rPr>
          <w:t>(二)、加强资金流动监控</w:t>
        </w:r>
        <w:r>
          <w:tab/>
        </w:r>
        <w:r>
          <w:fldChar w:fldCharType="begin"/>
        </w:r>
        <w:r>
          <w:instrText xml:space="preserve"> PAGEREF _Toc9929 \h </w:instrText>
        </w:r>
        <w:r>
          <w:fldChar w:fldCharType="separate"/>
        </w:r>
        <w:r>
          <w:t>49</w:t>
        </w:r>
        <w:r>
          <w:fldChar w:fldCharType="end"/>
        </w:r>
      </w:hyperlink>
    </w:p>
    <w:p>
      <w:pPr>
        <w:pStyle w:val="TOC2"/>
        <w:tabs>
          <w:tab w:val="right" w:leader="dot" w:pos="8306"/>
        </w:tabs>
      </w:pPr>
      <w:hyperlink w:anchor="_Toc11284" w:history="1">
        <w:r>
          <w:rPr>
            <w:rFonts w:ascii="仿宋" w:eastAsia="仿宋" w:hAnsi="仿宋" w:cs="仿宋" w:hint="eastAsia"/>
            <w:lang w:eastAsia="zh-CN"/>
          </w:rPr>
          <w:t>(三)、制定完善的风险控制机制</w:t>
        </w:r>
        <w:r>
          <w:tab/>
        </w:r>
        <w:r>
          <w:fldChar w:fldCharType="begin"/>
        </w:r>
        <w:r>
          <w:instrText xml:space="preserve"> PAGEREF _Toc11284 \h </w:instrText>
        </w:r>
        <w:r>
          <w:fldChar w:fldCharType="separate"/>
        </w:r>
        <w:r>
          <w:t>51</w:t>
        </w:r>
        <w:r>
          <w:fldChar w:fldCharType="end"/>
        </w:r>
      </w:hyperlink>
    </w:p>
    <w:p>
      <w:pPr>
        <w:pStyle w:val="TOC2"/>
        <w:tabs>
          <w:tab w:val="right" w:leader="dot" w:pos="8306"/>
        </w:tabs>
      </w:pPr>
      <w:hyperlink w:anchor="_Toc15585" w:history="1">
        <w:r>
          <w:rPr>
            <w:rFonts w:ascii="仿宋" w:eastAsia="仿宋" w:hAnsi="仿宋" w:cs="仿宋" w:hint="eastAsia"/>
            <w:lang w:eastAsia="zh-CN"/>
          </w:rPr>
          <w:t>(四)、优化成本管理</w:t>
        </w:r>
        <w:r>
          <w:tab/>
        </w:r>
        <w:r>
          <w:fldChar w:fldCharType="begin"/>
        </w:r>
        <w:r>
          <w:instrText xml:space="preserve"> PAGEREF _Toc15585 \h </w:instrText>
        </w:r>
        <w:r>
          <w:fldChar w:fldCharType="separate"/>
        </w:r>
        <w:r>
          <w:t>52</w:t>
        </w:r>
        <w:r>
          <w:fldChar w:fldCharType="end"/>
        </w:r>
      </w:hyperlink>
    </w:p>
    <w:p>
      <w:pPr>
        <w:pStyle w:val="TOC1"/>
        <w:tabs>
          <w:tab w:val="right" w:leader="dot" w:pos="8306"/>
        </w:tabs>
      </w:pPr>
      <w:hyperlink w:anchor="_Toc1309" w:history="1">
        <w:r>
          <w:rPr>
            <w:rFonts w:ascii="仿宋" w:eastAsia="仿宋" w:hAnsi="仿宋" w:cs="仿宋" w:hint="eastAsia"/>
            <w:lang w:eastAsia="zh-CN"/>
          </w:rPr>
          <w:t>十一、彩色等离子体显示屏专用系列光刻浆料项目技术管理</w:t>
        </w:r>
        <w:r>
          <w:tab/>
        </w:r>
        <w:r>
          <w:fldChar w:fldCharType="begin"/>
        </w:r>
        <w:r>
          <w:instrText xml:space="preserve"> PAGEREF _Toc1309 \h </w:instrText>
        </w:r>
        <w:r>
          <w:fldChar w:fldCharType="separate"/>
        </w:r>
        <w:r>
          <w:t>54</w:t>
        </w:r>
        <w:r>
          <w:fldChar w:fldCharType="end"/>
        </w:r>
      </w:hyperlink>
    </w:p>
    <w:p>
      <w:pPr>
        <w:pStyle w:val="TOC2"/>
        <w:tabs>
          <w:tab w:val="right" w:leader="dot" w:pos="8306"/>
        </w:tabs>
      </w:pPr>
      <w:hyperlink w:anchor="_Toc26226" w:history="1">
        <w:r>
          <w:rPr>
            <w:rFonts w:ascii="仿宋" w:eastAsia="仿宋" w:hAnsi="仿宋" w:cs="仿宋" w:hint="eastAsia"/>
            <w:lang w:eastAsia="zh-CN"/>
          </w:rPr>
          <w:t>(一)、技术方案选用方向</w:t>
        </w:r>
        <w:r>
          <w:tab/>
        </w:r>
        <w:r>
          <w:fldChar w:fldCharType="begin"/>
        </w:r>
        <w:r>
          <w:instrText xml:space="preserve"> PAGEREF _Toc26226 \h </w:instrText>
        </w:r>
        <w:r>
          <w:fldChar w:fldCharType="separate"/>
        </w:r>
        <w:r>
          <w:t>54</w:t>
        </w:r>
        <w:r>
          <w:fldChar w:fldCharType="end"/>
        </w:r>
      </w:hyperlink>
    </w:p>
    <w:p>
      <w:pPr>
        <w:pStyle w:val="TOC2"/>
        <w:tabs>
          <w:tab w:val="right" w:leader="dot" w:pos="8306"/>
        </w:tabs>
      </w:pPr>
      <w:hyperlink w:anchor="_Toc22146" w:history="1">
        <w:r>
          <w:rPr>
            <w:rFonts w:ascii="仿宋" w:eastAsia="仿宋" w:hAnsi="仿宋" w:cs="仿宋" w:hint="eastAsia"/>
            <w:lang w:eastAsia="zh-CN"/>
          </w:rPr>
          <w:t>(二)、工艺技术方案选用原则</w:t>
        </w:r>
        <w:r>
          <w:tab/>
        </w:r>
        <w:r>
          <w:fldChar w:fldCharType="begin"/>
        </w:r>
        <w:r>
          <w:instrText xml:space="preserve"> PAGEREF _Toc22146 \h </w:instrText>
        </w:r>
        <w:r>
          <w:fldChar w:fldCharType="separate"/>
        </w:r>
        <w:r>
          <w:t>56</w:t>
        </w:r>
        <w:r>
          <w:fldChar w:fldCharType="end"/>
        </w:r>
      </w:hyperlink>
    </w:p>
    <w:p>
      <w:pPr>
        <w:pStyle w:val="TOC2"/>
        <w:tabs>
          <w:tab w:val="right" w:leader="dot" w:pos="8306"/>
        </w:tabs>
      </w:pPr>
      <w:hyperlink w:anchor="_Toc17299" w:history="1">
        <w:r>
          <w:rPr>
            <w:rFonts w:ascii="仿宋" w:eastAsia="仿宋" w:hAnsi="仿宋" w:cs="仿宋" w:hint="eastAsia"/>
            <w:lang w:eastAsia="zh-CN"/>
          </w:rPr>
          <w:t>(三)、工艺技术方案要求</w:t>
        </w:r>
        <w:r>
          <w:tab/>
        </w:r>
        <w:r>
          <w:fldChar w:fldCharType="begin"/>
        </w:r>
        <w:r>
          <w:instrText xml:space="preserve"> PAGEREF _Toc17299 \h </w:instrText>
        </w:r>
        <w:r>
          <w:fldChar w:fldCharType="separate"/>
        </w:r>
        <w:r>
          <w:t>58</w:t>
        </w:r>
        <w:r>
          <w:fldChar w:fldCharType="end"/>
        </w:r>
      </w:hyperlink>
    </w:p>
    <w:p>
      <w:pPr>
        <w:pStyle w:val="TOC1"/>
        <w:tabs>
          <w:tab w:val="right" w:leader="dot" w:pos="8306"/>
        </w:tabs>
      </w:pPr>
      <w:hyperlink w:anchor="_Toc6222" w:history="1">
        <w:r>
          <w:rPr>
            <w:rFonts w:ascii="仿宋" w:eastAsia="仿宋" w:hAnsi="仿宋" w:cs="仿宋" w:hint="eastAsia"/>
            <w:lang w:eastAsia="zh-CN"/>
          </w:rPr>
          <w:t>十二、彩色等离子体显示屏专用系列光刻浆料项目经营效益</w:t>
        </w:r>
        <w:r>
          <w:tab/>
        </w:r>
        <w:r>
          <w:fldChar w:fldCharType="begin"/>
        </w:r>
        <w:r>
          <w:instrText xml:space="preserve"> PAGEREF _Toc6222 \h </w:instrText>
        </w:r>
        <w:r>
          <w:fldChar w:fldCharType="separate"/>
        </w:r>
        <w:r>
          <w:t>61</w:t>
        </w:r>
        <w:r>
          <w:fldChar w:fldCharType="end"/>
        </w:r>
      </w:hyperlink>
    </w:p>
    <w:p>
      <w:pPr>
        <w:pStyle w:val="TOC2"/>
        <w:tabs>
          <w:tab w:val="right" w:leader="dot" w:pos="8306"/>
        </w:tabs>
      </w:pPr>
      <w:hyperlink w:anchor="_Toc2889" w:history="1">
        <w:r>
          <w:rPr>
            <w:rFonts w:ascii="仿宋" w:eastAsia="仿宋" w:hAnsi="仿宋" w:cs="仿宋" w:hint="eastAsia"/>
            <w:lang w:eastAsia="zh-CN"/>
          </w:rPr>
          <w:t>(一)、经济评价财务测算</w:t>
        </w:r>
        <w:r>
          <w:tab/>
        </w:r>
        <w:r>
          <w:fldChar w:fldCharType="begin"/>
        </w:r>
        <w:r>
          <w:instrText xml:space="preserve"> PAGEREF _Toc2889 \h </w:instrText>
        </w:r>
        <w:r>
          <w:fldChar w:fldCharType="separate"/>
        </w:r>
        <w:r>
          <w:t>61</w:t>
        </w:r>
        <w:r>
          <w:fldChar w:fldCharType="end"/>
        </w:r>
      </w:hyperlink>
    </w:p>
    <w:p>
      <w:pPr>
        <w:pStyle w:val="TOC2"/>
        <w:tabs>
          <w:tab w:val="right" w:leader="dot" w:pos="8306"/>
        </w:tabs>
      </w:pPr>
      <w:hyperlink w:anchor="_Toc20487" w:history="1">
        <w:r>
          <w:rPr>
            <w:rFonts w:ascii="仿宋" w:eastAsia="仿宋" w:hAnsi="仿宋" w:cs="仿宋" w:hint="eastAsia"/>
            <w:lang w:eastAsia="zh-CN"/>
          </w:rPr>
          <w:t>(二)、彩色等离子体显示屏专用系列光刻浆料项目盈利能力分析</w:t>
        </w:r>
        <w:r>
          <w:tab/>
        </w:r>
        <w:r>
          <w:fldChar w:fldCharType="begin"/>
        </w:r>
        <w:r>
          <w:instrText xml:space="preserve"> PAGEREF _Toc20487 \h </w:instrText>
        </w:r>
        <w:r>
          <w:fldChar w:fldCharType="separate"/>
        </w:r>
        <w:r>
          <w:t>62</w:t>
        </w:r>
        <w:r>
          <w:fldChar w:fldCharType="end"/>
        </w:r>
      </w:hyperlink>
    </w:p>
    <w:p>
      <w:pPr>
        <w:pStyle w:val="TOC1"/>
        <w:tabs>
          <w:tab w:val="right" w:leader="dot" w:pos="8306"/>
        </w:tabs>
      </w:pPr>
      <w:hyperlink w:anchor="_Toc5421" w:history="1">
        <w:r>
          <w:rPr>
            <w:rFonts w:ascii="仿宋" w:eastAsia="仿宋" w:hAnsi="仿宋" w:cs="仿宋" w:hint="eastAsia"/>
            <w:lang w:eastAsia="zh-CN"/>
          </w:rPr>
          <w:t>十三、彩色等离子体显示屏专用系列光刻浆料项目治理与监督</w:t>
        </w:r>
        <w:r>
          <w:tab/>
        </w:r>
        <w:r>
          <w:fldChar w:fldCharType="begin"/>
        </w:r>
        <w:r>
          <w:instrText xml:space="preserve"> PAGEREF _Toc5421 \h </w:instrText>
        </w:r>
        <w:r>
          <w:fldChar w:fldCharType="separate"/>
        </w:r>
        <w:r>
          <w:t>63</w:t>
        </w:r>
        <w:r>
          <w:fldChar w:fldCharType="end"/>
        </w:r>
      </w:hyperlink>
    </w:p>
    <w:p>
      <w:pPr>
        <w:pStyle w:val="TOC2"/>
        <w:tabs>
          <w:tab w:val="right" w:leader="dot" w:pos="8306"/>
        </w:tabs>
      </w:pPr>
      <w:hyperlink w:anchor="_Toc1614" w:history="1">
        <w:r>
          <w:rPr>
            <w:rFonts w:ascii="仿宋" w:eastAsia="仿宋" w:hAnsi="仿宋" w:cs="仿宋" w:hint="eastAsia"/>
            <w:lang w:eastAsia="zh-CN"/>
          </w:rPr>
          <w:t>(一)、彩色等离子体显示屏专用系列光刻浆料项目治理结构</w:t>
        </w:r>
        <w:r>
          <w:tab/>
        </w:r>
        <w:r>
          <w:fldChar w:fldCharType="begin"/>
        </w:r>
        <w:r>
          <w:instrText xml:space="preserve"> PAGEREF _Toc1614 \h </w:instrText>
        </w:r>
        <w:r>
          <w:fldChar w:fldCharType="separate"/>
        </w:r>
        <w:r>
          <w:t>63</w:t>
        </w:r>
        <w:r>
          <w:fldChar w:fldCharType="end"/>
        </w:r>
      </w:hyperlink>
    </w:p>
    <w:p>
      <w:pPr>
        <w:pStyle w:val="TOC2"/>
        <w:tabs>
          <w:tab w:val="right" w:leader="dot" w:pos="8306"/>
        </w:tabs>
      </w:pPr>
      <w:hyperlink w:anchor="_Toc16674" w:history="1">
        <w:r>
          <w:rPr>
            <w:rFonts w:ascii="仿宋" w:eastAsia="仿宋" w:hAnsi="仿宋" w:cs="仿宋" w:hint="eastAsia"/>
            <w:lang w:eastAsia="zh-CN"/>
          </w:rPr>
          <w:t>(二)、监督与审计</w:t>
        </w:r>
        <w:r>
          <w:tab/>
        </w:r>
        <w:r>
          <w:fldChar w:fldCharType="begin"/>
        </w:r>
        <w:r>
          <w:instrText xml:space="preserve"> PAGEREF _Toc16674 \h </w:instrText>
        </w:r>
        <w:r>
          <w:fldChar w:fldCharType="separate"/>
        </w:r>
        <w:r>
          <w:t>65</w:t>
        </w:r>
        <w:r>
          <w:fldChar w:fldCharType="end"/>
        </w:r>
      </w:hyperlink>
    </w:p>
    <w:p>
      <w:pPr>
        <w:pStyle w:val="TOC1"/>
        <w:tabs>
          <w:tab w:val="right" w:leader="dot" w:pos="8306"/>
        </w:tabs>
      </w:pPr>
      <w:hyperlink w:anchor="_Toc13874" w:history="1">
        <w:r>
          <w:rPr>
            <w:rFonts w:ascii="仿宋" w:eastAsia="仿宋" w:hAnsi="仿宋" w:cs="仿宋" w:hint="eastAsia"/>
            <w:lang w:eastAsia="zh-CN"/>
          </w:rPr>
          <w:t>十四、利益相关者分析与沟通计划</w:t>
        </w:r>
        <w:r>
          <w:tab/>
        </w:r>
        <w:r>
          <w:fldChar w:fldCharType="begin"/>
        </w:r>
        <w:r>
          <w:instrText xml:space="preserve"> PAGEREF _Toc13874 \h </w:instrText>
        </w:r>
        <w:r>
          <w:fldChar w:fldCharType="separate"/>
        </w:r>
        <w:r>
          <w:t>66</w:t>
        </w:r>
        <w:r>
          <w:fldChar w:fldCharType="end"/>
        </w:r>
      </w:hyperlink>
    </w:p>
    <w:p>
      <w:pPr>
        <w:pStyle w:val="TOC2"/>
        <w:tabs>
          <w:tab w:val="right" w:leader="dot" w:pos="8306"/>
        </w:tabs>
      </w:pPr>
      <w:hyperlink w:anchor="_Toc13771" w:history="1">
        <w:r>
          <w:rPr>
            <w:rFonts w:ascii="仿宋" w:eastAsia="仿宋" w:hAnsi="仿宋" w:cs="仿宋" w:hint="eastAsia"/>
            <w:lang w:eastAsia="zh-CN"/>
          </w:rPr>
          <w:t>(一)、利益相关者分析</w:t>
        </w:r>
        <w:r>
          <w:tab/>
        </w:r>
        <w:r>
          <w:fldChar w:fldCharType="begin"/>
        </w:r>
        <w:r>
          <w:instrText xml:space="preserve"> PAGEREF _Toc13771 \h </w:instrText>
        </w:r>
        <w:r>
          <w:fldChar w:fldCharType="separate"/>
        </w:r>
        <w:r>
          <w:t>66</w:t>
        </w:r>
        <w:r>
          <w:fldChar w:fldCharType="end"/>
        </w:r>
      </w:hyperlink>
    </w:p>
    <w:p>
      <w:pPr>
        <w:pStyle w:val="TOC2"/>
        <w:tabs>
          <w:tab w:val="right" w:leader="dot" w:pos="8306"/>
        </w:tabs>
      </w:pPr>
      <w:hyperlink w:anchor="_Toc27734" w:history="1">
        <w:r>
          <w:rPr>
            <w:rFonts w:ascii="仿宋" w:eastAsia="仿宋" w:hAnsi="仿宋" w:cs="仿宋" w:hint="eastAsia"/>
            <w:lang w:eastAsia="zh-CN"/>
          </w:rPr>
          <w:t>(二)、沟通计划</w:t>
        </w:r>
        <w:r>
          <w:tab/>
        </w:r>
        <w:r>
          <w:fldChar w:fldCharType="begin"/>
        </w:r>
        <w:r>
          <w:instrText xml:space="preserve"> PAGEREF _Toc27734 \h </w:instrText>
        </w:r>
        <w:r>
          <w:fldChar w:fldCharType="separate"/>
        </w:r>
        <w:r>
          <w:t>68</w:t>
        </w:r>
        <w:r>
          <w:fldChar w:fldCharType="end"/>
        </w:r>
      </w:hyperlink>
    </w:p>
    <w:p>
      <w:pPr>
        <w:pStyle w:val="TOC1"/>
        <w:tabs>
          <w:tab w:val="right" w:leader="dot" w:pos="8306"/>
        </w:tabs>
      </w:pPr>
      <w:hyperlink w:anchor="_Toc29603" w:history="1">
        <w:r>
          <w:rPr>
            <w:rFonts w:ascii="仿宋" w:eastAsia="仿宋" w:hAnsi="仿宋" w:cs="仿宋" w:hint="eastAsia"/>
            <w:lang w:eastAsia="zh-CN"/>
          </w:rPr>
          <w:t>十五、供应链管理</w:t>
        </w:r>
        <w:r>
          <w:tab/>
        </w:r>
        <w:r>
          <w:fldChar w:fldCharType="begin"/>
        </w:r>
        <w:r>
          <w:instrText xml:space="preserve"> PAGEREF _Toc29603 \h </w:instrText>
        </w:r>
        <w:r>
          <w:fldChar w:fldCharType="separate"/>
        </w:r>
        <w:r>
          <w:t>69</w:t>
        </w:r>
        <w:r>
          <w:fldChar w:fldCharType="end"/>
        </w:r>
      </w:hyperlink>
    </w:p>
    <w:p>
      <w:pPr>
        <w:pStyle w:val="TOC2"/>
        <w:tabs>
          <w:tab w:val="right" w:leader="dot" w:pos="8306"/>
        </w:tabs>
      </w:pPr>
      <w:hyperlink w:anchor="_Toc15393" w:history="1">
        <w:r>
          <w:rPr>
            <w:rFonts w:ascii="仿宋" w:eastAsia="仿宋" w:hAnsi="仿宋" w:cs="仿宋" w:hint="eastAsia"/>
            <w:lang w:eastAsia="zh-CN"/>
          </w:rPr>
          <w:t>(一)、供应链战略规划</w:t>
        </w:r>
        <w:r>
          <w:tab/>
        </w:r>
        <w:r>
          <w:fldChar w:fldCharType="begin"/>
        </w:r>
        <w:r>
          <w:instrText xml:space="preserve"> PAGEREF _Toc15393 \h </w:instrText>
        </w:r>
        <w:r>
          <w:fldChar w:fldCharType="separate"/>
        </w:r>
        <w:r>
          <w:t>69</w:t>
        </w:r>
        <w:r>
          <w:fldChar w:fldCharType="end"/>
        </w:r>
      </w:hyperlink>
    </w:p>
    <w:p>
      <w:pPr>
        <w:pStyle w:val="TOC2"/>
        <w:tabs>
          <w:tab w:val="right" w:leader="dot" w:pos="8306"/>
        </w:tabs>
      </w:pPr>
      <w:hyperlink w:anchor="_Toc27109" w:history="1">
        <w:r>
          <w:rPr>
            <w:rFonts w:ascii="仿宋" w:eastAsia="仿宋" w:hAnsi="仿宋" w:cs="仿宋" w:hint="eastAsia"/>
            <w:lang w:eastAsia="zh-CN"/>
          </w:rPr>
          <w:t>(二)、供应商选择与合作</w:t>
        </w:r>
        <w:r>
          <w:tab/>
        </w:r>
        <w:r>
          <w:fldChar w:fldCharType="begin"/>
        </w:r>
        <w:r>
          <w:instrText xml:space="preserve"> PAGEREF _Toc27109 \h </w:instrText>
        </w:r>
        <w:r>
          <w:fldChar w:fldCharType="separate"/>
        </w:r>
        <w:r>
          <w:t>70</w:t>
        </w:r>
        <w:r>
          <w:fldChar w:fldCharType="end"/>
        </w:r>
      </w:hyperlink>
    </w:p>
    <w:p>
      <w:pPr>
        <w:pStyle w:val="TOC2"/>
        <w:tabs>
          <w:tab w:val="right" w:leader="dot" w:pos="8306"/>
        </w:tabs>
      </w:pPr>
      <w:hyperlink w:anchor="_Toc9101" w:history="1">
        <w:r>
          <w:rPr>
            <w:rFonts w:ascii="仿宋" w:eastAsia="仿宋" w:hAnsi="仿宋" w:cs="仿宋" w:hint="eastAsia"/>
            <w:lang w:eastAsia="zh-CN"/>
          </w:rPr>
          <w:t>(三)、物流与库存管理</w:t>
        </w:r>
        <w:r>
          <w:tab/>
        </w:r>
        <w:r>
          <w:fldChar w:fldCharType="begin"/>
        </w:r>
        <w:r>
          <w:instrText xml:space="preserve"> PAGEREF _Toc9101 \h </w:instrText>
        </w:r>
        <w:r>
          <w:fldChar w:fldCharType="separate"/>
        </w:r>
        <w:r>
          <w:t>72</w:t>
        </w:r>
        <w:r>
          <w:fldChar w:fldCharType="end"/>
        </w:r>
      </w:hyperlink>
    </w:p>
    <w:p>
      <w:pPr>
        <w:pStyle w:val="TOC1"/>
        <w:tabs>
          <w:tab w:val="right" w:leader="dot" w:pos="8306"/>
        </w:tabs>
      </w:pPr>
      <w:hyperlink w:anchor="_Toc25512" w:history="1">
        <w:r>
          <w:rPr>
            <w:rFonts w:ascii="仿宋" w:eastAsia="仿宋" w:hAnsi="仿宋" w:cs="仿宋" w:hint="eastAsia"/>
            <w:lang w:eastAsia="zh-CN"/>
          </w:rPr>
          <w:t>十六、彩色等离子体显示屏专用系列光刻浆料项目实施时间节点</w:t>
        </w:r>
        <w:r>
          <w:tab/>
        </w:r>
        <w:r>
          <w:fldChar w:fldCharType="begin"/>
        </w:r>
        <w:r>
          <w:instrText xml:space="preserve"> PAGEREF _Toc25512 \h </w:instrText>
        </w:r>
        <w:r>
          <w:fldChar w:fldCharType="separate"/>
        </w:r>
        <w:r>
          <w:t>73</w:t>
        </w:r>
        <w:r>
          <w:fldChar w:fldCharType="end"/>
        </w:r>
      </w:hyperlink>
    </w:p>
    <w:p>
      <w:pPr>
        <w:pStyle w:val="TOC2"/>
        <w:tabs>
          <w:tab w:val="right" w:leader="dot" w:pos="8306"/>
        </w:tabs>
      </w:pPr>
      <w:hyperlink w:anchor="_Toc31314" w:history="1">
        <w:r>
          <w:rPr>
            <w:rFonts w:ascii="仿宋" w:eastAsia="仿宋" w:hAnsi="仿宋" w:cs="仿宋" w:hint="eastAsia"/>
            <w:lang w:eastAsia="zh-CN"/>
          </w:rPr>
          <w:t>(一)、彩色等离子体显示屏专用系列光刻浆料项目启动阶段时间节点</w:t>
        </w:r>
        <w:r>
          <w:tab/>
        </w:r>
        <w:r>
          <w:fldChar w:fldCharType="begin"/>
        </w:r>
        <w:r>
          <w:instrText xml:space="preserve"> PAGEREF _Toc31314 \h </w:instrText>
        </w:r>
        <w:r>
          <w:fldChar w:fldCharType="separate"/>
        </w:r>
        <w:r>
          <w:t>73</w:t>
        </w:r>
        <w:r>
          <w:fldChar w:fldCharType="end"/>
        </w:r>
      </w:hyperlink>
    </w:p>
    <w:p>
      <w:pPr>
        <w:pStyle w:val="TOC2"/>
        <w:tabs>
          <w:tab w:val="right" w:leader="dot" w:pos="8306"/>
        </w:tabs>
      </w:pPr>
      <w:hyperlink w:anchor="_Toc5844" w:history="1">
        <w:r>
          <w:rPr>
            <w:rFonts w:ascii="仿宋" w:eastAsia="仿宋" w:hAnsi="仿宋" w:cs="仿宋" w:hint="eastAsia"/>
            <w:lang w:eastAsia="zh-CN"/>
          </w:rPr>
          <w:t>(二)、彩色等离子体显示屏专用系列光刻浆料项目执行阶段时间节点</w:t>
        </w:r>
        <w:r>
          <w:tab/>
        </w:r>
        <w:r>
          <w:fldChar w:fldCharType="begin"/>
        </w:r>
        <w:r>
          <w:instrText xml:space="preserve"> PAGEREF _Toc5844 \h </w:instrText>
        </w:r>
        <w:r>
          <w:fldChar w:fldCharType="separate"/>
        </w:r>
        <w:r>
          <w:t>75</w:t>
        </w:r>
        <w:r>
          <w:fldChar w:fldCharType="end"/>
        </w:r>
      </w:hyperlink>
    </w:p>
    <w:p>
      <w:pPr>
        <w:pStyle w:val="TOC2"/>
        <w:tabs>
          <w:tab w:val="right" w:leader="dot" w:pos="8306"/>
        </w:tabs>
      </w:pPr>
      <w:hyperlink w:anchor="_Toc12157" w:history="1">
        <w:r>
          <w:rPr>
            <w:rFonts w:ascii="仿宋" w:eastAsia="仿宋" w:hAnsi="仿宋" w:cs="仿宋" w:hint="eastAsia"/>
            <w:lang w:eastAsia="zh-CN"/>
          </w:rPr>
          <w:t>(三)、彩色等离子体显示屏专用系列光刻浆料项目完成阶段时间节点</w:t>
        </w:r>
        <w:r>
          <w:tab/>
        </w:r>
        <w:r>
          <w:fldChar w:fldCharType="begin"/>
        </w:r>
        <w:r>
          <w:instrText xml:space="preserve"> PAGEREF _Toc12157 \h </w:instrText>
        </w:r>
        <w:r>
          <w:fldChar w:fldCharType="separate"/>
        </w:r>
        <w:r>
          <w:t>76</w:t>
        </w:r>
        <w:r>
          <w:fldChar w:fldCharType="end"/>
        </w:r>
      </w:hyperlink>
    </w:p>
    <w:p>
      <w:pPr>
        <w:pStyle w:val="TOC1"/>
        <w:tabs>
          <w:tab w:val="right" w:leader="dot" w:pos="8306"/>
        </w:tabs>
      </w:pPr>
      <w:hyperlink w:anchor="_Toc11237" w:history="1">
        <w:r>
          <w:rPr>
            <w:rFonts w:ascii="仿宋" w:eastAsia="仿宋" w:hAnsi="仿宋" w:cs="仿宋" w:hint="eastAsia"/>
            <w:lang w:eastAsia="zh-CN"/>
          </w:rPr>
          <w:t>十七、风险识别与分类</w:t>
        </w:r>
        <w:r>
          <w:tab/>
        </w:r>
        <w:r>
          <w:fldChar w:fldCharType="begin"/>
        </w:r>
        <w:r>
          <w:instrText xml:space="preserve"> PAGEREF _Toc11237 \h </w:instrText>
        </w:r>
        <w:r>
          <w:fldChar w:fldCharType="separate"/>
        </w:r>
        <w:r>
          <w:t>78</w:t>
        </w:r>
        <w:r>
          <w:fldChar w:fldCharType="end"/>
        </w:r>
      </w:hyperlink>
    </w:p>
    <w:p>
      <w:pPr>
        <w:pStyle w:val="TOC2"/>
        <w:tabs>
          <w:tab w:val="right" w:leader="dot" w:pos="8306"/>
        </w:tabs>
      </w:pPr>
      <w:hyperlink w:anchor="_Toc28854" w:history="1">
        <w:r>
          <w:rPr>
            <w:rFonts w:ascii="仿宋" w:eastAsia="仿宋" w:hAnsi="仿宋" w:cs="仿宋" w:hint="eastAsia"/>
            <w:lang w:eastAsia="zh-CN"/>
          </w:rPr>
          <w:t>(一)、风险识别</w:t>
        </w:r>
        <w:r>
          <w:tab/>
        </w:r>
        <w:r>
          <w:fldChar w:fldCharType="begin"/>
        </w:r>
        <w:r>
          <w:instrText xml:space="preserve"> PAGEREF _Toc28854 \h </w:instrText>
        </w:r>
        <w:r>
          <w:fldChar w:fldCharType="separate"/>
        </w:r>
        <w:r>
          <w:t>78</w:t>
        </w:r>
        <w:r>
          <w:fldChar w:fldCharType="end"/>
        </w:r>
      </w:hyperlink>
    </w:p>
    <w:p>
      <w:pPr>
        <w:pStyle w:val="TOC2"/>
        <w:tabs>
          <w:tab w:val="right" w:leader="dot" w:pos="8306"/>
        </w:tabs>
      </w:pPr>
      <w:hyperlink w:anchor="_Toc3218" w:history="1">
        <w:r>
          <w:rPr>
            <w:rFonts w:ascii="仿宋" w:eastAsia="仿宋" w:hAnsi="仿宋" w:cs="仿宋" w:hint="eastAsia"/>
            <w:lang w:eastAsia="zh-CN"/>
          </w:rPr>
          <w:t>(二)、风险分类</w:t>
        </w:r>
        <w:r>
          <w:tab/>
        </w:r>
        <w:r>
          <w:fldChar w:fldCharType="begin"/>
        </w:r>
        <w:r>
          <w:instrText xml:space="preserve"> PAGEREF _Toc3218 \h </w:instrText>
        </w:r>
        <w:r>
          <w:fldChar w:fldCharType="separate"/>
        </w:r>
        <w:r>
          <w:t>79</w:t>
        </w:r>
        <w:r>
          <w:fldChar w:fldCharType="end"/>
        </w:r>
      </w:hyperlink>
    </w:p>
    <w:p>
      <w:pPr>
        <w:pStyle w:val="TOC1"/>
        <w:tabs>
          <w:tab w:val="right" w:leader="dot" w:pos="8306"/>
        </w:tabs>
      </w:pPr>
      <w:hyperlink w:anchor="_Toc28867" w:history="1">
        <w:r>
          <w:rPr>
            <w:rFonts w:ascii="仿宋" w:eastAsia="仿宋" w:hAnsi="仿宋" w:cs="仿宋" w:hint="eastAsia"/>
            <w:lang w:eastAsia="zh-CN"/>
          </w:rPr>
          <w:t>十八、彩色等离子体显示屏专用系列光刻浆料项目工程方案分析</w:t>
        </w:r>
        <w:r>
          <w:tab/>
        </w:r>
        <w:r>
          <w:fldChar w:fldCharType="begin"/>
        </w:r>
        <w:r>
          <w:instrText xml:space="preserve"> PAGEREF _Toc28867 \h </w:instrText>
        </w:r>
        <w:r>
          <w:fldChar w:fldCharType="separate"/>
        </w:r>
        <w:r>
          <w:t>81</w:t>
        </w:r>
        <w:r>
          <w:fldChar w:fldCharType="end"/>
        </w:r>
      </w:hyperlink>
    </w:p>
    <w:p>
      <w:pPr>
        <w:pStyle w:val="TOC2"/>
        <w:tabs>
          <w:tab w:val="right" w:leader="dot" w:pos="8306"/>
        </w:tabs>
      </w:pPr>
      <w:hyperlink w:anchor="_Toc30926" w:history="1">
        <w:r>
          <w:rPr>
            <w:rFonts w:ascii="仿宋" w:eastAsia="仿宋" w:hAnsi="仿宋" w:cs="仿宋" w:hint="eastAsia"/>
            <w:lang w:eastAsia="zh-CN"/>
          </w:rPr>
          <w:t>(一)、建筑工程设计原则</w:t>
        </w:r>
        <w:r>
          <w:tab/>
        </w:r>
        <w:r>
          <w:fldChar w:fldCharType="begin"/>
        </w:r>
        <w:r>
          <w:instrText xml:space="preserve"> PAGEREF _Toc30926 \h </w:instrText>
        </w:r>
        <w:r>
          <w:fldChar w:fldCharType="separate"/>
        </w:r>
        <w:r>
          <w:t>81</w:t>
        </w:r>
        <w:r>
          <w:fldChar w:fldCharType="end"/>
        </w:r>
      </w:hyperlink>
    </w:p>
    <w:p>
      <w:pPr>
        <w:pStyle w:val="TOC2"/>
        <w:tabs>
          <w:tab w:val="right" w:leader="dot" w:pos="8306"/>
        </w:tabs>
      </w:pPr>
      <w:hyperlink w:anchor="_Toc28423" w:history="1">
        <w:r>
          <w:rPr>
            <w:rFonts w:ascii="仿宋" w:eastAsia="仿宋" w:hAnsi="仿宋" w:cs="仿宋" w:hint="eastAsia"/>
            <w:lang w:eastAsia="zh-CN"/>
          </w:rPr>
          <w:t>(二)、土建工程建设指标</w:t>
        </w:r>
        <w:r>
          <w:tab/>
        </w:r>
        <w:r>
          <w:fldChar w:fldCharType="begin"/>
        </w:r>
        <w:r>
          <w:instrText xml:space="preserve"> PAGEREF _Toc28423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7"/>
      <w:r>
        <w:rPr>
          <w:rFonts w:ascii="仿宋" w:eastAsia="仿宋" w:hAnsi="仿宋" w:cs="仿宋" w:hint="eastAsia"/>
          <w:sz w:val="28"/>
          <w:lang w:eastAsia="zh-CN"/>
        </w:rPr>
        <w:t>一、彩色等离子体显示屏专用系列光刻浆料项目绩效评估</w:t>
      </w:r>
      <w:bookmarkEnd w:id="2"/>
    </w:p>
    <w:p>
      <w:pPr>
        <w:pStyle w:val="Heading2"/>
        <w:rPr>
          <w:rFonts w:ascii="仿宋" w:eastAsia="仿宋" w:hAnsi="仿宋" w:cs="仿宋" w:hint="eastAsia"/>
          <w:lang w:eastAsia="zh-CN"/>
        </w:rPr>
      </w:pPr>
      <w:bookmarkStart w:id="3" w:name="_Toc73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等离子体显示屏专用系列光刻浆料项目中，我们设计了一套全面的绩效评估指标，以确保彩色等离子体显示屏专用系列光刻浆料项目的可控和成功交付。这些指标跨足彩色等离子体显示屏专用系列光刻浆料项目目标、成本、进度和质量等多个维度，为我们提供了全面洞察彩色等离子体显示屏专用系列光刻浆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目标达成率是我们关注的首要指标。我们设定了明确的目标，并通过定期监测和评估，迅速发现并应对潜在的目标偏差。这为彩色等离子体显示屏专用系列光刻浆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成本绩效是另一个核心关注点。通过实际成本与预算成本的对比分析，我们深入了解成本差异的原因，及时调整资源分配，保持彩色等离子体显示屏专用系列光刻浆料项目在经济效益方面的合理水平。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进度作为关键的绩效指标之一，得到了精心的关注。我们制定了详细的彩色等离子体显示屏专用系列光刻浆料项目进度计划，并设立了进度符合度指标，确保实际进度与计划进度保持一致。这使我们能够快速发现和解决潜在的进度问题，保持彩色等离子体显示屏专用系列光刻浆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等离子体显示屏专用系列光刻浆料项目绩效的不可或缺的一环。我们引入了一系列的质量标准和客户满意度指标，以确保彩色等离子体显示屏专用系列光刻浆料项目交付的成果在质量上达到或超越预期水平。通过持续监测这些指标，我们努力提升彩色等离子体显示屏专用系列光刻浆料项目整体质量水平，为彩色等离子体显示屏专用系列光刻浆料项目的成功交付提供有力保障。通过这些科学且全面的绩效评估，我们能够更好地引导彩色等离子体显示屏专用系列光刻浆料项目的持续改进，确保彩色等离子体显示屏专用系列光刻浆料项目目标的顺利达成。</w:t>
      </w:r>
    </w:p>
    <w:p>
      <w:pPr>
        <w:pStyle w:val="Heading2"/>
        <w:ind w:firstLine="560" w:firstLineChars="200"/>
        <w:rPr>
          <w:rFonts w:ascii="仿宋" w:eastAsia="仿宋" w:hAnsi="仿宋" w:cs="仿宋" w:hint="eastAsia"/>
          <w:sz w:val="28"/>
          <w:lang w:eastAsia="zh-CN"/>
        </w:rPr>
      </w:pPr>
      <w:bookmarkStart w:id="4" w:name="_Toc133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绩效评估是彩色等离子体显示屏专用系列光刻浆料项目中的关键环节，为确保彩色等离子体显示屏专用系列光刻浆料项目达到预期目标，我们采用了多层次、多维度的绩效评估方法。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等离子体显示屏专用系列光刻浆料项目的战略目标对齐，确保每个决策和行动都与彩色等离子体显示屏专用系列光刻浆料项目整体目标保持一致。团队会定期召开战略对齐会议，审视当前工作与彩色等离子体显示屏专用系列光刻浆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等离子体显示屏专用系列光刻浆料项目进度、质量、成本和风险等方面。这些指标通过数据收集和分析，为彩色等离子体显示屏专用系列光刻浆料项目管理团队提供了客观的评估依据。例如，我们通过彩色等离子体显示屏专用系列光刻浆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等离子体显示屏专用系列光刻浆料项目内部，还考虑了彩色等离子体显示屏专用系列光刻浆料项目对外部环境的影响。我们定期进行干系人满意度调查，以了解各利益相关方对彩色等离子体显示屏专用系列光刻浆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彩色等离子体显示屏专用系列光刻浆料项目的运行状态，及时做出调整，确保彩色等离子体显示屏专用系列光刻浆料项目在不断变化的环境中保持稳健前行。</w:t>
      </w:r>
    </w:p>
    <w:p>
      <w:pPr>
        <w:pStyle w:val="Heading2"/>
        <w:ind w:firstLine="560" w:firstLineChars="200"/>
        <w:rPr>
          <w:rFonts w:ascii="仿宋" w:eastAsia="仿宋" w:hAnsi="仿宋" w:cs="仿宋" w:hint="eastAsia"/>
          <w:sz w:val="28"/>
          <w:lang w:eastAsia="zh-CN"/>
        </w:rPr>
      </w:pPr>
      <w:bookmarkStart w:id="5" w:name="_Toc305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等离子体显示屏专用系列光刻浆料项目的有效管理和不断优化，我们采用了精心设计的绩效评估周期。这个周期旨在实现灵活、实时和全面的评估，以适应彩色等离子体显示屏专用系列光刻浆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等离子体显示屏专用系列光刻浆料项目的不同需求，分为短期、中期和长期。短期评估关注每个迭代或工作周期，以及时发现和解决当前任务中的问题。中期评估涵盖几个迭代，深入了解整体彩色等离子体显示屏专用系列光刻浆料项目的趋势和性能。长期评估则着眼于整个彩色等离子体显示屏专用系列光刻浆料项目阶段，确保彩色等离子体显示屏专用系列光刻浆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等离子体显示屏专用系列光刻浆料项目管理工具和协作平台，团队成员能够随时更新和分享彩色等离子体显示屏专用系列光刻浆料项目数据。这种实时性的反馈机制使我们能够及时察觉潜在问题，快速调整，保持彩色等离子体显示屏专用系列光刻浆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色等离子体显示屏专用系列光刻浆料项目的决策制定密不可分。每个周期的彩色等离子体显示屏专用系列光刻浆料项目回顾会议成为集体总结经验、识别问题深层次原因并找到创新解决方案的平台。这种定期的反思与调整机制使彩色等离子体显示屏专用系列光刻浆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515"/>
      <w:r>
        <w:rPr>
          <w:rFonts w:ascii="仿宋" w:eastAsia="仿宋" w:hAnsi="仿宋" w:cs="仿宋" w:hint="eastAsia"/>
          <w:sz w:val="28"/>
          <w:lang w:eastAsia="zh-CN"/>
        </w:rPr>
        <w:t>二、彩色等离子体显示屏专用系列光刻浆料项目建设单位说明</w:t>
      </w:r>
      <w:bookmarkEnd w:id="6"/>
    </w:p>
    <w:p>
      <w:pPr>
        <w:pStyle w:val="Heading2"/>
        <w:rPr>
          <w:rFonts w:ascii="仿宋" w:eastAsia="仿宋" w:hAnsi="仿宋" w:cs="仿宋" w:hint="eastAsia"/>
          <w:lang w:eastAsia="zh-CN"/>
        </w:rPr>
      </w:pPr>
      <w:bookmarkStart w:id="7" w:name="_Toc30551"/>
      <w:r>
        <w:rPr>
          <w:rFonts w:ascii="仿宋" w:eastAsia="仿宋" w:hAnsi="仿宋" w:cs="仿宋" w:hint="eastAsia"/>
          <w:lang w:eastAsia="zh-CN"/>
        </w:rPr>
        <w:t>(一)、彩色等离子体显示屏专用系列光刻浆料项目承办单位基本情况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9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等离子体显示屏专用系列光刻浆料项目承办单位的XXXX，我们着眼于实现可持续的经济效益。通过技术创新和解决方案的提供，公司预计在彩色等离子体显示屏专用系列光刻浆料项目执行期间将获得可观的收入增长。这一收入来源主要包括彩色等离子体显示屏专用系列光刻浆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同时，我们注重成本控制和效率提升，以确保彩色等离子体显示屏专用系列光刻浆料项目的可持续盈利。透过精细的管理和资源优化，公司期望实现彩色等离子体显示屏专用系列光刻浆料项目利润最大化。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等离子体显示屏专用系列光刻浆料项目实施进行全面的投资评估，包括彩色等离子体显示屏专用系列光刻浆料项目启动阶段的资金投入和后续运营成本。通过对彩色等离子体显示屏专用系列光刻浆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彩色等离子体显示屏专用系列光刻浆料项目实施过程中具备足够的资金流动性，公司将进行详尽的现金流分析。这包括资金需求的合理预测、彩色等离子体显示屏专用系列光刻浆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49"/>
      <w:r>
        <w:rPr>
          <w:rFonts w:ascii="仿宋" w:eastAsia="仿宋" w:hAnsi="仿宋" w:cs="仿宋" w:hint="eastAsia"/>
          <w:sz w:val="28"/>
          <w:lang w:eastAsia="zh-CN"/>
        </w:rPr>
        <w:t>三、彩色等离子体显示屏专用系列光刻浆料项目危机管理</w:t>
      </w:r>
      <w:bookmarkEnd w:id="9"/>
    </w:p>
    <w:p>
      <w:pPr>
        <w:pStyle w:val="Heading2"/>
        <w:rPr>
          <w:rFonts w:ascii="仿宋" w:eastAsia="仿宋" w:hAnsi="仿宋" w:cs="仿宋" w:hint="eastAsia"/>
          <w:lang w:eastAsia="zh-CN"/>
        </w:rPr>
      </w:pPr>
      <w:bookmarkStart w:id="10" w:name="_Toc1402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等离子体显示屏专用系列光刻浆料项目危机管理中，危机预警与识别是确保彩色等离子体显示屏专用系列光刻浆料项目稳健运行的核心步骤。通过建立全面的监测机制，彩色等离子体显示屏专用系列光刻浆料项目团队旨在及时发现和理解潜在的风险和危机因素，以便采取及时的预防和应对措施，确保彩色等离子体显示屏专用系列光刻浆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等离子体显示屏专用系列光刻浆料项目团队全面分析了整个彩色等离子体显示屏专用系列光刻浆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等离子体显示屏专用系列光刻浆料项目团队着重于明确定义彩色等离子体显示屏专用系列光刻浆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等离子体显示屏专用系列光刻浆料项目进展的持续监控，团队能够及时发现潜在问题并作出迅速反应。彩色等离子体显示屏专用系列光刻浆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等离子体显示屏专用系列光刻浆料项目得以更有序、可控地推进。</w:t>
      </w:r>
    </w:p>
    <w:p>
      <w:pPr>
        <w:pStyle w:val="Heading2"/>
        <w:ind w:firstLine="560" w:firstLineChars="200"/>
        <w:rPr>
          <w:rFonts w:ascii="仿宋" w:eastAsia="仿宋" w:hAnsi="仿宋" w:cs="仿宋" w:hint="eastAsia"/>
          <w:sz w:val="28"/>
          <w:lang w:eastAsia="zh-CN"/>
        </w:rPr>
      </w:pPr>
      <w:bookmarkStart w:id="11" w:name="_Toc1306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在危机发生时，彩色等离子体显示屏专用系列光刻浆料项目团队立即行动，成立了应急小组。该小组的任务是迅速制定并实施紧急应对措施，以最小化潜在损失。以下是采取的主要措施：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暂停彩色等离子体显示屏专用系列光刻浆料项目进度：为遏制危机蔓延，彩色等离子体显示屏专用系列光刻浆料项目暂时停止进行，以便全面评估当前状况。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资源重新分配：重新评估彩色等离子体显示屏专用系列光刻浆料项目资源的分配，确保最大限度地减小损失。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实时沟通：与关键利益相关者建立实时沟通机制，向他们传递彩色等离子体显示屏专用系列光刻浆料项目危机的实际状况，保障彩色等离子体显示屏专用系列光刻浆料项目核心利益。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在紧急应对的同时，彩色等离子体显示屏专用系列光刻浆料项目团队强调了团队协作和有效沟通的重要性。以下是团队协作的关键举措：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信息共享机制：建立了信息共享平台，确保团队成员能够及时获取彩色等离子体显示屏专用系列光刻浆料项目危机的实时信息。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领导者沟通：彩色等离子体显示屏专用系列光刻浆料项目领导者通过定期会议和即时沟通工具，指导团队应对危机，保持团队稳定运行。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随着危机得到初步控制，彩色等离子体显示屏专用系列光刻浆料项目团队转向制定恢复计划，以确保彩色等离子体显示屏专用系列光刻浆料项目能够从中迅速恢复。主要恢复计划包括：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修复受损的进度计划：重新评估彩色等离子体显示屏专用系列光刻浆料项目进度，制定修复计划，确保彩色等离子体显示屏专用系列光刻浆料项目尽快回归正常进程。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重新调整资源分配：优化资源分配，确保彩色等离子体显示屏专用系列光刻浆料项目在有限资源下高效运转。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风险管理机制加强：对彩色等离子体显示屏专用系列光刻浆料项目风险进行全面评估，制定更强化的风险管理策略，以预防未来可能的危机。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46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25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的技术管理特点体现在其创新导向。通过引入最先进的技术趋势和解决方案，彩色等离子体显示屏专用系列光刻浆料项目致力于提升科技含量、提高质量和效率水平。这意味着我们将采用最新的工具和方法，确保彩色等离子体显示屏专用系列光刻浆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等离子体显示屏专用系列光刻浆料项目技术管理的显著特征。通过整合不同领域的技术资源，我们实现了跨学科的协同工作。这有助于优化技术架构，提高整体效能。此外，整合性策略还促进了不同技术团队之间的紧密沟通和高效合作，确保彩色等离子体显示屏专用系列光刻浆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等离子体显示屏专用系列光刻浆料项目所采用的技术。通过不断优化技术方案，彩色等离子体显示屏专用系列光刻浆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等离子体显示屏专用系列光刻浆料项目团队将在彩色等离子体显示屏专用系列光刻浆料项目初期识别可能的技术风险，并采取相应的预防和应对措施。通过建立健全的风险评估机制，彩色等离子体显示屏专用系列光刻浆料项目能够在实施过程中及时发现并解决潜在的技术问题，保障彩色等离子体显示屏专用系列光刻浆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等离子体显示屏专用系列光刻浆料项目中，技术将成为彩色等离子体显示屏专用系列光刻浆料项目成功的有力支持。这一深度剖析揭示了技术管理在彩色等离子体显示屏专用系列光刻浆料项目实施中的关键作用，为彩色等离子体显示屏专用系列光刻浆料项目的技术基础奠定了坚实的基础。</w:t>
      </w:r>
    </w:p>
    <w:p>
      <w:pPr>
        <w:pStyle w:val="Heading2"/>
        <w:ind w:firstLine="560" w:firstLineChars="200"/>
        <w:rPr>
          <w:rFonts w:ascii="仿宋" w:eastAsia="仿宋" w:hAnsi="仿宋" w:cs="仿宋" w:hint="eastAsia"/>
          <w:sz w:val="28"/>
          <w:lang w:eastAsia="zh-CN"/>
        </w:rPr>
      </w:pPr>
      <w:bookmarkStart w:id="14" w:name="_Toc24497"/>
      <w:r>
        <w:rPr>
          <w:rFonts w:ascii="仿宋" w:eastAsia="仿宋" w:hAnsi="仿宋" w:cs="仿宋" w:hint="eastAsia"/>
          <w:sz w:val="28"/>
          <w:lang w:eastAsia="zh-CN"/>
        </w:rPr>
        <w:t>(二)、彩色等离子体显示屏专用系列光刻浆料项目工艺技术设计方案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等离子体显示屏专用系列光刻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等离子体显示屏专用系列光刻浆料项目将严格按照相关行业规范要求进行组织。通过有效控制产品质量，彩色等离子体显示屏专用系列光刻浆料项目将致力于为顾客提供优质的彩色等离子体显示屏专用系列光刻浆料项目产品和良好的服务。这体现了彩色等离子体显示屏专用系列光刻浆料项目对于生产活动合规性和质量标准的高度重视，为彩色等离子体显示屏专用系列光刻浆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等离子体显示屏专用系列光刻浆料项目注重生态效益和清洁生产原则。彩色等离子体显示屏专用系列光刻浆料项目建设将紧密结合地方特色经济发展，与社会经济发展规划和区域环境保护规划方案相协调一致。通过与当地区域自然生态系统的结合，彩色等离子体显示屏专用系列光刻浆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等离子体显示屏专用系列光刻浆料项目产品具有多样化的客户需求和个性化的特点。因此，彩色等离子体显示屏专用系列光刻浆料项目产品规格品种多样，且单批生产数量较小。为满足这一特点，彩色等离子体显示屏专用系列光刻浆料项目承办单位将建设先进的柔性制造生产线。通过广泛应用柔性制造技术，彩色等离子体显示屏专用系列光刻浆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彩色等离子体显示屏专用系列光刻浆料项目采用的技术具有较高的技术含量和自动化水平，处于国内先进水平。这一技术选用不仅体现了对生产效率、质量和环境友好性的高标准要求，同时为彩色等离子体显示屏专用系列光刻浆料项目的可持续发展奠定了坚实的基础。</w:t>
      </w:r>
    </w:p>
    <w:p>
      <w:pPr>
        <w:pStyle w:val="Heading2"/>
        <w:ind w:firstLine="560" w:firstLineChars="200"/>
        <w:rPr>
          <w:rFonts w:ascii="仿宋" w:eastAsia="仿宋" w:hAnsi="仿宋" w:cs="仿宋" w:hint="eastAsia"/>
          <w:sz w:val="28"/>
          <w:lang w:eastAsia="zh-CN"/>
        </w:rPr>
      </w:pPr>
      <w:bookmarkStart w:id="15" w:name="_Toc829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等离子体显示屏专用系列光刻浆料项目的高效生产和技术实施，我们制定了一套精心设计的设备选型方案，以满足彩色等离子体显示屏专用系列光刻浆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等离子体显示屏专用系列光刻浆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色等离子体显示屏专用系列光刻浆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607"/>
      <w:r>
        <w:rPr>
          <w:rFonts w:ascii="仿宋" w:eastAsia="仿宋" w:hAnsi="仿宋" w:cs="仿宋" w:hint="eastAsia"/>
          <w:sz w:val="28"/>
          <w:lang w:eastAsia="zh-CN"/>
        </w:rPr>
        <w:t>五、彩色等离子体显示屏专用系列光刻浆料项目文档管理</w:t>
      </w:r>
      <w:bookmarkEnd w:id="16"/>
    </w:p>
    <w:p>
      <w:pPr>
        <w:pStyle w:val="Heading2"/>
        <w:rPr>
          <w:rFonts w:ascii="仿宋" w:eastAsia="仿宋" w:hAnsi="仿宋" w:cs="仿宋" w:hint="eastAsia"/>
          <w:lang w:eastAsia="zh-CN"/>
        </w:rPr>
      </w:pPr>
      <w:bookmarkStart w:id="17" w:name="_Toc2108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彩色等离子体显示屏专用系列光刻浆料项目高度重视文档的质量和准确性，以支持彩色等离子体显示屏专用系列光刻浆料项目的各项活动和决策。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https://d.book118.com/518012076123006036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41769"/>
    <w:rsid w:val="71841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1207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2024-02-10T16:44:00Z</dcterms:created>
  <dcterms:modified xsi:type="dcterms:W3CDTF">2024-02-10T16:44:51Z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907192E0FBB54A96A919CA5A36A7E3D8_11</vt:lpwstr>
  </property>
  <property fmtid="{D5CDD505-2E9C-101B-9397-08002B2CF9AE}" pid="3" name="KSOProductBuildVer">
    <vt:lpwstr>2052-12.1.0.16250</vt:lpwstr>
  </property>
</Properties>
</file>