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2018-2023年长春早期教育职业学院高职单招（数学／语文／英语）历年常考试题库含答案解析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《米龙老爹》的故事背景是（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A.1848年革命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B.1870年的普法战争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C.1914年第一次世界大战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D.1830年七月革命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“快乐在人生里，好比引诱小孩子吃药的方糖，更像跑狗场里引诱狗赛跑的电兔子”所用的修辞方法是（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中国现代小说的奠基人是（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1921年7月，郭沫若和谁在日本创建了文学社团“创造社”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《秋水》中河伯“以天下之美为尽在己”中“美”的意思是指（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A.风景优美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B.水大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C.水小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D.明大理的人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下列四句中，宾语前置的一句是（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A.姜氏何厌之有?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B.公语之故，且告之悔。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C.姜氏欲之，焉辟害?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D.此四君者，皆以客之功。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A.俄国诗人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B.俄国散文随笔作家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C.俄国短篇小说之王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D.俄国政论家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下列诗歌中，同属乐府诗的是（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A.李白《行路难》、陆游《关山月》、曹操《短歌行》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B.王维《山居秋暝》、曹操《短歌行》、李白《行路难》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C.陆游《关山月》、曹操《短歌行》、屈原《国殇》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D.陆游《关山月》、白居易《杜陵叟》、王维《山居秋暝》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在屠格涅夫《门槛》中，“门槛”的象征意义是（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A.革命事业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B.参加革命的条件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C.革命征途上的艰难险阻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D.革命者的献身精神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“饮冰室主人”指的是（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《史记》的作者是（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C.班固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https://d.book118.com/518030026135006040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518030026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