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Heading3"/>
        <w:numPr>
          <w:numId w:val="0"/>
        </w:numPr>
        <w:bidi w:val="0"/>
        <w:ind w:leftChars="0"/>
        <w:rPr>
          <w:rFonts w:hint="eastAsia"/>
        </w:rPr>
      </w:pPr>
      <w:bookmarkStart w:id="0" w:name="_Toc1139"/>
    </w:p>
    <w:p>
      <w:pPr>
        <w:pStyle w:val="Heading3"/>
        <w:numPr>
          <w:numId w:val="0"/>
        </w:numPr>
        <w:bidi w:val="0"/>
        <w:ind w:leftChars="0"/>
        <w:rPr>
          <w:rFonts w:hint="eastAsia"/>
        </w:rPr>
      </w:pPr>
    </w:p>
    <w:p>
      <w:pPr>
        <w:pStyle w:val="Heading3"/>
        <w:numPr>
          <w:numId w:val="0"/>
        </w:numPr>
        <w:bidi w:val="0"/>
        <w:ind w:leftChars="0"/>
        <w:rPr>
          <w:rFonts w:hint="eastAsia"/>
        </w:rPr>
      </w:pPr>
    </w:p>
    <w:p>
      <w:pPr>
        <w:pStyle w:val="Heading3"/>
        <w:numPr>
          <w:numId w:val="0"/>
        </w:numPr>
        <w:bidi w:val="0"/>
        <w:ind w:leftChars="0"/>
        <w:rPr>
          <w:rFonts w:hint="eastAsia"/>
        </w:rPr>
      </w:pPr>
    </w:p>
    <w:p>
      <w:pPr>
        <w:pStyle w:val="Heading3"/>
        <w:numPr>
          <w:numId w:val="0"/>
        </w:numPr>
        <w:bidi w:val="0"/>
        <w:ind w:leftChars="0"/>
        <w:jc w:val="center"/>
        <w:rPr>
          <w:rFonts w:hint="eastAsia"/>
          <w:sz w:val="40"/>
          <w:szCs w:val="40"/>
        </w:rPr>
      </w:pPr>
      <w:bookmarkStart w:id="1" w:name="_GoBack"/>
      <w:r>
        <w:rPr>
          <w:rFonts w:hint="eastAsia"/>
          <w:sz w:val="40"/>
          <w:szCs w:val="40"/>
          <w:lang w:val="en-US" w:eastAsia="zh-CN"/>
        </w:rPr>
        <w:t>发电企业</w:t>
      </w:r>
      <w:r>
        <w:rPr>
          <w:rFonts w:hint="eastAsia"/>
          <w:sz w:val="40"/>
          <w:szCs w:val="40"/>
        </w:rPr>
        <w:t>数据仓库规划方案</w:t>
      </w:r>
      <w:bookmarkEnd w:id="0"/>
      <w:bookmarkEnd w:id="1"/>
    </w:p>
    <w:p>
      <w:pPr>
        <w:rPr>
          <w:rFonts w:hint="eastAsia"/>
          <w:sz w:val="40"/>
          <w:szCs w:val="40"/>
        </w:rPr>
      </w:pPr>
    </w:p>
    <w:p>
      <w:pPr>
        <w:jc w:val="center"/>
        <w:rPr>
          <w:rFonts w:hint="default"/>
          <w:sz w:val="40"/>
          <w:szCs w:val="40"/>
        </w:rPr>
      </w:pPr>
      <w:r>
        <w:rPr>
          <w:rFonts w:hint="eastAsia"/>
          <w:sz w:val="40"/>
          <w:szCs w:val="40"/>
          <w:lang w:val="en-US" w:eastAsia="zh-CN"/>
        </w:rPr>
        <w:t>2024</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w:type="default" r:id="rId5"/>
          <w:pgSz w:w="11906" w:h="16838"/>
          <w:pgMar w:top="1440" w:right="1800" w:bottom="1440" w:left="1800" w:header="851" w:footer="992" w:gutter="0"/>
          <w:pgNumType w:fmt="decimal" w:start="1"/>
          <w:cols w:num="1" w:space="425"/>
          <w:docGrid w:type="lines" w:linePitch="312" w:charSpace="0"/>
        </w:sectPr>
      </w:pPr>
    </w:p>
    <w:sdt>
      <w:sdtPr>
        <w:rPr>
          <w:rFonts w:ascii="宋体" w:eastAsia="宋体" w:hAnsi="宋体" w:cs="Times New Roman"/>
          <w:kern w:val="2"/>
          <w:sz w:val="21"/>
          <w:szCs w:val="24"/>
          <w:lang w:val="en-US" w:eastAsia="zh-CN" w:bidi="ar-SA"/>
        </w:rPr>
        <w:id w:val="147480234"/>
        <w:docPartObj>
          <w:docPartGallery w:val="Table of Contents"/>
          <w:docPartUnique/>
        </w:docPartObj>
        <w15:color w:val="DBDBDB"/>
      </w:sdtPr>
      <w:sdtEndPr>
        <w:rPr>
          <w:rFonts w:ascii="Times New Roman" w:eastAsia="宋体" w:hAnsi="Times New Roman" w:cs="Times New Roman" w:hint="eastAsia"/>
          <w:b/>
          <w:kern w:val="2"/>
          <w:sz w:val="24"/>
          <w:szCs w:val="24"/>
          <w:lang w:val="en-US" w:eastAsia="zh-CN" w:bidi="ar-SA"/>
        </w:rPr>
      </w:sdtEndPr>
      <w:sdtContent>
        <w:p>
          <w:pPr>
            <w:spacing w:before="0" w:beforeLines="0" w:after="0" w:afterLines="0" w:line="240" w:lineRule="auto"/>
            <w:ind w:left="0" w:right="0" w:firstLine="0" w:leftChars="0" w:rightChars="0" w:firstLineChars="0"/>
            <w:jc w:val="center"/>
          </w:pPr>
          <w:r>
            <w:rPr>
              <w:rFonts w:ascii="宋体" w:eastAsia="宋体" w:hAnsi="宋体"/>
              <w:b/>
              <w:bCs/>
              <w:sz w:val="28"/>
              <w:szCs w:val="36"/>
            </w:rPr>
            <w:t>目录</w:t>
          </w:r>
        </w:p>
        <w:p>
          <w:pPr>
            <w:pStyle w:val="WPSOffice1"/>
            <w:tabs>
              <w:tab w:val="right" w:leader="dot" w:pos="8306"/>
            </w:tabs>
            <w:rPr>
              <w:b/>
            </w:rPr>
          </w:pPr>
          <w:r>
            <w:rPr>
              <w:rFonts w:hint="eastAsia"/>
            </w:rPr>
            <w:fldChar w:fldCharType="begin"/>
          </w:r>
          <w:r>
            <w:rPr>
              <w:rFonts w:hint="eastAsia"/>
            </w:rPr>
            <w:instrText xml:space="preserve">TOC \o "1-2" \h \u </w:instrText>
          </w:r>
          <w:r>
            <w:rPr>
              <w:rFonts w:hint="eastAsia"/>
            </w:rPr>
            <w:fldChar w:fldCharType="separate"/>
          </w:r>
          <w:hyperlink w:anchor="_Toc30713" w:history="1">
            <w:r>
              <w:rPr>
                <w:rFonts w:hint="default"/>
                <w:b/>
              </w:rPr>
              <w:t xml:space="preserve">1.1. </w:t>
            </w:r>
            <w:r>
              <w:rPr>
                <w:rFonts w:hint="eastAsia"/>
                <w:b/>
              </w:rPr>
              <w:t>数据仓库概述</w:t>
            </w:r>
            <w:r>
              <w:rPr>
                <w:b/>
              </w:rPr>
              <w:tab/>
            </w:r>
            <w:r>
              <w:rPr>
                <w:b/>
              </w:rPr>
              <w:fldChar w:fldCharType="begin"/>
            </w:r>
            <w:r>
              <w:rPr>
                <w:b/>
              </w:rPr>
              <w:instrText xml:space="preserve"> PAGEREF _Toc30713 \h </w:instrText>
            </w:r>
            <w:r>
              <w:rPr>
                <w:b/>
              </w:rPr>
              <w:fldChar w:fldCharType="separate"/>
            </w:r>
            <w:r>
              <w:rPr>
                <w:b/>
              </w:rPr>
              <w:t>2</w:t>
            </w:r>
            <w:r>
              <w:rPr>
                <w:b/>
              </w:rPr>
              <w:fldChar w:fldCharType="end"/>
            </w:r>
          </w:hyperlink>
        </w:p>
        <w:p>
          <w:pPr>
            <w:pStyle w:val="WPSOffice1"/>
            <w:tabs>
              <w:tab w:val="right" w:leader="dot" w:pos="8306"/>
            </w:tabs>
            <w:rPr>
              <w:b/>
            </w:rPr>
          </w:pPr>
          <w:hyperlink w:anchor="_Toc28462" w:history="1">
            <w:r>
              <w:rPr>
                <w:rFonts w:hint="default"/>
                <w:b/>
              </w:rPr>
              <w:t xml:space="preserve">1.2. </w:t>
            </w:r>
            <w:r>
              <w:rPr>
                <w:rFonts w:hint="eastAsia"/>
                <w:b/>
              </w:rPr>
              <w:t>业务场景及需求分析</w:t>
            </w:r>
            <w:r>
              <w:rPr>
                <w:b/>
              </w:rPr>
              <w:tab/>
            </w:r>
            <w:r>
              <w:rPr>
                <w:b/>
              </w:rPr>
              <w:fldChar w:fldCharType="begin"/>
            </w:r>
            <w:r>
              <w:rPr>
                <w:b/>
              </w:rPr>
              <w:instrText xml:space="preserve"> PAGEREF _Toc28462 \h </w:instrText>
            </w:r>
            <w:r>
              <w:rPr>
                <w:b/>
              </w:rPr>
              <w:fldChar w:fldCharType="separate"/>
            </w:r>
            <w:r>
              <w:rPr>
                <w:b/>
              </w:rPr>
              <w:t>3</w:t>
            </w:r>
            <w:r>
              <w:rPr>
                <w:b/>
              </w:rPr>
              <w:fldChar w:fldCharType="end"/>
            </w:r>
          </w:hyperlink>
        </w:p>
        <w:p>
          <w:pPr>
            <w:pStyle w:val="WPSOffice2"/>
            <w:tabs>
              <w:tab w:val="right" w:leader="dot" w:pos="8306"/>
            </w:tabs>
          </w:pPr>
          <w:hyperlink w:anchor="_Toc10565" w:history="1">
            <w:r>
              <w:rPr>
                <w:rFonts w:hint="default"/>
              </w:rPr>
              <w:t xml:space="preserve">1.2.1. </w:t>
            </w:r>
            <w:r>
              <w:t>实时入仓和实时分析</w:t>
            </w:r>
            <w:r>
              <w:tab/>
            </w:r>
            <w:r>
              <w:fldChar w:fldCharType="begin"/>
            </w:r>
            <w:r>
              <w:instrText xml:space="preserve"> PAGEREF _Toc10565 \h </w:instrText>
            </w:r>
            <w:r>
              <w:fldChar w:fldCharType="separate"/>
            </w:r>
            <w:r>
              <w:t>4</w:t>
            </w:r>
            <w:r>
              <w:fldChar w:fldCharType="end"/>
            </w:r>
          </w:hyperlink>
        </w:p>
        <w:p>
          <w:pPr>
            <w:pStyle w:val="WPSOffice2"/>
            <w:tabs>
              <w:tab w:val="right" w:leader="dot" w:pos="8306"/>
            </w:tabs>
          </w:pPr>
          <w:hyperlink w:anchor="_Toc20945" w:history="1">
            <w:r>
              <w:rPr>
                <w:rFonts w:hint="default"/>
              </w:rPr>
              <w:t xml:space="preserve">1.2.2. </w:t>
            </w:r>
            <w:r>
              <w:t>数据汇聚和数据治理</w:t>
            </w:r>
            <w:r>
              <w:tab/>
            </w:r>
            <w:r>
              <w:fldChar w:fldCharType="begin"/>
            </w:r>
            <w:r>
              <w:instrText xml:space="preserve"> PAGEREF _Toc20945 \h </w:instrText>
            </w:r>
            <w:r>
              <w:fldChar w:fldCharType="separate"/>
            </w:r>
            <w:r>
              <w:t>4</w:t>
            </w:r>
            <w:r>
              <w:fldChar w:fldCharType="end"/>
            </w:r>
          </w:hyperlink>
        </w:p>
        <w:p>
          <w:pPr>
            <w:pStyle w:val="WPSOffice2"/>
            <w:tabs>
              <w:tab w:val="right" w:leader="dot" w:pos="8306"/>
            </w:tabs>
          </w:pPr>
          <w:hyperlink w:anchor="_Toc29158" w:history="1">
            <w:r>
              <w:rPr>
                <w:rFonts w:hint="default"/>
              </w:rPr>
              <w:t xml:space="preserve">1.2.3. </w:t>
            </w:r>
            <w:r>
              <w:t>大数据离线计算生成专题库</w:t>
            </w:r>
            <w:r>
              <w:tab/>
            </w:r>
            <w:r>
              <w:fldChar w:fldCharType="begin"/>
            </w:r>
            <w:r>
              <w:instrText xml:space="preserve"> PAGEREF _Toc29158 \h </w:instrText>
            </w:r>
            <w:r>
              <w:fldChar w:fldCharType="separate"/>
            </w:r>
            <w:r>
              <w:t>5</w:t>
            </w:r>
            <w:r>
              <w:fldChar w:fldCharType="end"/>
            </w:r>
          </w:hyperlink>
        </w:p>
        <w:p>
          <w:pPr>
            <w:pStyle w:val="WPSOffice1"/>
            <w:tabs>
              <w:tab w:val="right" w:leader="dot" w:pos="8306"/>
            </w:tabs>
            <w:rPr>
              <w:b/>
            </w:rPr>
          </w:pPr>
          <w:hyperlink w:anchor="_Toc10728" w:history="1">
            <w:r>
              <w:rPr>
                <w:rFonts w:hint="default"/>
                <w:b/>
              </w:rPr>
              <w:t xml:space="preserve">1.3. </w:t>
            </w:r>
            <w:r>
              <w:rPr>
                <w:rFonts w:hint="eastAsia"/>
                <w:b/>
              </w:rPr>
              <w:t>设计原则</w:t>
            </w:r>
            <w:r>
              <w:rPr>
                <w:b/>
              </w:rPr>
              <w:tab/>
            </w:r>
            <w:r>
              <w:rPr>
                <w:b/>
              </w:rPr>
              <w:fldChar w:fldCharType="begin"/>
            </w:r>
            <w:r>
              <w:rPr>
                <w:b/>
              </w:rPr>
              <w:instrText xml:space="preserve"> PAGEREF _Toc10728 \h </w:instrText>
            </w:r>
            <w:r>
              <w:rPr>
                <w:b/>
              </w:rPr>
              <w:fldChar w:fldCharType="separate"/>
            </w:r>
            <w:r>
              <w:rPr>
                <w:b/>
              </w:rPr>
              <w:t>5</w:t>
            </w:r>
            <w:r>
              <w:rPr>
                <w:b/>
              </w:rPr>
              <w:fldChar w:fldCharType="end"/>
            </w:r>
          </w:hyperlink>
        </w:p>
        <w:p>
          <w:pPr>
            <w:pStyle w:val="WPSOffice2"/>
            <w:tabs>
              <w:tab w:val="right" w:leader="dot" w:pos="8306"/>
            </w:tabs>
          </w:pPr>
          <w:hyperlink w:anchor="_Toc18642" w:history="1">
            <w:r>
              <w:rPr>
                <w:rFonts w:hint="default"/>
              </w:rPr>
              <w:t xml:space="preserve">1.3.1. </w:t>
            </w:r>
            <w:r>
              <w:t>总体架构</w:t>
            </w:r>
            <w:r>
              <w:rPr>
                <w:rFonts w:hint="eastAsia"/>
              </w:rPr>
              <w:t>设计</w:t>
            </w:r>
            <w:r>
              <w:tab/>
            </w:r>
            <w:r>
              <w:fldChar w:fldCharType="begin"/>
            </w:r>
            <w:r>
              <w:instrText xml:space="preserve"> PAGEREF _Toc18642 \h </w:instrText>
            </w:r>
            <w:r>
              <w:fldChar w:fldCharType="separate"/>
            </w:r>
            <w:r>
              <w:t>6</w:t>
            </w:r>
            <w:r>
              <w:fldChar w:fldCharType="end"/>
            </w:r>
          </w:hyperlink>
        </w:p>
        <w:p>
          <w:pPr>
            <w:pStyle w:val="WPSOffice2"/>
            <w:tabs>
              <w:tab w:val="right" w:leader="dot" w:pos="8306"/>
            </w:tabs>
          </w:pPr>
          <w:hyperlink w:anchor="_Toc10292" w:history="1">
            <w:r>
              <w:rPr>
                <w:rFonts w:hint="default"/>
              </w:rPr>
              <w:t xml:space="preserve">1.3.2. </w:t>
            </w:r>
            <w:r>
              <w:rPr>
                <w:rFonts w:hint="eastAsia"/>
              </w:rPr>
              <w:t>功能设计</w:t>
            </w:r>
            <w:r>
              <w:tab/>
            </w:r>
            <w:r>
              <w:fldChar w:fldCharType="begin"/>
            </w:r>
            <w:r>
              <w:instrText xml:space="preserve"> PAGEREF _Toc10292 \h </w:instrText>
            </w:r>
            <w:r>
              <w:fldChar w:fldCharType="separate"/>
            </w:r>
            <w:r>
              <w:t>9</w:t>
            </w:r>
            <w:r>
              <w:fldChar w:fldCharType="end"/>
            </w:r>
          </w:hyperlink>
        </w:p>
        <w:p>
          <w:pPr>
            <w:pStyle w:val="WPSOffice2"/>
            <w:tabs>
              <w:tab w:val="right" w:leader="dot" w:pos="8306"/>
            </w:tabs>
          </w:pPr>
          <w:hyperlink w:anchor="_Toc25306" w:history="1">
            <w:r>
              <w:rPr>
                <w:rFonts w:hint="default"/>
              </w:rPr>
              <w:t xml:space="preserve">1.3.3. </w:t>
            </w:r>
            <w:r>
              <w:rPr>
                <w:rFonts w:hint="eastAsia"/>
              </w:rPr>
              <w:t>系统运维管理设计</w:t>
            </w:r>
            <w:r>
              <w:tab/>
            </w:r>
            <w:r>
              <w:fldChar w:fldCharType="begin"/>
            </w:r>
            <w:r>
              <w:instrText xml:space="preserve"> PAGEREF _Toc25306 \h </w:instrText>
            </w:r>
            <w:r>
              <w:fldChar w:fldCharType="separate"/>
            </w:r>
            <w:r>
              <w:t>17</w:t>
            </w:r>
            <w:r>
              <w:fldChar w:fldCharType="end"/>
            </w:r>
          </w:hyperlink>
        </w:p>
        <w:p>
          <w:pPr>
            <w:pStyle w:val="WPSOffice2"/>
            <w:tabs>
              <w:tab w:val="right" w:leader="dot" w:pos="8306"/>
            </w:tabs>
          </w:pPr>
          <w:hyperlink w:anchor="_Toc16629" w:history="1">
            <w:r>
              <w:rPr>
                <w:rFonts w:hint="default"/>
              </w:rPr>
              <w:t xml:space="preserve">1.3.4. </w:t>
            </w:r>
            <w:r>
              <w:t>兼容性</w:t>
            </w:r>
            <w:r>
              <w:rPr>
                <w:rFonts w:hint="eastAsia"/>
              </w:rPr>
              <w:t>设计</w:t>
            </w:r>
            <w:r>
              <w:tab/>
            </w:r>
            <w:r>
              <w:fldChar w:fldCharType="begin"/>
            </w:r>
            <w:r>
              <w:instrText xml:space="preserve"> PAGEREF _Toc16629 \h </w:instrText>
            </w:r>
            <w:r>
              <w:fldChar w:fldCharType="separate"/>
            </w:r>
            <w:r>
              <w:t>18</w:t>
            </w:r>
            <w:r>
              <w:fldChar w:fldCharType="end"/>
            </w:r>
          </w:hyperlink>
        </w:p>
        <w:p>
          <w:pPr>
            <w:pStyle w:val="WPSOffice2"/>
            <w:tabs>
              <w:tab w:val="right" w:leader="dot" w:pos="8306"/>
            </w:tabs>
          </w:pPr>
          <w:hyperlink w:anchor="_Toc29483" w:history="1">
            <w:r>
              <w:rPr>
                <w:rFonts w:hint="default"/>
              </w:rPr>
              <w:t xml:space="preserve">1.3.5. </w:t>
            </w:r>
            <w:r>
              <w:t>可靠性</w:t>
            </w:r>
            <w:r>
              <w:rPr>
                <w:rFonts w:hint="eastAsia"/>
              </w:rPr>
              <w:t>设计</w:t>
            </w:r>
            <w:r>
              <w:tab/>
            </w:r>
            <w:r>
              <w:fldChar w:fldCharType="begin"/>
            </w:r>
            <w:r>
              <w:instrText xml:space="preserve"> PAGEREF _Toc29483 \h </w:instrText>
            </w:r>
            <w:r>
              <w:fldChar w:fldCharType="separate"/>
            </w:r>
            <w:r>
              <w:t>19</w:t>
            </w:r>
            <w:r>
              <w:fldChar w:fldCharType="end"/>
            </w:r>
          </w:hyperlink>
        </w:p>
        <w:p>
          <w:pPr>
            <w:pStyle w:val="WPSOffice2"/>
            <w:tabs>
              <w:tab w:val="right" w:leader="dot" w:pos="8306"/>
            </w:tabs>
          </w:pPr>
          <w:hyperlink w:anchor="_Toc21221" w:history="1">
            <w:r>
              <w:rPr>
                <w:rFonts w:hint="default"/>
              </w:rPr>
              <w:t xml:space="preserve">1.3.6. </w:t>
            </w:r>
            <w:r>
              <w:t>安全性</w:t>
            </w:r>
            <w:r>
              <w:rPr>
                <w:rFonts w:hint="eastAsia"/>
              </w:rPr>
              <w:t>设计</w:t>
            </w:r>
            <w:r>
              <w:tab/>
            </w:r>
            <w:r>
              <w:fldChar w:fldCharType="begin"/>
            </w:r>
            <w:r>
              <w:instrText xml:space="preserve"> PAGEREF _Toc21221 \h </w:instrText>
            </w:r>
            <w:r>
              <w:fldChar w:fldCharType="separate"/>
            </w:r>
            <w:r>
              <w:t>19</w:t>
            </w:r>
            <w:r>
              <w:fldChar w:fldCharType="end"/>
            </w:r>
          </w:hyperlink>
        </w:p>
        <w:p>
          <w:pPr>
            <w:pStyle w:val="WPSOffice2"/>
            <w:tabs>
              <w:tab w:val="right" w:leader="dot" w:pos="8306"/>
            </w:tabs>
          </w:pPr>
          <w:hyperlink w:anchor="_Toc31952" w:history="1">
            <w:r>
              <w:rPr>
                <w:rFonts w:hint="default"/>
              </w:rPr>
              <w:t xml:space="preserve">1.3.7. </w:t>
            </w:r>
            <w:r>
              <w:t>先进性</w:t>
            </w:r>
            <w:r>
              <w:rPr>
                <w:rFonts w:hint="eastAsia"/>
              </w:rPr>
              <w:t>说明</w:t>
            </w:r>
            <w:r>
              <w:tab/>
            </w:r>
            <w:r>
              <w:fldChar w:fldCharType="begin"/>
            </w:r>
            <w:r>
              <w:instrText xml:space="preserve"> PAGEREF _Toc31952 \h </w:instrText>
            </w:r>
            <w:r>
              <w:fldChar w:fldCharType="separate"/>
            </w:r>
            <w:r>
              <w:t>21</w:t>
            </w:r>
            <w:r>
              <w:fldChar w:fldCharType="end"/>
            </w:r>
          </w:hyperlink>
        </w:p>
        <w:p>
          <w:pPr>
            <w:pStyle w:val="WPSOffice2"/>
            <w:tabs>
              <w:tab w:val="right" w:leader="dot" w:pos="8306"/>
            </w:tabs>
          </w:pPr>
          <w:hyperlink w:anchor="_Toc24376" w:history="1">
            <w:r>
              <w:rPr>
                <w:rFonts w:hint="default"/>
              </w:rPr>
              <w:t xml:space="preserve">1.3.8. </w:t>
            </w:r>
            <w:r>
              <w:rPr>
                <w:rFonts w:hint="eastAsia"/>
              </w:rPr>
              <w:t>存储规划设计</w:t>
            </w:r>
            <w:r>
              <w:tab/>
            </w:r>
            <w:r>
              <w:fldChar w:fldCharType="begin"/>
            </w:r>
            <w:r>
              <w:instrText xml:space="preserve"> PAGEREF _Toc24376 \h </w:instrText>
            </w:r>
            <w:r>
              <w:fldChar w:fldCharType="separate"/>
            </w:r>
            <w:r>
              <w:t>22</w:t>
            </w:r>
            <w:r>
              <w:fldChar w:fldCharType="end"/>
            </w:r>
          </w:hyperlink>
        </w:p>
        <w:p>
          <w:pPr>
            <w:pStyle w:val="WPSOffice1"/>
            <w:tabs>
              <w:tab w:val="right" w:leader="dot" w:pos="8306"/>
            </w:tabs>
            <w:rPr>
              <w:b/>
            </w:rPr>
          </w:pPr>
          <w:hyperlink w:anchor="_Toc9530" w:history="1">
            <w:r>
              <w:rPr>
                <w:b/>
              </w:rPr>
              <w:t>2.1</w:t>
            </w:r>
            <w:r>
              <w:rPr>
                <w:rFonts w:hint="eastAsia"/>
                <w:b/>
              </w:rPr>
              <w:t>数据仓库分层架构规划</w:t>
            </w:r>
            <w:r>
              <w:rPr>
                <w:b/>
              </w:rPr>
              <w:tab/>
            </w:r>
            <w:r>
              <w:rPr>
                <w:b/>
              </w:rPr>
              <w:fldChar w:fldCharType="begin"/>
            </w:r>
            <w:r>
              <w:rPr>
                <w:b/>
              </w:rPr>
              <w:instrText xml:space="preserve"> PAGEREF _Toc9530 \h </w:instrText>
            </w:r>
            <w:r>
              <w:rPr>
                <w:b/>
              </w:rPr>
              <w:fldChar w:fldCharType="separate"/>
            </w:r>
            <w:r>
              <w:rPr>
                <w:b/>
              </w:rPr>
              <w:t>24</w:t>
            </w:r>
            <w:r>
              <w:rPr>
                <w:b/>
              </w:rPr>
              <w:fldChar w:fldCharType="end"/>
            </w:r>
          </w:hyperlink>
        </w:p>
        <w:p>
          <w:pPr>
            <w:pStyle w:val="WPSOffice1"/>
            <w:tabs>
              <w:tab w:val="right" w:leader="dot" w:pos="8306"/>
            </w:tabs>
            <w:rPr>
              <w:b/>
            </w:rPr>
          </w:pPr>
          <w:hyperlink w:anchor="_Toc8824" w:history="1">
            <w:r>
              <w:rPr>
                <w:b/>
              </w:rPr>
              <w:t>2.2</w:t>
            </w:r>
            <w:r>
              <w:rPr>
                <w:rFonts w:hint="eastAsia"/>
                <w:b/>
              </w:rPr>
              <w:t>数据仓库业务域规划</w:t>
            </w:r>
            <w:r>
              <w:rPr>
                <w:b/>
              </w:rPr>
              <w:tab/>
            </w:r>
            <w:r>
              <w:rPr>
                <w:b/>
              </w:rPr>
              <w:fldChar w:fldCharType="begin"/>
            </w:r>
            <w:r>
              <w:rPr>
                <w:b/>
              </w:rPr>
              <w:instrText xml:space="preserve"> PAGEREF _Toc8824 \h </w:instrText>
            </w:r>
            <w:r>
              <w:rPr>
                <w:b/>
              </w:rPr>
              <w:fldChar w:fldCharType="separate"/>
            </w:r>
            <w:r>
              <w:rPr>
                <w:b/>
              </w:rPr>
              <w:t>26</w:t>
            </w:r>
            <w:r>
              <w:rPr>
                <w:b/>
              </w:rPr>
              <w:fldChar w:fldCharType="end"/>
            </w:r>
          </w:hyperlink>
        </w:p>
        <w:p>
          <w:pPr>
            <w:pStyle w:val="WPSOffice1"/>
            <w:tabs>
              <w:tab w:val="right" w:leader="dot" w:pos="8306"/>
            </w:tabs>
            <w:rPr>
              <w:b/>
            </w:rPr>
          </w:pPr>
          <w:hyperlink w:anchor="_Toc14365" w:history="1">
            <w:r>
              <w:rPr>
                <w:b/>
              </w:rPr>
              <w:t>2.3</w:t>
            </w:r>
            <w:r>
              <w:rPr>
                <w:rFonts w:hint="eastAsia"/>
                <w:b/>
              </w:rPr>
              <w:t>数据仓库模型管理规划</w:t>
            </w:r>
            <w:r>
              <w:rPr>
                <w:b/>
              </w:rPr>
              <w:tab/>
            </w:r>
            <w:r>
              <w:rPr>
                <w:b/>
              </w:rPr>
              <w:fldChar w:fldCharType="begin"/>
            </w:r>
            <w:r>
              <w:rPr>
                <w:b/>
              </w:rPr>
              <w:instrText xml:space="preserve"> PAGEREF _Toc14365 \h </w:instrText>
            </w:r>
            <w:r>
              <w:rPr>
                <w:b/>
              </w:rPr>
              <w:fldChar w:fldCharType="separate"/>
            </w:r>
            <w:r>
              <w:rPr>
                <w:b/>
              </w:rPr>
              <w:t>27</w:t>
            </w:r>
            <w:r>
              <w:rPr>
                <w:b/>
              </w:rPr>
              <w:fldChar w:fldCharType="end"/>
            </w:r>
          </w:hyperlink>
        </w:p>
        <w:p>
          <w:pPr>
            <w:pStyle w:val="WPSOffice2"/>
            <w:tabs>
              <w:tab w:val="right" w:pos="3200"/>
              <w:tab w:val="right" w:leader="dot" w:pos="8306"/>
            </w:tabs>
          </w:pPr>
          <w:hyperlink w:anchor="_Toc7549" w:history="1">
            <w:r>
              <w:rPr>
                <w:rFonts w:hint="eastAsia"/>
              </w:rPr>
              <w:t>1.</w:t>
            </w:r>
            <w:r>
              <w:rPr>
                <w:rFonts w:hint="eastAsia"/>
              </w:rPr>
              <w:tab/>
            </w:r>
            <w:r>
              <w:rPr>
                <w:rFonts w:hint="eastAsia"/>
              </w:rPr>
              <w:t>ETL配置管理：</w:t>
            </w:r>
            <w:r>
              <w:tab/>
            </w:r>
            <w:r>
              <w:fldChar w:fldCharType="begin"/>
            </w:r>
            <w:r>
              <w:instrText xml:space="preserve"> PAGEREF _Toc7549 \h </w:instrText>
            </w:r>
            <w:r>
              <w:fldChar w:fldCharType="separate"/>
            </w:r>
            <w:r>
              <w:t>28</w:t>
            </w:r>
            <w:r>
              <w:fldChar w:fldCharType="end"/>
            </w:r>
          </w:hyperlink>
        </w:p>
        <w:p>
          <w:pPr>
            <w:pStyle w:val="WPSOffice2"/>
            <w:tabs>
              <w:tab w:val="right" w:pos="3200"/>
              <w:tab w:val="right" w:leader="dot" w:pos="8306"/>
            </w:tabs>
          </w:pPr>
          <w:hyperlink w:anchor="_Toc20261" w:history="1">
            <w:r>
              <w:rPr>
                <w:rFonts w:hint="eastAsia"/>
              </w:rPr>
              <w:t>2.</w:t>
            </w:r>
            <w:r>
              <w:rPr>
                <w:rFonts w:hint="eastAsia"/>
              </w:rPr>
              <w:tab/>
            </w:r>
            <w:r>
              <w:rPr>
                <w:rFonts w:hint="eastAsia"/>
              </w:rPr>
              <w:t>ETL元数据管理：</w:t>
            </w:r>
            <w:r>
              <w:tab/>
            </w:r>
            <w:r>
              <w:fldChar w:fldCharType="begin"/>
            </w:r>
            <w:r>
              <w:instrText xml:space="preserve"> PAGEREF _Toc20261 \h </w:instrText>
            </w:r>
            <w:r>
              <w:fldChar w:fldCharType="separate"/>
            </w:r>
            <w:r>
              <w:t>28</w:t>
            </w:r>
            <w:r>
              <w:fldChar w:fldCharType="end"/>
            </w:r>
          </w:hyperlink>
        </w:p>
        <w:p>
          <w:pPr>
            <w:pStyle w:val="WPSOffice2"/>
            <w:tabs>
              <w:tab w:val="right" w:pos="3200"/>
              <w:tab w:val="right" w:leader="dot" w:pos="8306"/>
            </w:tabs>
          </w:pPr>
          <w:hyperlink w:anchor="_Toc22214" w:history="1">
            <w:r>
              <w:rPr>
                <w:rFonts w:hint="eastAsia"/>
              </w:rPr>
              <w:t>3.</w:t>
            </w:r>
            <w:r>
              <w:rPr>
                <w:rFonts w:hint="eastAsia"/>
              </w:rPr>
              <w:tab/>
            </w:r>
            <w:r>
              <w:rPr>
                <w:rFonts w:hint="eastAsia"/>
              </w:rPr>
              <w:t>ETL资源监控及分配管理：</w:t>
            </w:r>
            <w:r>
              <w:tab/>
            </w:r>
            <w:r>
              <w:fldChar w:fldCharType="begin"/>
            </w:r>
            <w:r>
              <w:instrText xml:space="preserve"> PAGEREF _Toc22214 \h </w:instrText>
            </w:r>
            <w:r>
              <w:fldChar w:fldCharType="separate"/>
            </w:r>
            <w:r>
              <w:t>28</w:t>
            </w:r>
            <w:r>
              <w:fldChar w:fldCharType="end"/>
            </w:r>
          </w:hyperlink>
        </w:p>
        <w:p>
          <w:pPr>
            <w:pStyle w:val="WPSOffice2"/>
            <w:tabs>
              <w:tab w:val="right" w:pos="3200"/>
              <w:tab w:val="right" w:leader="dot" w:pos="8306"/>
            </w:tabs>
          </w:pPr>
          <w:hyperlink w:anchor="_Toc25672" w:history="1">
            <w:r>
              <w:rPr>
                <w:rFonts w:hint="eastAsia"/>
              </w:rPr>
              <w:t>4.</w:t>
            </w:r>
            <w:r>
              <w:rPr>
                <w:rFonts w:hint="eastAsia"/>
              </w:rPr>
              <w:tab/>
            </w:r>
            <w:r>
              <w:rPr>
                <w:rFonts w:hint="eastAsia"/>
              </w:rPr>
              <w:t>ETL执行监控管理：</w:t>
            </w:r>
            <w:r>
              <w:tab/>
            </w:r>
            <w:r>
              <w:fldChar w:fldCharType="begin"/>
            </w:r>
            <w:r>
              <w:instrText xml:space="preserve"> PAGEREF _Toc25672 \h </w:instrText>
            </w:r>
            <w:r>
              <w:fldChar w:fldCharType="separate"/>
            </w:r>
            <w:r>
              <w:t>29</w:t>
            </w:r>
            <w:r>
              <w:fldChar w:fldCharType="end"/>
            </w:r>
          </w:hyperlink>
        </w:p>
        <w:p>
          <w:pPr>
            <w:pStyle w:val="WPSOffice2"/>
            <w:tabs>
              <w:tab w:val="right" w:pos="3200"/>
              <w:tab w:val="right" w:leader="dot" w:pos="8306"/>
            </w:tabs>
          </w:pPr>
          <w:hyperlink w:anchor="_Toc8194" w:history="1">
            <w:r>
              <w:rPr>
                <w:rFonts w:hint="eastAsia"/>
              </w:rPr>
              <w:t>5.</w:t>
            </w:r>
            <w:r>
              <w:rPr>
                <w:rFonts w:hint="eastAsia"/>
              </w:rPr>
              <w:tab/>
            </w:r>
            <w:r>
              <w:rPr>
                <w:rFonts w:hint="eastAsia"/>
              </w:rPr>
              <w:t>ETL报障处理管理：</w:t>
            </w:r>
            <w:r>
              <w:tab/>
            </w:r>
            <w:r>
              <w:fldChar w:fldCharType="begin"/>
            </w:r>
            <w:r>
              <w:instrText xml:space="preserve"> PAGEREF _Toc8194 \h </w:instrText>
            </w:r>
            <w:r>
              <w:fldChar w:fldCharType="separate"/>
            </w:r>
            <w:r>
              <w:t>29</w:t>
            </w:r>
            <w:r>
              <w:fldChar w:fldCharType="end"/>
            </w:r>
          </w:hyperlink>
        </w:p>
        <w:p>
          <w:pPr>
            <w:pStyle w:val="WPSOffice1"/>
            <w:tabs>
              <w:tab w:val="right" w:leader="dot" w:pos="8306"/>
            </w:tabs>
            <w:rPr>
              <w:b/>
            </w:rPr>
          </w:pPr>
          <w:hyperlink w:anchor="_Toc3015" w:history="1">
            <w:r>
              <w:rPr>
                <w:b/>
              </w:rPr>
              <w:t>2.4</w:t>
            </w:r>
            <w:r>
              <w:rPr>
                <w:rFonts w:hint="eastAsia"/>
                <w:b/>
              </w:rPr>
              <w:t>数据仓库模型设计方法</w:t>
            </w:r>
            <w:r>
              <w:rPr>
                <w:b/>
              </w:rPr>
              <w:tab/>
            </w:r>
            <w:r>
              <w:rPr>
                <w:b/>
              </w:rPr>
              <w:fldChar w:fldCharType="begin"/>
            </w:r>
            <w:r>
              <w:rPr>
                <w:b/>
              </w:rPr>
              <w:instrText xml:space="preserve"> PAGEREF _Toc3015 \h </w:instrText>
            </w:r>
            <w:r>
              <w:rPr>
                <w:b/>
              </w:rPr>
              <w:fldChar w:fldCharType="separate"/>
            </w:r>
            <w:r>
              <w:rPr>
                <w:b/>
              </w:rPr>
              <w:t>29</w:t>
            </w:r>
            <w:r>
              <w:rPr>
                <w:b/>
              </w:rPr>
              <w:fldChar w:fldCharType="end"/>
            </w:r>
          </w:hyperlink>
        </w:p>
        <w:p>
          <w:pPr>
            <w:rPr>
              <w:rFonts w:hint="eastAsia"/>
              <w:b/>
            </w:rPr>
          </w:pPr>
          <w:r>
            <w:rPr>
              <w:rFonts w:hint="eastAsia"/>
              <w:b/>
            </w:rPr>
            <w:fldChar w:fldCharType="end"/>
          </w:r>
        </w:p>
      </w:sdtContent>
    </w:sdt>
    <w:p>
      <w:pPr>
        <w:rPr>
          <w:rFonts w:hint="eastAsia"/>
          <w:b/>
        </w:rPr>
      </w:pPr>
    </w:p>
    <w:p>
      <w:pPr>
        <w:rPr>
          <w:rFonts w:hint="eastAsia"/>
          <w:b/>
        </w:rPr>
      </w:pPr>
    </w:p>
    <w:p>
      <w:pPr>
        <w:rPr>
          <w:rFonts w:hint="eastAsia"/>
          <w:b/>
        </w:rPr>
      </w:pPr>
    </w:p>
    <w:p>
      <w:pPr>
        <w:rPr>
          <w:rFonts w:hint="eastAsia"/>
          <w:b/>
        </w:rPr>
      </w:pPr>
    </w:p>
    <w:p>
      <w:pPr>
        <w:rPr>
          <w:rFonts w:hint="eastAsia"/>
          <w:b/>
        </w:rPr>
      </w:pPr>
    </w:p>
    <w:p>
      <w:pPr>
        <w:rPr>
          <w:rFonts w:hint="eastAsia"/>
        </w:rPr>
      </w:pPr>
    </w:p>
    <w:p>
      <w:pPr>
        <w:rPr>
          <w:rFonts w:hint="eastAsia"/>
        </w:rPr>
      </w:pPr>
    </w:p>
    <w:p>
      <w:pPr>
        <w:rPr>
          <w:rFonts w:hint="eastAsia"/>
        </w:rPr>
      </w:pPr>
    </w:p>
    <w:p>
      <w:pPr>
        <w:rPr>
          <w:rFonts w:hint="eastAsia"/>
        </w:rPr>
      </w:pPr>
    </w:p>
    <w:p>
      <w:pPr>
        <w:rPr>
          <w:rFonts w:hint="eastAsia"/>
        </w:rPr>
        <w:sectPr>
          <w:footerReference w:type="default" r:id="rId6"/>
          <w:type w:val="nextPage"/>
          <w:pgSz w:w="11906" w:h="16838"/>
          <w:pgMar w:top="1440" w:right="1800" w:bottom="1440" w:left="1800" w:header="851" w:footer="992" w:gutter="0"/>
          <w:pgNumType w:fmt="decimal" w:start="2"/>
          <w:cols w:num="1" w:space="425"/>
          <w:titlePg w:val="0"/>
          <w:docGrid w:type="lines" w:linePitch="312" w:charSpace="0"/>
        </w:sectPr>
      </w:pPr>
    </w:p>
    <w:p>
      <w:pPr>
        <w:pStyle w:val="Heading4"/>
        <w:numPr>
          <w:ilvl w:val="3"/>
          <w:numId w:val="0"/>
        </w:numPr>
        <w:bidi w:val="0"/>
        <w:ind w:leftChars="0"/>
      </w:pPr>
      <w:r>
        <w:rPr>
          <w:rFonts w:hint="eastAsia"/>
          <w:lang w:val="en-US" w:eastAsia="zh-CN"/>
        </w:rPr>
        <w:t>1</w:t>
      </w:r>
      <w:r>
        <w:rPr>
          <w:rFonts w:hint="eastAsia"/>
        </w:rPr>
        <w:t>数据仓库</w:t>
      </w:r>
      <w:r>
        <w:rPr>
          <w:rFonts w:hint="eastAsia"/>
          <w:lang w:val="en-US" w:eastAsia="zh-CN"/>
        </w:rPr>
        <w:t>设计</w:t>
      </w:r>
    </w:p>
    <w:p>
      <w:pPr>
        <w:pStyle w:val="Heading5"/>
        <w:numPr>
          <w:ilvl w:val="1"/>
          <w:numId w:val="3"/>
        </w:numPr>
        <w:bidi w:val="0"/>
        <w:ind w:left="567" w:hanging="567" w:leftChars="0" w:firstLineChars="0"/>
      </w:pPr>
      <w:bookmarkStart w:id="2" w:name="_Toc30713"/>
      <w:r>
        <w:rPr>
          <w:rFonts w:hint="eastAsia"/>
        </w:rPr>
        <w:t>数据仓库概述</w:t>
      </w:r>
      <w:bookmarkEnd w:id="2"/>
    </w:p>
    <w:p>
      <w:pPr>
        <w:pStyle w:val="TB-"/>
        <w:ind w:firstLine="480"/>
        <w:rPr>
          <w:spacing w:val="-12"/>
        </w:rPr>
      </w:pPr>
      <w:r>
        <w:rPr>
          <w:rFonts w:hint="eastAsia"/>
        </w:rPr>
        <w:t>黄河公司目前具有大量光伏、风电、水电、火电厂等生产数据资产以及企业经营管理类数据。信息化系统建设中，数据作为系统基础支撑，需要对各类子系统所有的数据进行接入，形成系统化体系。</w:t>
      </w:r>
      <w:r>
        <w:rPr>
          <w:rFonts w:hint="eastAsia"/>
          <w:spacing w:val="-4"/>
        </w:rPr>
        <w:t>数据仓库在黄河公司相关业务系统源数据的基础上，为数据集市及分析统计、数据挖掘等应用提供基础数据支持，是生产、运行、监管、经营、分析、预</w:t>
      </w:r>
      <w:r>
        <w:rPr>
          <w:rFonts w:hint="eastAsia"/>
          <w:spacing w:val="-12"/>
        </w:rPr>
        <w:t>测系统的基础核心。</w:t>
      </w:r>
    </w:p>
    <w:p>
      <w:pPr>
        <w:pStyle w:val="Heading5"/>
        <w:numPr>
          <w:ilvl w:val="1"/>
          <w:numId w:val="3"/>
        </w:numPr>
        <w:bidi w:val="0"/>
        <w:ind w:left="567" w:hanging="567" w:leftChars="0" w:firstLineChars="0"/>
      </w:pPr>
      <w:bookmarkStart w:id="3" w:name="_Toc28462"/>
      <w:r>
        <w:rPr>
          <w:rFonts w:hint="eastAsia"/>
        </w:rPr>
        <w:t>业务场景及需求分析</w:t>
      </w:r>
      <w:bookmarkEnd w:id="3"/>
    </w:p>
    <w:p>
      <w:pPr>
        <w:pStyle w:val="TB-0"/>
      </w:pPr>
      <w:r>
        <w:drawing>
          <wp:inline distT="0" distB="0" distL="0" distR="0">
            <wp:extent cx="5248275" cy="3193415"/>
            <wp:effectExtent l="0" t="0" r="9525" b="6985"/>
            <wp:docPr id="91115" name="图片 9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5" name="图片 91115"/>
                    <pic:cNvPicPr>
                      <a:picLocks noChangeAspect="1"/>
                    </pic:cNvPicPr>
                  </pic:nvPicPr>
                  <pic:blipFill>
                    <a:blip xmlns:r="http://schemas.openxmlformats.org/officeDocument/2006/relationships" r:embed="rId7"/>
                    <a:stretch>
                      <a:fillRect/>
                    </a:stretch>
                  </pic:blipFill>
                  <pic:spPr>
                    <a:xfrm>
                      <a:off x="0" y="0"/>
                      <a:ext cx="5253858" cy="3197050"/>
                    </a:xfrm>
                    <a:prstGeom prst="rect">
                      <a:avLst/>
                    </a:prstGeom>
                  </pic:spPr>
                </pic:pic>
              </a:graphicData>
            </a:graphic>
          </wp:inline>
        </w:drawing>
      </w:r>
    </w:p>
    <w:p>
      <w:pPr>
        <w:ind w:firstLine="485" w:firstLineChars="202"/>
      </w:pPr>
      <w:r>
        <w:t>数据接入：</w:t>
      </w:r>
    </w:p>
    <w:p>
      <w:pPr>
        <w:ind w:firstLine="485" w:firstLineChars="202"/>
      </w:pPr>
      <w:r>
        <w:t>DRS：从业务数据库中实时同步增量数据；</w:t>
      </w:r>
    </w:p>
    <w:p>
      <w:pPr>
        <w:ind w:firstLine="485" w:firstLineChars="202"/>
      </w:pPr>
      <w:r>
        <w:t>Kafka：接入Kafka缓存的实时数据；</w:t>
      </w:r>
    </w:p>
    <w:p>
      <w:pPr>
        <w:ind w:firstLine="485" w:firstLineChars="202"/>
      </w:pPr>
      <w:r>
        <w:t>CDM：从业务数据库或者文本数据同步批量数据；</w:t>
      </w:r>
    </w:p>
    <w:p>
      <w:pPr>
        <w:ind w:firstLine="485" w:firstLineChars="202"/>
      </w:pPr>
      <w:r>
        <w:t>DIS：实时流数据接入。</w:t>
      </w:r>
    </w:p>
    <w:p>
      <w:pPr>
        <w:ind w:firstLine="485" w:firstLineChars="202"/>
      </w:pPr>
      <w:r>
        <w:t>数据存储：</w:t>
      </w:r>
    </w:p>
    <w:p>
      <w:pPr>
        <w:ind w:firstLine="485" w:firstLineChars="202"/>
      </w:pPr>
      <w:r>
        <w:t>本地存储：一般情况下数据存储在</w:t>
      </w:r>
      <w:r>
        <w:rPr>
          <w:rFonts w:hint="eastAsia"/>
        </w:rPr>
        <w:t>数据仓库节点</w:t>
      </w:r>
      <w:r>
        <w:t>数据盘上；</w:t>
      </w:r>
    </w:p>
    <w:p>
      <w:pPr>
        <w:ind w:firstLine="485" w:firstLineChars="202"/>
        <w:sectPr>
          <w:footerReference w:type="default" r:id="rId8"/>
          <w:type w:val="nextPage"/>
          <w:pgSz w:w="11906" w:h="16838"/>
          <w:pgMar w:top="1440" w:right="1800" w:bottom="1440" w:left="1800" w:header="851" w:footer="992" w:gutter="0"/>
          <w:pgNumType w:fmt="decimal" w:start="3"/>
          <w:cols w:num="1" w:space="425"/>
          <w:titlePg w:val="0"/>
          <w:docGrid w:type="lines" w:linePitch="312" w:charSpace="0"/>
        </w:sectPr>
      </w:pPr>
      <w:r>
        <w:t>HDFS：与大数据MRS配合方案时，大数据加工后的数据可以使用</w:t>
      </w:r>
      <w:r>
        <w:rPr>
          <w:rFonts w:hint="eastAsia"/>
        </w:rPr>
        <w:t>数据仓库</w:t>
      </w:r>
      <w:r>
        <w:t>外表方式读取；</w:t>
      </w:r>
    </w:p>
    <w:p>
      <w:pPr>
        <w:pStyle w:val="TB-"/>
        <w:ind w:firstLine="480"/>
      </w:pPr>
      <w:r>
        <w:t>OBS：大量数据导入到</w:t>
      </w:r>
      <w:r>
        <w:rPr>
          <w:rFonts w:hint="eastAsia"/>
        </w:rPr>
        <w:t>数据仓库</w:t>
      </w:r>
      <w:r>
        <w:t>时，可以先放到OBS上，再以</w:t>
      </w:r>
      <w:r>
        <w:rPr>
          <w:rFonts w:hint="eastAsia"/>
        </w:rPr>
        <w:t>数据仓库</w:t>
      </w:r>
      <w:r>
        <w:t>外表方式写入到</w:t>
      </w:r>
      <w:r>
        <w:rPr>
          <w:rFonts w:hint="eastAsia"/>
        </w:rPr>
        <w:t>数据仓库</w:t>
      </w:r>
      <w:r>
        <w:t>；或者是历史数据可以归档到OBS中，使用是可以以</w:t>
      </w:r>
      <w:r>
        <w:rPr>
          <w:rFonts w:hint="eastAsia"/>
        </w:rPr>
        <w:t>数据仓库</w:t>
      </w:r>
      <w:r>
        <w:t>外表方式读取。</w:t>
      </w:r>
    </w:p>
    <w:p>
      <w:pPr>
        <w:ind w:firstLine="485" w:firstLineChars="202"/>
      </w:pPr>
      <w:r>
        <w:t>数据治理：</w:t>
      </w:r>
      <w:r>
        <w:rPr>
          <w:rFonts w:hint="eastAsia"/>
        </w:rPr>
        <w:t>实现</w:t>
      </w:r>
      <w:r>
        <w:t>数据加工、数据治理、业务调度。</w:t>
      </w:r>
    </w:p>
    <w:p>
      <w:pPr>
        <w:ind w:firstLine="485" w:firstLineChars="202"/>
      </w:pPr>
      <w:r>
        <w:t>数据</w:t>
      </w:r>
      <w:r>
        <w:rPr>
          <w:rFonts w:hint="eastAsia"/>
        </w:rPr>
        <w:t>应用及</w:t>
      </w:r>
      <w:r>
        <w:t>BI工具：专业BI工具</w:t>
      </w:r>
      <w:r>
        <w:rPr>
          <w:rFonts w:hint="eastAsia"/>
        </w:rPr>
        <w:t>，如</w:t>
      </w:r>
      <w:r>
        <w:t>永洪、帆软。</w:t>
      </w:r>
    </w:p>
    <w:p>
      <w:pPr>
        <w:pStyle w:val="Heading6"/>
        <w:numPr>
          <w:ilvl w:val="2"/>
          <w:numId w:val="3"/>
        </w:numPr>
        <w:bidi w:val="0"/>
        <w:ind w:left="709" w:hanging="709" w:leftChars="0" w:firstLineChars="0"/>
      </w:pPr>
      <w:bookmarkStart w:id="4" w:name="_Toc256000397"/>
      <w:bookmarkStart w:id="5" w:name="_Toc10565"/>
      <w:r>
        <w:t>实时入仓和实时分析</w:t>
      </w:r>
      <w:bookmarkEnd w:id="4"/>
      <w:bookmarkEnd w:id="5"/>
    </w:p>
    <w:p>
      <w:pPr>
        <w:ind w:firstLine="0"/>
        <w:jc w:val="center"/>
      </w:pPr>
      <w:r>
        <w:drawing>
          <wp:inline distT="0" distB="0" distL="0" distR="0">
            <wp:extent cx="4822190" cy="1273810"/>
            <wp:effectExtent l="0" t="0" r="8890" b="6350"/>
            <wp:docPr id="91116" name="图片 9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6" name="图片 91116"/>
                    <pic:cNvPicPr>
                      <a:picLocks noChangeAspect="1" noChangeArrowheads="1"/>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a:xfrm>
                      <a:off x="0" y="0"/>
                      <a:ext cx="4822190" cy="1273810"/>
                    </a:xfrm>
                    <a:prstGeom prst="rect">
                      <a:avLst/>
                    </a:prstGeom>
                    <a:noFill/>
                    <a:ln>
                      <a:noFill/>
                    </a:ln>
                  </pic:spPr>
                </pic:pic>
              </a:graphicData>
            </a:graphic>
          </wp:inline>
        </w:drawing>
      </w:r>
    </w:p>
    <w:p>
      <w:pPr>
        <w:ind w:firstLine="485" w:firstLineChars="202"/>
      </w:pPr>
      <w:r>
        <w:t>该场景要求生产数据实时入仓，并提供实时数据分析和交互式查询能力。数据源通常来自于生产数据、供应数据、销售数据、 财务数据等，通过数据仓库的高性能计算，为企业管理者提供大屏展示、统计和预测、</w:t>
      </w:r>
      <w:r>
        <w:rPr>
          <w:rFonts w:hint="eastAsia"/>
        </w:rPr>
        <w:t>详</w:t>
      </w:r>
      <w:r>
        <w:t>单查询。</w:t>
      </w:r>
      <w:r>
        <w:rPr>
          <w:rFonts w:hint="eastAsia"/>
        </w:rPr>
        <w:t>数据仓库需具备：</w:t>
      </w:r>
    </w:p>
    <w:p>
      <w:pPr>
        <w:pStyle w:val="ListParagraph"/>
        <w:numPr>
          <w:ilvl w:val="0"/>
          <w:numId w:val="4"/>
        </w:numPr>
        <w:ind w:firstLineChars="0"/>
        <w:rPr>
          <w:rFonts w:ascii="宋体" w:hAnsi="宋体"/>
        </w:rPr>
      </w:pPr>
      <w:r>
        <w:rPr>
          <w:rFonts w:ascii="宋体" w:hAnsi="宋体"/>
        </w:rPr>
        <w:t>支撑关系型数据库和IOT等数据的秒级实时同步（包括增、删、改）；</w:t>
      </w:r>
    </w:p>
    <w:p>
      <w:pPr>
        <w:pStyle w:val="ListParagraph"/>
        <w:numPr>
          <w:ilvl w:val="0"/>
          <w:numId w:val="4"/>
        </w:numPr>
        <w:ind w:firstLineChars="0"/>
        <w:rPr>
          <w:rFonts w:ascii="宋体" w:hAnsi="宋体"/>
        </w:rPr>
      </w:pPr>
      <w:r>
        <w:rPr>
          <w:rFonts w:ascii="宋体" w:hAnsi="宋体"/>
        </w:rPr>
        <w:t>内置多层级全并行计算引擎，支持行列混合存储，能够支撑百万级QPS秒级分析和查询；</w:t>
      </w:r>
    </w:p>
    <w:p>
      <w:pPr>
        <w:pStyle w:val="ListParagraph"/>
        <w:numPr>
          <w:ilvl w:val="0"/>
          <w:numId w:val="4"/>
        </w:numPr>
        <w:ind w:firstLineChars="0"/>
      </w:pPr>
      <w:r>
        <w:rPr>
          <w:rFonts w:ascii="宋体" w:hAnsi="宋体"/>
        </w:rPr>
        <w:t>兼容SQL 2003标准，支持存储过程、全局事务、数据强一致性，无缝对接主流BI工具</w:t>
      </w:r>
      <w:r>
        <w:t>。</w:t>
      </w:r>
    </w:p>
    <w:p>
      <w:pPr>
        <w:pStyle w:val="Heading6"/>
        <w:numPr>
          <w:ilvl w:val="2"/>
          <w:numId w:val="3"/>
        </w:numPr>
        <w:bidi w:val="0"/>
        <w:ind w:left="709" w:hanging="709" w:leftChars="0" w:firstLineChars="0"/>
      </w:pPr>
      <w:bookmarkStart w:id="6" w:name="_Toc256000398"/>
      <w:bookmarkStart w:id="7" w:name="_Toc20945"/>
      <w:r>
        <w:t>数据汇聚和数据治理</w:t>
      </w:r>
      <w:bookmarkEnd w:id="6"/>
      <w:bookmarkEnd w:id="7"/>
    </w:p>
    <w:p>
      <w:pPr>
        <w:ind w:firstLine="0"/>
        <w:jc w:val="center"/>
      </w:pPr>
      <w:r>
        <w:drawing>
          <wp:inline distT="0" distB="0" distL="0" distR="0">
            <wp:extent cx="4827905" cy="1085215"/>
            <wp:effectExtent l="0" t="0" r="3175" b="12065"/>
            <wp:docPr id="91117" name="图片 9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7" name="图片 91117"/>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a:xfrm>
                      <a:off x="0" y="0"/>
                      <a:ext cx="4827905" cy="1085215"/>
                    </a:xfrm>
                    <a:prstGeom prst="rect">
                      <a:avLst/>
                    </a:prstGeom>
                    <a:noFill/>
                    <a:ln>
                      <a:noFill/>
                    </a:ln>
                  </pic:spPr>
                </pic:pic>
              </a:graphicData>
            </a:graphic>
          </wp:inline>
        </w:drawing>
      </w:r>
    </w:p>
    <w:p>
      <w:pPr>
        <w:ind w:firstLine="485" w:firstLineChars="202"/>
      </w:pPr>
      <w:r>
        <w:t>该场景要求数据仓库汇聚ERP、CRM、SCM、OT等各个系统的数据，并对数据进行分层加工、汇聚、统计，通过数据仓库的建设打通部门之间信息壁垒、连通数据孤岛，从而构建领导决策分析体系，为经营分析和决策提供数据支撑。</w:t>
      </w:r>
      <w:r>
        <w:rPr>
          <w:rFonts w:hint="eastAsia"/>
        </w:rPr>
        <w:t>数据仓库需具备：</w:t>
      </w:r>
    </w:p>
    <w:p>
      <w:pPr>
        <w:pStyle w:val="ListParagraph"/>
        <w:numPr>
          <w:ilvl w:val="0"/>
          <w:numId w:val="4"/>
        </w:numPr>
        <w:ind w:firstLineChars="0"/>
        <w:rPr>
          <w:rFonts w:ascii="宋体" w:hAnsi="宋体"/>
        </w:rPr>
        <w:sectPr>
          <w:footerReference w:type="default" r:id="rId11"/>
          <w:type w:val="nextPage"/>
          <w:pgSz w:w="11906" w:h="16838"/>
          <w:pgMar w:top="1440" w:right="1800" w:bottom="1440" w:left="1800" w:header="851" w:footer="992" w:gutter="0"/>
          <w:pgNumType w:fmt="decimal" w:start="4"/>
          <w:cols w:num="1" w:space="425"/>
          <w:titlePg w:val="0"/>
          <w:docGrid w:type="lines" w:linePitch="312" w:charSpace="0"/>
        </w:sectPr>
      </w:pPr>
      <w:r>
        <w:rPr>
          <w:rFonts w:ascii="宋体" w:hAnsi="宋体"/>
        </w:rPr>
        <w:t>可以支撑关系型数据库和IOT等数据的秒级实时同步（包括增、删、改）；</w:t>
      </w:r>
    </w:p>
    <w:p>
      <w:pPr>
        <w:pStyle w:val="ListParagraph"/>
        <w:numPr>
          <w:ilvl w:val="0"/>
          <w:numId w:val="4"/>
        </w:numPr>
        <w:ind w:firstLineChars="0"/>
        <w:rPr>
          <w:rFonts w:ascii="宋体" w:hAnsi="宋体"/>
        </w:rPr>
      </w:pPr>
      <w:r>
        <w:rPr>
          <w:rFonts w:ascii="宋体" w:hAnsi="宋体"/>
        </w:rPr>
        <w:t>可以</w:t>
      </w:r>
      <w:r>
        <w:rPr>
          <w:rFonts w:ascii="宋体" w:hAnsi="宋体" w:hint="eastAsia"/>
        </w:rPr>
        <w:t>与</w:t>
      </w:r>
      <w:r>
        <w:rPr>
          <w:rFonts w:ascii="宋体" w:hAnsi="宋体"/>
        </w:rPr>
        <w:t>一站式数据治理平台</w:t>
      </w:r>
      <w:r>
        <w:rPr>
          <w:rFonts w:ascii="宋体" w:hAnsi="宋体" w:hint="eastAsia"/>
        </w:rPr>
        <w:t>（包</w:t>
      </w:r>
      <w:r>
        <w:rPr>
          <w:rFonts w:ascii="宋体" w:hAnsi="宋体"/>
        </w:rPr>
        <w:t>括元数据管理、数据标准化、数据血源、任务调度能力</w:t>
      </w:r>
      <w:r>
        <w:rPr>
          <w:rFonts w:ascii="宋体" w:hAnsi="宋体" w:hint="eastAsia"/>
        </w:rPr>
        <w:t>等）配合实现数据治理；</w:t>
      </w:r>
    </w:p>
    <w:p>
      <w:pPr>
        <w:pStyle w:val="ListParagraph"/>
        <w:numPr>
          <w:ilvl w:val="0"/>
          <w:numId w:val="4"/>
        </w:numPr>
        <w:ind w:firstLineChars="0"/>
        <w:rPr>
          <w:rFonts w:ascii="宋体" w:hAnsi="宋体"/>
        </w:rPr>
      </w:pPr>
      <w:r>
        <w:rPr>
          <w:rFonts w:ascii="宋体" w:hAnsi="宋体"/>
        </w:rPr>
        <w:t>兼容SQL 2003标准，支持存储过程、全局事务、数据强一致性，无缝对接主流BI工具。</w:t>
      </w:r>
    </w:p>
    <w:p>
      <w:pPr>
        <w:pStyle w:val="Heading6"/>
        <w:numPr>
          <w:ilvl w:val="2"/>
          <w:numId w:val="3"/>
        </w:numPr>
        <w:bidi w:val="0"/>
        <w:ind w:left="709" w:hanging="709" w:leftChars="0" w:firstLineChars="0"/>
      </w:pPr>
      <w:bookmarkStart w:id="8" w:name="_Toc256000399"/>
      <w:bookmarkStart w:id="9" w:name="_Toc29158"/>
      <w:r>
        <w:t>大数据离线计算生成专题库</w:t>
      </w:r>
      <w:bookmarkEnd w:id="8"/>
      <w:bookmarkEnd w:id="9"/>
    </w:p>
    <w:p>
      <w:pPr>
        <w:ind w:firstLine="0"/>
        <w:jc w:val="center"/>
      </w:pPr>
      <w:r>
        <w:drawing>
          <wp:inline distT="0" distB="0" distL="0" distR="0">
            <wp:extent cx="4827905" cy="999490"/>
            <wp:effectExtent l="0" t="0" r="3175" b="6350"/>
            <wp:docPr id="91118" name="图片 9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8" name="图片 91118"/>
                    <pic:cNvPicPr>
                      <a:picLocks noChangeAspect="1" noChangeArrowheads="1"/>
                    </pic:cNvPicPr>
                  </pic:nvPicPr>
                  <pic:blipFill>
                    <a:blip xmlns:r="http://schemas.openxmlformats.org/officeDocument/2006/relationships" r:embed="rId12" cstate="print">
                      <a:extLst>
                        <a:ext xmlns:a="http://schemas.openxmlformats.org/drawingml/2006/main" uri="{28A0092B-C50C-407E-A947-70E740481C1C}">
                          <a14:useLocalDpi xmlns:a14="http://schemas.microsoft.com/office/drawing/2010/main" val="0"/>
                        </a:ext>
                      </a:extLst>
                    </a:blip>
                    <a:stretch>
                      <a:fillRect/>
                    </a:stretch>
                  </pic:blipFill>
                  <pic:spPr>
                    <a:xfrm>
                      <a:off x="0" y="0"/>
                      <a:ext cx="4827905" cy="999490"/>
                    </a:xfrm>
                    <a:prstGeom prst="rect">
                      <a:avLst/>
                    </a:prstGeom>
                    <a:noFill/>
                    <a:ln>
                      <a:noFill/>
                    </a:ln>
                  </pic:spPr>
                </pic:pic>
              </a:graphicData>
            </a:graphic>
          </wp:inline>
        </w:drawing>
      </w:r>
    </w:p>
    <w:p>
      <w:pPr>
        <w:ind w:firstLine="485" w:firstLineChars="202"/>
      </w:pPr>
      <w:r>
        <w:t>该场景需要先用大数据平台进行原始数据的离线加工计算，生产主题数据；专题数据高效快速的抽取到数据仓库，或者建立外表直接查询；上层应用基于数据仓库再进行交互式查询、自助分析等业务应用。</w:t>
      </w:r>
      <w:r>
        <w:rPr>
          <w:rFonts w:hint="eastAsia"/>
        </w:rPr>
        <w:t>数据仓库需具备：</w:t>
      </w:r>
    </w:p>
    <w:p>
      <w:pPr>
        <w:pStyle w:val="ListParagraph"/>
        <w:numPr>
          <w:ilvl w:val="0"/>
          <w:numId w:val="4"/>
        </w:numPr>
        <w:ind w:firstLineChars="0"/>
        <w:rPr>
          <w:rFonts w:ascii="宋体" w:hAnsi="宋体"/>
        </w:rPr>
      </w:pPr>
      <w:r>
        <w:rPr>
          <w:rFonts w:ascii="宋体" w:hAnsi="宋体"/>
        </w:rPr>
        <w:t>可与大数据生态深度融合，支持建立外表读取HDFS和OBS上的数据；</w:t>
      </w:r>
    </w:p>
    <w:p>
      <w:pPr>
        <w:pStyle w:val="ListParagraph"/>
        <w:numPr>
          <w:ilvl w:val="0"/>
          <w:numId w:val="4"/>
        </w:numPr>
        <w:ind w:firstLineChars="0"/>
        <w:rPr>
          <w:rFonts w:ascii="宋体" w:hAnsi="宋体"/>
        </w:rPr>
      </w:pPr>
      <w:r>
        <w:rPr>
          <w:rFonts w:ascii="宋体" w:hAnsi="宋体"/>
        </w:rPr>
        <w:t>内置多层级全并行计算引擎，支持行列混合存储，能够支撑百万级QPS秒级分析和查询；</w:t>
      </w:r>
    </w:p>
    <w:p>
      <w:pPr>
        <w:pStyle w:val="ListParagraph"/>
        <w:numPr>
          <w:ilvl w:val="0"/>
          <w:numId w:val="4"/>
        </w:numPr>
        <w:ind w:firstLineChars="0"/>
        <w:rPr>
          <w:rFonts w:ascii="宋体" w:hAnsi="宋体"/>
        </w:rPr>
      </w:pPr>
      <w:r>
        <w:rPr>
          <w:rFonts w:ascii="宋体" w:hAnsi="宋体"/>
        </w:rPr>
        <w:t>兼容SQL 2003标准，支持存储过程、全局事务、数据强一致性，无缝对接主流BI工具。</w:t>
      </w:r>
    </w:p>
    <w:p>
      <w:pPr>
        <w:pStyle w:val="BodyText"/>
        <w:kinsoku w:val="0"/>
        <w:overflowPunct w:val="0"/>
        <w:spacing w:before="185" w:line="364" w:lineRule="auto"/>
        <w:ind w:left="540" w:right="1529" w:firstLine="440"/>
        <w:jc w:val="both"/>
        <w:rPr>
          <w:spacing w:val="-120"/>
        </w:rPr>
      </w:pPr>
    </w:p>
    <w:p>
      <w:pPr>
        <w:pStyle w:val="Heading5"/>
        <w:numPr>
          <w:ilvl w:val="1"/>
          <w:numId w:val="3"/>
        </w:numPr>
        <w:bidi w:val="0"/>
        <w:ind w:left="567" w:hanging="567" w:leftChars="0" w:firstLineChars="0"/>
      </w:pPr>
      <w:bookmarkStart w:id="10" w:name="_Toc10728"/>
      <w:r>
        <w:rPr>
          <w:rFonts w:hint="eastAsia"/>
        </w:rPr>
        <w:t>设计原则</w:t>
      </w:r>
      <w:bookmarkEnd w:id="10"/>
    </w:p>
    <w:p>
      <w:pPr>
        <w:pStyle w:val="TB-1"/>
        <w:ind w:left="600" w:hanging="120"/>
      </w:pPr>
      <w:bookmarkStart w:id="11" w:name="_Toc246145248"/>
      <w:r>
        <w:rPr>
          <w:rFonts w:hint="eastAsia"/>
        </w:rPr>
        <w:t>简明性（Simplicity）</w:t>
      </w:r>
      <w:bookmarkEnd w:id="11"/>
    </w:p>
    <w:p>
      <w:pPr>
        <w:pStyle w:val="TB-"/>
        <w:ind w:firstLine="480"/>
      </w:pPr>
      <w:r>
        <w:rPr>
          <w:rFonts w:hint="eastAsia"/>
        </w:rPr>
        <w:t>数据仓库的架构设计应当遵循简单性原则，架构易于理解且不失精细。基于简单性原则设计的系统更小，在其生命周期中更易于理解、建设、维护和管理。</w:t>
      </w:r>
    </w:p>
    <w:p>
      <w:pPr>
        <w:pStyle w:val="TB-1"/>
        <w:ind w:left="600" w:hanging="120"/>
      </w:pPr>
      <w:bookmarkStart w:id="12" w:name="_Toc246145249"/>
      <w:r>
        <w:rPr>
          <w:rFonts w:hint="eastAsia"/>
        </w:rPr>
        <w:t>抽象性（Abstraction）</w:t>
      </w:r>
      <w:bookmarkEnd w:id="12"/>
    </w:p>
    <w:p>
      <w:pPr>
        <w:pStyle w:val="TB-"/>
        <w:ind w:firstLine="480"/>
      </w:pPr>
      <w:r>
        <w:t>数据仓库的架构设计应实现数据与过程分离的抽象性，</w:t>
      </w:r>
      <w:r>
        <w:rPr>
          <w:rFonts w:hint="eastAsia"/>
        </w:rPr>
        <w:t>提取关键特性进行抽象和简化，</w:t>
      </w:r>
      <w:r>
        <w:t>消除物理依赖和紧耦合，并尽量屏蔽复杂性。</w:t>
      </w:r>
    </w:p>
    <w:p>
      <w:pPr>
        <w:pStyle w:val="TB-1"/>
        <w:ind w:left="600" w:hanging="120"/>
      </w:pPr>
      <w:bookmarkStart w:id="13" w:name="_Toc246145250"/>
      <w:r>
        <w:rPr>
          <w:rFonts w:hint="eastAsia"/>
        </w:rPr>
        <w:t>隔离性（Isolation）</w:t>
      </w:r>
      <w:bookmarkEnd w:id="13"/>
    </w:p>
    <w:p>
      <w:pPr>
        <w:pStyle w:val="TB-"/>
        <w:ind w:firstLine="480"/>
      </w:pPr>
      <w:r>
        <w:rPr>
          <w:rFonts w:hint="eastAsia"/>
        </w:rPr>
        <w:t>数据仓库架构设计中的隔离性指的是功能划分和解耦。功能组件相互隔离能够保证体系架构的结构化，功能组件的变更不会对对其他部分的造成过度影响。</w:t>
      </w:r>
    </w:p>
    <w:p>
      <w:pPr>
        <w:pStyle w:val="TB-1"/>
        <w:ind w:left="600" w:hanging="120"/>
      </w:pPr>
      <w:bookmarkStart w:id="14" w:name="_Toc246145252"/>
      <w:r>
        <w:rPr>
          <w:rFonts w:hint="eastAsia"/>
        </w:rPr>
        <w:t>扩展性（</w:t>
      </w:r>
      <w:r>
        <w:t>Scalability</w:t>
      </w:r>
      <w:r>
        <w:rPr>
          <w:rFonts w:hint="eastAsia"/>
        </w:rPr>
        <w:t>）</w:t>
      </w:r>
      <w:bookmarkEnd w:id="14"/>
    </w:p>
    <w:p>
      <w:pPr>
        <w:pStyle w:val="TB-"/>
        <w:ind w:firstLine="480"/>
        <w:sectPr>
          <w:footerReference w:type="default" r:id="rId13"/>
          <w:type w:val="nextPage"/>
          <w:pgSz w:w="11906" w:h="16838"/>
          <w:pgMar w:top="1440" w:right="1800" w:bottom="1440" w:left="1800" w:header="851" w:footer="992" w:gutter="0"/>
          <w:pgNumType w:fmt="decimal" w:start="5"/>
          <w:cols w:num="1" w:space="425"/>
          <w:titlePg w:val="0"/>
          <w:docGrid w:type="lines" w:linePitch="312" w:charSpace="0"/>
        </w:sectPr>
      </w:pPr>
    </w:p>
    <w:p>
      <w:pPr>
        <w:pStyle w:val="TB-"/>
        <w:ind w:firstLine="480"/>
      </w:pPr>
      <w:r>
        <w:rPr>
          <w:rFonts w:hint="eastAsia"/>
        </w:rPr>
        <w:t>考虑到保护用户投资等多种因素，大多数计算机系统都有对扩展能力方面的要求。为保证可扩展性，数据仓库的体系架构采用模块化设计方式，保证软硬件具有模块化扩展能力，以适应扩大应用范围、增加多种功能的需要。系统能够支持系统规模的扩充，能实现对现有系统和未来系统的灵活性支持，保证在可以预期的时间范围内系统的可持续扩展。</w:t>
      </w:r>
    </w:p>
    <w:p>
      <w:pPr>
        <w:pStyle w:val="TB-1"/>
        <w:ind w:left="600" w:hanging="120"/>
      </w:pPr>
      <w:bookmarkStart w:id="15" w:name="_Toc246145253"/>
      <w:r>
        <w:rPr>
          <w:rFonts w:hint="eastAsia"/>
        </w:rPr>
        <w:t>伸缩性（Extensibility）</w:t>
      </w:r>
      <w:bookmarkEnd w:id="15"/>
    </w:p>
    <w:p>
      <w:pPr>
        <w:pStyle w:val="TB-"/>
        <w:ind w:firstLine="480"/>
      </w:pPr>
      <w:r>
        <w:rPr>
          <w:rFonts w:hint="eastAsia"/>
        </w:rPr>
        <w:t>数据仓库的体系架构需要能够适应未来业务需求不断变大的升级要求，支持未来需求而无须变更或引起大的改变。合理设计的架构，能提高系统的生命力。结合系统的扩展能力，使得整个架构可以随着业务的增长而发展。</w:t>
      </w:r>
    </w:p>
    <w:p>
      <w:pPr>
        <w:pStyle w:val="TB-1"/>
        <w:ind w:left="600" w:hanging="120"/>
      </w:pPr>
      <w:bookmarkStart w:id="16" w:name="_Toc246145255"/>
      <w:r>
        <w:rPr>
          <w:rFonts w:hint="eastAsia"/>
        </w:rPr>
        <w:t>完整性（Integrity）</w:t>
      </w:r>
      <w:bookmarkEnd w:id="16"/>
    </w:p>
    <w:p>
      <w:pPr>
        <w:pStyle w:val="TB-"/>
        <w:ind w:firstLine="480"/>
      </w:pPr>
      <w:r>
        <w:rPr>
          <w:rFonts w:hint="eastAsia"/>
        </w:rPr>
        <w:t>在数据仓库设计和实施过程中，为保证数据和处理流程在整个仓库中具有完整性，整个架构应该提供从源到目标的完整性，利用可审计的流程来保障业务信息的正确性，保证相同的问题总是能得到相同的结果。</w:t>
      </w:r>
    </w:p>
    <w:p>
      <w:pPr>
        <w:pStyle w:val="Heading5"/>
        <w:numPr>
          <w:ilvl w:val="2"/>
          <w:numId w:val="3"/>
        </w:numPr>
        <w:bidi w:val="0"/>
        <w:ind w:left="709" w:hanging="709" w:leftChars="0" w:firstLineChars="0"/>
      </w:pPr>
      <w:bookmarkStart w:id="17" w:name="_ZH-CN_TOPIC_0000001254132447"/>
      <w:bookmarkEnd w:id="17"/>
      <w:bookmarkStart w:id="18" w:name="_Toc256000006"/>
      <w:bookmarkStart w:id="19" w:name="_ZH-CN_TOPIC_0000001254132447-chtext"/>
      <w:bookmarkStart w:id="20" w:name="_Toc18642"/>
      <w:r>
        <w:t>总体架构</w:t>
      </w:r>
      <w:bookmarkEnd w:id="18"/>
      <w:bookmarkEnd w:id="19"/>
      <w:r>
        <w:rPr>
          <w:rFonts w:hint="eastAsia"/>
        </w:rPr>
        <w:t>设计</w:t>
      </w:r>
      <w:bookmarkEnd w:id="20"/>
    </w:p>
    <w:p>
      <w:pPr>
        <w:pStyle w:val="TB-"/>
        <w:ind w:firstLine="480"/>
      </w:pPr>
      <w:r>
        <w:rPr>
          <w:rFonts w:hint="eastAsia"/>
        </w:rPr>
        <w:t>本期项目数据仓库采用华为云stack</w:t>
      </w:r>
      <w:r>
        <w:t>数据仓库服务 GaussDB(DWS)</w:t>
      </w:r>
      <w:r>
        <w:rPr>
          <w:rFonts w:hint="eastAsia"/>
        </w:rPr>
        <w:t>。</w:t>
      </w:r>
    </w:p>
    <w:p>
      <w:pPr>
        <w:pStyle w:val="TB-"/>
        <w:ind w:firstLine="480"/>
      </w:pPr>
      <w:r>
        <w:t>数据仓库服务（GaussDB(DWS)，简称DWS）是一种在线数据处理数据库，提供即开即用、可扩展且完全托管的分析型数据库服务。DWS是基于华为融合数据仓库GaussDB产品的云原生服务，兼容标准ANSI SQL 99和SQL 2003，同时兼容PostgreSQL/Oracle数据库生态，为各行业PB级海量大数据分析提供有竞争力的解决方案</w:t>
      </w:r>
    </w:p>
    <w:p>
      <w:pPr>
        <w:pStyle w:val="TB-"/>
        <w:ind w:firstLine="480"/>
      </w:pPr>
      <w:r>
        <w:t>GaussDB(DWS)基于Shared-nothing分布式架构，具备MPP大规模并行处理引擎，由众多拥有独立且互不共享的CPU、内存、存储等系统资源的逻辑节点组成。在这样的系统架构中，业务数据被分散存储在多个节点上，数据分析任务被推送到数据所在位置就近执行，并行地完成大规模的数据处理工作，实现对数据处理的快速响应。</w:t>
      </w:r>
      <w:r>
        <w:br/>
      </w:r>
      <w:r>
        <w:br/>
      </w:r>
    </w:p>
    <w:p>
      <w:pPr>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https://d.book118.com/518043000013006026</w:t>
        </w:r>
      </w:hyperlink>
    </w:p>
    <w:p>
      <w:pPr>
        <w:pStyle w:val="TB-"/>
        <w:ind w:firstLine="480"/>
      </w:pPr>
    </w:p>
    <w:sectPr>
      <w:footerReference w:type="default" r:id="rId15"/>
      <w:type w:val="nextPage"/>
      <w:pgSz w:w="11906" w:h="16838"/>
      <w:pgMar w:top="1440" w:right="1800" w:bottom="1440" w:left="1800" w:header="851" w:footer="992" w:gutter="0"/>
      <w:pgNumType w:fmt="decimal" w:start="6"/>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4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1"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8109387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6297890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2336" filled="f" fillcolor="this" stroked="f" strokeweight="0.5pt">
              <v:textbox style="mso-fit-shape-to-text:t" inset="0,0,0,0">
                <w:txbxContent>
                  <w:p>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351885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4384" filled="f" fillcolor="this" stroked="f" strokeweight="0.5pt">
              <v:textbox style="mso-fit-shape-to-text:t" inset="0,0,0,0">
                <w:txbxContent>
                  <w:p>
                    <w:pPr>
                      <w:pStyle w:val="Footer"/>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2162160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distance-bottom:0;mso-wrap-distance-left:9pt;mso-wrap-distance-right:9pt;mso-wrap-distance-top:0;mso-wrap-style:none;position:absolute;v-text-anchor:top;z-index:251666432" filled="f" fillcolor="this" stroked="f" strokeweight="0.5pt">
              <v:textbox style="mso-fit-shape-to-text:t" inset="0,0,0,0">
                <w:txbxContent>
                  <w:p>
                    <w:pPr>
                      <w:pStyle w:val="Footer"/>
                    </w:pPr>
                    <w:r>
                      <w:fldChar w:fldCharType="begin"/>
                    </w:r>
                    <w:r>
                      <w:instrText xml:space="preserve"> PAGE  \* MERGEFORMAT </w:instrText>
                    </w:r>
                    <w:r>
                      <w:fldChar w:fldCharType="separate"/>
                    </w:r>
                    <w:r>
                      <w:t>5</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238226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4" type="#_x0000_t202" style="width:2in;height:2in;margin-top:0;margin-left:0;mso-position-horizontal:center;mso-position-horizontal-relative:margin;mso-wrap-distance-bottom:0;mso-wrap-distance-left:9pt;mso-wrap-distance-right:9pt;mso-wrap-distance-top:0;mso-wrap-style:none;position:absolute;v-text-anchor:top;z-index:251668480" filled="f" fillcolor="this" stroked="f" strokeweight="0.5pt">
              <v:textbox style="mso-fit-shape-to-text:t" inset="0,0,0,0">
                <w:txbxContent>
                  <w:p>
                    <w:pPr>
                      <w:pStyle w:val="Footer"/>
                    </w:pPr>
                    <w:r>
                      <w:fldChar w:fldCharType="begin"/>
                    </w:r>
                    <w:r>
                      <w:instrText xml:space="preserve"> PAGE  \* MERGEFORMAT </w:instrText>
                    </w:r>
                    <w:r>
                      <w:fldChar w:fldCharType="separate"/>
                    </w:r>
                    <w:r>
                      <w:t>6</w:t>
                    </w:r>
                    <w:r>
                      <w:fldChar w:fldCharType="end"/>
                    </w:r>
                  </w:p>
                </w:txbxContent>
              </v:textbox>
              <w10:wrap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45199D9"/>
    <w:multiLevelType w:val="multilevel"/>
    <w:tmpl w:val="B45199D9"/>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nsid w:val="F07F9AB1"/>
    <w:multiLevelType w:val="multilevel"/>
    <w:tmpl w:val="F07F9AB1"/>
    <w:lvl w:ilvl="0">
      <w:start w:val="1"/>
      <w:numFmt w:val="decimal"/>
      <w:lvlText w:val="%1."/>
      <w:lvlJc w:val="left"/>
      <w:pPr>
        <w:ind w:left="432" w:hanging="432"/>
      </w:pPr>
      <w:rPr>
        <w:rFonts w:hint="default"/>
      </w:rPr>
    </w:lvl>
    <w:lvl w:ilvl="1">
      <w:start w:val="1"/>
      <w:numFmt w:val="decimal"/>
      <w:lvlText w:val="%1.%2."/>
      <w:lvlJc w:val="left"/>
      <w:pPr>
        <w:ind w:left="575" w:hanging="575"/>
      </w:pPr>
      <w:rPr>
        <w:rFonts w:hint="default"/>
      </w:rPr>
    </w:lvl>
    <w:lvl w:ilvl="2">
      <w:start w:val="1"/>
      <w:numFmt w:val="decimal"/>
      <w:pStyle w:val="Heading3"/>
      <w:lvlText w:val="8.%3."/>
      <w:lvlJc w:val="left"/>
      <w:pPr>
        <w:ind w:left="720" w:hanging="720"/>
      </w:pPr>
      <w:rPr>
        <w:rFonts w:ascii="宋体" w:eastAsia="宋体" w:hAnsi="宋体" w:cs="宋体" w:hint="default"/>
      </w:rPr>
    </w:lvl>
    <w:lvl w:ilvl="3">
      <w:start w:val="1"/>
      <w:numFmt w:val="decimal"/>
      <w:pStyle w:val="Heading4"/>
      <w:lvlText w:val="8.%2.%4."/>
      <w:lvlJc w:val="left"/>
      <w:pPr>
        <w:ind w:left="864" w:hanging="864"/>
      </w:pPr>
      <w:rPr>
        <w:rFonts w:ascii="宋体" w:eastAsia="宋体" w:hAnsi="宋体" w:cs="宋体" w:hint="default"/>
      </w:rPr>
    </w:lvl>
    <w:lvl w:ilvl="4">
      <w:start w:val="1"/>
      <w:numFmt w:val="decimal"/>
      <w:pStyle w:val="Heading5"/>
      <w:lvlText w:val="8.1.%4.%5."/>
      <w:lvlJc w:val="left"/>
      <w:pPr>
        <w:ind w:left="1008" w:hanging="1008"/>
      </w:pPr>
      <w:rPr>
        <w:rFonts w:ascii="宋体" w:eastAsia="宋体" w:hAnsi="宋体" w:cs="宋体" w:hint="default"/>
      </w:rPr>
    </w:lvl>
    <w:lvl w:ilvl="5">
      <w:start w:val="1"/>
      <w:numFmt w:val="decimal"/>
      <w:pStyle w:val="Heading6"/>
      <w:lvlText w:val="9.4.%4.%5.%6."/>
      <w:lvlJc w:val="left"/>
      <w:pPr>
        <w:ind w:left="1151" w:hanging="1151"/>
      </w:pPr>
      <w:rPr>
        <w:rFonts w:ascii="宋体" w:eastAsia="宋体" w:hAnsi="宋体" w:cs="宋体"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2">
    <w:nsid w:val="02C14B92"/>
    <w:multiLevelType w:val="multilevel"/>
    <w:tmpl w:val="02C14B92"/>
    <w:lvl w:ilvl="0">
      <w:start w:val="1"/>
      <w:numFmt w:val="bullet"/>
      <w:lvlText w:val=""/>
      <w:lvlJc w:val="left"/>
      <w:pPr>
        <w:ind w:left="905" w:hanging="420"/>
      </w:pPr>
      <w:rPr>
        <w:rFonts w:ascii="Wingdings" w:hAnsi="Wingdings" w:hint="default"/>
      </w:rPr>
    </w:lvl>
    <w:lvl w:ilvl="1">
      <w:start w:val="1"/>
      <w:numFmt w:val="bullet"/>
      <w:lvlText w:val=""/>
      <w:lvlJc w:val="left"/>
      <w:pPr>
        <w:ind w:left="1325" w:hanging="420"/>
      </w:pPr>
      <w:rPr>
        <w:rFonts w:ascii="Wingdings" w:hAnsi="Wingdings" w:hint="default"/>
      </w:rPr>
    </w:lvl>
    <w:lvl w:ilvl="2">
      <w:start w:val="1"/>
      <w:numFmt w:val="bullet"/>
      <w:lvlText w:val=""/>
      <w:lvlJc w:val="left"/>
      <w:pPr>
        <w:ind w:left="1745" w:hanging="420"/>
      </w:pPr>
      <w:rPr>
        <w:rFonts w:ascii="Wingdings" w:hAnsi="Wingdings" w:hint="default"/>
      </w:rPr>
    </w:lvl>
    <w:lvl w:ilvl="3">
      <w:start w:val="1"/>
      <w:numFmt w:val="bullet"/>
      <w:lvlText w:val=""/>
      <w:lvlJc w:val="left"/>
      <w:pPr>
        <w:ind w:left="2165" w:hanging="420"/>
      </w:pPr>
      <w:rPr>
        <w:rFonts w:ascii="Wingdings" w:hAnsi="Wingdings" w:hint="default"/>
      </w:rPr>
    </w:lvl>
    <w:lvl w:ilvl="4">
      <w:start w:val="1"/>
      <w:numFmt w:val="bullet"/>
      <w:lvlText w:val=""/>
      <w:lvlJc w:val="left"/>
      <w:pPr>
        <w:ind w:left="2585" w:hanging="420"/>
      </w:pPr>
      <w:rPr>
        <w:rFonts w:ascii="Wingdings" w:hAnsi="Wingdings" w:hint="default"/>
      </w:rPr>
    </w:lvl>
    <w:lvl w:ilvl="5">
      <w:start w:val="1"/>
      <w:numFmt w:val="bullet"/>
      <w:lvlText w:val=""/>
      <w:lvlJc w:val="left"/>
      <w:pPr>
        <w:ind w:left="3005" w:hanging="420"/>
      </w:pPr>
      <w:rPr>
        <w:rFonts w:ascii="Wingdings" w:hAnsi="Wingdings" w:hint="default"/>
      </w:rPr>
    </w:lvl>
    <w:lvl w:ilvl="6">
      <w:start w:val="1"/>
      <w:numFmt w:val="bullet"/>
      <w:lvlText w:val=""/>
      <w:lvlJc w:val="left"/>
      <w:pPr>
        <w:ind w:left="3425" w:hanging="420"/>
      </w:pPr>
      <w:rPr>
        <w:rFonts w:ascii="Wingdings" w:hAnsi="Wingdings" w:hint="default"/>
      </w:rPr>
    </w:lvl>
    <w:lvl w:ilvl="7">
      <w:start w:val="1"/>
      <w:numFmt w:val="bullet"/>
      <w:lvlText w:val=""/>
      <w:lvlJc w:val="left"/>
      <w:pPr>
        <w:ind w:left="3845" w:hanging="420"/>
      </w:pPr>
      <w:rPr>
        <w:rFonts w:ascii="Wingdings" w:hAnsi="Wingdings" w:hint="default"/>
      </w:rPr>
    </w:lvl>
    <w:lvl w:ilvl="8">
      <w:start w:val="1"/>
      <w:numFmt w:val="bullet"/>
      <w:lvlText w:val=""/>
      <w:lvlJc w:val="left"/>
      <w:pPr>
        <w:ind w:left="4265" w:hanging="420"/>
      </w:pPr>
      <w:rPr>
        <w:rFonts w:ascii="Wingdings" w:hAnsi="Wingdings" w:hint="default"/>
      </w:rPr>
    </w:lvl>
  </w:abstractNum>
  <w:abstractNum w:abstractNumId="3">
    <w:nsid w:val="056648E2"/>
    <w:multiLevelType w:val="multilevel"/>
    <w:tmpl w:val="056648E2"/>
    <w:lvl w:ilvl="0">
      <w:start w:val="1"/>
      <w:numFmt w:val="bullet"/>
      <w:lvlText w:val=""/>
      <w:lvlJc w:val="left"/>
      <w:pPr>
        <w:ind w:left="920" w:hanging="440"/>
      </w:pPr>
      <w:rPr>
        <w:rFonts w:ascii="Wingdings" w:hAnsi="Wingdings" w:cs="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4">
    <w:nsid w:val="18204187"/>
    <w:multiLevelType w:val="multilevel"/>
    <w:tmpl w:val="18204187"/>
    <w:lvl w:ilvl="0">
      <w:start w:val="1"/>
      <w:numFmt w:val="bullet"/>
      <w:lvlText w:val=""/>
      <w:lvlJc w:val="left"/>
      <w:pPr>
        <w:ind w:left="905" w:hanging="420"/>
      </w:pPr>
      <w:rPr>
        <w:rFonts w:ascii="Wingdings" w:hAnsi="Wingdings" w:hint="default"/>
      </w:rPr>
    </w:lvl>
    <w:lvl w:ilvl="1">
      <w:start w:val="1"/>
      <w:numFmt w:val="bullet"/>
      <w:lvlText w:val=""/>
      <w:lvlJc w:val="left"/>
      <w:pPr>
        <w:ind w:left="1325" w:hanging="420"/>
      </w:pPr>
      <w:rPr>
        <w:rFonts w:ascii="Wingdings" w:hAnsi="Wingdings" w:hint="default"/>
      </w:rPr>
    </w:lvl>
    <w:lvl w:ilvl="2">
      <w:start w:val="1"/>
      <w:numFmt w:val="bullet"/>
      <w:lvlText w:val=""/>
      <w:lvlJc w:val="left"/>
      <w:pPr>
        <w:ind w:left="1745" w:hanging="420"/>
      </w:pPr>
      <w:rPr>
        <w:rFonts w:ascii="Wingdings" w:hAnsi="Wingdings" w:hint="default"/>
      </w:rPr>
    </w:lvl>
    <w:lvl w:ilvl="3">
      <w:start w:val="1"/>
      <w:numFmt w:val="bullet"/>
      <w:lvlText w:val=""/>
      <w:lvlJc w:val="left"/>
      <w:pPr>
        <w:ind w:left="2165" w:hanging="420"/>
      </w:pPr>
      <w:rPr>
        <w:rFonts w:ascii="Wingdings" w:hAnsi="Wingdings" w:hint="default"/>
      </w:rPr>
    </w:lvl>
    <w:lvl w:ilvl="4">
      <w:start w:val="1"/>
      <w:numFmt w:val="bullet"/>
      <w:lvlText w:val=""/>
      <w:lvlJc w:val="left"/>
      <w:pPr>
        <w:ind w:left="2585" w:hanging="420"/>
      </w:pPr>
      <w:rPr>
        <w:rFonts w:ascii="Wingdings" w:hAnsi="Wingdings" w:hint="default"/>
      </w:rPr>
    </w:lvl>
    <w:lvl w:ilvl="5">
      <w:start w:val="1"/>
      <w:numFmt w:val="bullet"/>
      <w:lvlText w:val=""/>
      <w:lvlJc w:val="left"/>
      <w:pPr>
        <w:ind w:left="3005" w:hanging="420"/>
      </w:pPr>
      <w:rPr>
        <w:rFonts w:ascii="Wingdings" w:hAnsi="Wingdings" w:hint="default"/>
      </w:rPr>
    </w:lvl>
    <w:lvl w:ilvl="6">
      <w:start w:val="1"/>
      <w:numFmt w:val="bullet"/>
      <w:lvlText w:val=""/>
      <w:lvlJc w:val="left"/>
      <w:pPr>
        <w:ind w:left="3425" w:hanging="420"/>
      </w:pPr>
      <w:rPr>
        <w:rFonts w:ascii="Wingdings" w:hAnsi="Wingdings" w:hint="default"/>
      </w:rPr>
    </w:lvl>
    <w:lvl w:ilvl="7">
      <w:start w:val="1"/>
      <w:numFmt w:val="bullet"/>
      <w:lvlText w:val=""/>
      <w:lvlJc w:val="left"/>
      <w:pPr>
        <w:ind w:left="3845" w:hanging="420"/>
      </w:pPr>
      <w:rPr>
        <w:rFonts w:ascii="Wingdings" w:hAnsi="Wingdings" w:hint="default"/>
      </w:rPr>
    </w:lvl>
    <w:lvl w:ilvl="8">
      <w:start w:val="1"/>
      <w:numFmt w:val="bullet"/>
      <w:lvlText w:val=""/>
      <w:lvlJc w:val="left"/>
      <w:pPr>
        <w:ind w:left="4265" w:hanging="420"/>
      </w:pPr>
      <w:rPr>
        <w:rFonts w:ascii="Wingdings" w:hAnsi="Wingdings" w:hint="default"/>
      </w:rPr>
    </w:lvl>
  </w:abstractNum>
  <w:abstractNum w:abstractNumId="5">
    <w:nsid w:val="23081734"/>
    <w:multiLevelType w:val="multilevel"/>
    <w:tmpl w:val="23081734"/>
    <w:lvl w:ilvl="0">
      <w:start w:val="1"/>
      <w:numFmt w:val="bullet"/>
      <w:pStyle w:val="TB-1"/>
      <w:lvlText w:val=""/>
      <w:lvlJc w:val="left"/>
      <w:pPr>
        <w:ind w:left="300" w:hanging="420"/>
      </w:pPr>
      <w:rPr>
        <w:rFonts w:ascii="Wingdings" w:hAnsi="Wingdings" w:hint="default"/>
      </w:rPr>
    </w:lvl>
    <w:lvl w:ilvl="1">
      <w:start w:val="1"/>
      <w:numFmt w:val="bullet"/>
      <w:lvlText w:val=""/>
      <w:lvlJc w:val="left"/>
      <w:pPr>
        <w:ind w:left="1140" w:hanging="420"/>
      </w:pPr>
    </w:lvl>
    <w:lvl w:ilvl="2">
      <w:start w:val="1"/>
      <w:numFmt w:val="bullet"/>
      <w:lvlText w:val=""/>
      <w:lvlJc w:val="left"/>
      <w:pPr>
        <w:ind w:left="1560" w:hanging="420"/>
      </w:pPr>
    </w:lvl>
    <w:lvl w:ilvl="3">
      <w:start w:val="1"/>
      <w:numFmt w:val="bullet"/>
      <w:lvlText w:val=""/>
      <w:lvlJc w:val="left"/>
      <w:pPr>
        <w:ind w:left="1980" w:hanging="420"/>
      </w:pPr>
    </w:lvl>
    <w:lvl w:ilvl="4">
      <w:start w:val="1"/>
      <w:numFmt w:val="bullet"/>
      <w:lvlText w:val=""/>
      <w:lvlJc w:val="left"/>
      <w:pPr>
        <w:ind w:left="2400" w:hanging="420"/>
      </w:pPr>
    </w:lvl>
    <w:lvl w:ilvl="5">
      <w:start w:val="1"/>
      <w:numFmt w:val="bullet"/>
      <w:lvlText w:val=""/>
      <w:lvlJc w:val="left"/>
      <w:pPr>
        <w:ind w:left="2820" w:hanging="420"/>
      </w:pPr>
    </w:lvl>
    <w:lvl w:ilvl="6">
      <w:start w:val="1"/>
      <w:numFmt w:val="bullet"/>
      <w:lvlText w:val=""/>
      <w:lvlJc w:val="left"/>
      <w:pPr>
        <w:ind w:left="3240" w:hanging="420"/>
      </w:pPr>
    </w:lvl>
    <w:lvl w:ilvl="7">
      <w:start w:val="1"/>
      <w:numFmt w:val="bullet"/>
      <w:lvlText w:val=""/>
      <w:lvlJc w:val="left"/>
      <w:pPr>
        <w:ind w:left="3660" w:hanging="420"/>
      </w:pPr>
    </w:lvl>
    <w:lvl w:ilvl="8">
      <w:start w:val="1"/>
      <w:numFmt w:val="bullet"/>
      <w:lvlText w:val=""/>
      <w:lvlJc w:val="left"/>
      <w:pPr>
        <w:ind w:left="4080" w:hanging="420"/>
      </w:pPr>
    </w:lvl>
  </w:abstractNum>
  <w:abstractNum w:abstractNumId="6">
    <w:nsid w:val="23413898"/>
    <w:multiLevelType w:val="multilevel"/>
    <w:tmpl w:val="23413898"/>
    <w:lvl w:ilvl="0">
      <w:start w:val="4"/>
      <w:numFmt w:val="bullet"/>
      <w:lvlText w:val="−"/>
      <w:lvlJc w:val="left"/>
      <w:pPr>
        <w:ind w:left="905" w:hanging="420"/>
      </w:pPr>
      <w:rPr>
        <w:rFonts w:ascii="Times New Roman" w:eastAsia="宋体" w:hAnsi="Times New Roman" w:cs="Times New Roman" w:hint="default"/>
      </w:rPr>
    </w:lvl>
    <w:lvl w:ilvl="1">
      <w:start w:val="1"/>
      <w:numFmt w:val="lowerLetter"/>
      <w:lvlText w:val="%2)"/>
      <w:lvlJc w:val="left"/>
      <w:pPr>
        <w:ind w:left="1325" w:hanging="420"/>
      </w:pPr>
    </w:lvl>
    <w:lvl w:ilvl="2">
      <w:start w:val="1"/>
      <w:numFmt w:val="lowerRoman"/>
      <w:lvlText w:val="%3."/>
      <w:lvlJc w:val="right"/>
      <w:pPr>
        <w:ind w:left="1745" w:hanging="420"/>
      </w:pPr>
    </w:lvl>
    <w:lvl w:ilvl="3">
      <w:start w:val="1"/>
      <w:numFmt w:val="decimal"/>
      <w:lvlText w:val="%4."/>
      <w:lvlJc w:val="left"/>
      <w:pPr>
        <w:ind w:left="2165" w:hanging="420"/>
      </w:pPr>
    </w:lvl>
    <w:lvl w:ilvl="4">
      <w:start w:val="1"/>
      <w:numFmt w:val="lowerLetter"/>
      <w:lvlText w:val="%5)"/>
      <w:lvlJc w:val="left"/>
      <w:pPr>
        <w:ind w:left="2585" w:hanging="420"/>
      </w:pPr>
    </w:lvl>
    <w:lvl w:ilvl="5">
      <w:start w:val="1"/>
      <w:numFmt w:val="lowerRoman"/>
      <w:lvlText w:val="%6."/>
      <w:lvlJc w:val="right"/>
      <w:pPr>
        <w:ind w:left="3005" w:hanging="420"/>
      </w:pPr>
    </w:lvl>
    <w:lvl w:ilvl="6">
      <w:start w:val="1"/>
      <w:numFmt w:val="decimal"/>
      <w:lvlText w:val="%7."/>
      <w:lvlJc w:val="left"/>
      <w:pPr>
        <w:ind w:left="3425" w:hanging="420"/>
      </w:pPr>
    </w:lvl>
    <w:lvl w:ilvl="7">
      <w:start w:val="1"/>
      <w:numFmt w:val="lowerLetter"/>
      <w:lvlText w:val="%8)"/>
      <w:lvlJc w:val="left"/>
      <w:pPr>
        <w:ind w:left="3845" w:hanging="420"/>
      </w:pPr>
    </w:lvl>
    <w:lvl w:ilvl="8">
      <w:start w:val="1"/>
      <w:numFmt w:val="lowerRoman"/>
      <w:lvlText w:val="%9."/>
      <w:lvlJc w:val="right"/>
      <w:pPr>
        <w:ind w:left="4265" w:hanging="420"/>
      </w:pPr>
    </w:lvl>
  </w:abstractNum>
  <w:abstractNum w:abstractNumId="7">
    <w:nsid w:val="3A6E41B2"/>
    <w:multiLevelType w:val="multilevel"/>
    <w:tmpl w:val="3A6E41B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8">
    <w:nsid w:val="73C63B24"/>
    <w:multiLevelType w:val="multilevel"/>
    <w:tmpl w:val="73C63B24"/>
    <w:lvl w:ilvl="0">
      <w:start w:val="1"/>
      <w:numFmt w:val="bullet"/>
      <w:lvlText w:val=""/>
      <w:lvlJc w:val="left"/>
      <w:pPr>
        <w:ind w:left="440" w:hanging="440"/>
      </w:pPr>
      <w:rPr>
        <w:rFonts w:ascii="Wingdings" w:hAnsi="Wingdings" w:cs="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9">
    <w:nsid w:val="77A42BA5"/>
    <w:multiLevelType w:val="multilevel"/>
    <w:tmpl w:val="77A42BA5"/>
    <w:lvl w:ilvl="0">
      <w:start w:val="1"/>
      <w:numFmt w:val="bullet"/>
      <w:lvlText w:val=""/>
      <w:lvlJc w:val="left"/>
      <w:pPr>
        <w:ind w:left="920" w:hanging="440"/>
      </w:pPr>
      <w:rPr>
        <w:rFonts w:ascii="Wingdings" w:hAnsi="Wingdings" w:cs="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0">
    <w:nsid w:val="7D4E7AE3"/>
    <w:multiLevelType w:val="multilevel"/>
    <w:tmpl w:val="7D4E7AE3"/>
    <w:lvl w:ilvl="0">
      <w:start w:val="1"/>
      <w:numFmt w:val="bullet"/>
      <w:lvlText w:val=""/>
      <w:lvlJc w:val="left"/>
      <w:pPr>
        <w:ind w:left="900" w:hanging="420"/>
      </w:pPr>
      <w:rPr>
        <w:rFonts w:ascii="Symbol" w:hAnsi="Symbol"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1"/>
  </w:num>
  <w:num w:numId="2">
    <w:abstractNumId w:val="5"/>
  </w:num>
  <w:num w:numId="3">
    <w:abstractNumId w:val="0"/>
  </w:num>
  <w:num w:numId="4">
    <w:abstractNumId w:val="4"/>
  </w:num>
  <w:num w:numId="5">
    <w:abstractNumId w:val="2"/>
  </w:num>
  <w:num w:numId="6">
    <w:abstractNumId w:val="6"/>
  </w:num>
  <w:num w:numId="7">
    <w:abstractNumId w:val="10"/>
  </w:num>
  <w:num w:numId="8">
    <w:abstractNumId w:val="7"/>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2509B3"/>
    <w:rsid w:val="6B2509B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qFormat="1"/>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spacing w:line="360" w:lineRule="auto"/>
      <w:jc w:val="both"/>
    </w:pPr>
    <w:rPr>
      <w:rFonts w:ascii="Times New Roman" w:eastAsia="宋体" w:hAnsi="Times New Roman" w:cs="Times New Roman"/>
      <w:kern w:val="2"/>
      <w:sz w:val="24"/>
      <w:szCs w:val="24"/>
      <w:lang w:val="en-US" w:eastAsia="zh-CN" w:bidi="ar-SA"/>
    </w:rPr>
  </w:style>
  <w:style w:type="paragraph" w:styleId="Heading3">
    <w:name w:val="heading 3"/>
    <w:basedOn w:val="Normal"/>
    <w:next w:val="Normal"/>
    <w:unhideWhenUsed/>
    <w:qFormat/>
    <w:pPr>
      <w:keepNext/>
      <w:keepLines/>
      <w:numPr>
        <w:ilvl w:val="2"/>
        <w:numId w:val="1"/>
      </w:numPr>
      <w:spacing w:before="240" w:after="120"/>
      <w:outlineLvl w:val="2"/>
    </w:pPr>
    <w:rPr>
      <w:rFonts w:ascii="黑体" w:eastAsia="黑体" w:hAnsi="黑体"/>
      <w:b/>
    </w:rPr>
  </w:style>
  <w:style w:type="paragraph" w:styleId="Heading4">
    <w:name w:val="heading 4"/>
    <w:basedOn w:val="Normal"/>
    <w:next w:val="TB-"/>
    <w:unhideWhenUsed/>
    <w:qFormat/>
    <w:pPr>
      <w:keepNext/>
      <w:keepLines/>
      <w:numPr>
        <w:ilvl w:val="3"/>
        <w:numId w:val="1"/>
      </w:numPr>
      <w:spacing w:before="120"/>
      <w:ind w:left="864" w:hanging="864"/>
      <w:outlineLvl w:val="3"/>
    </w:pPr>
    <w:rPr>
      <w:rFonts w:ascii="黑体" w:eastAsia="黑体" w:hAnsi="黑体"/>
      <w:b/>
    </w:rPr>
  </w:style>
  <w:style w:type="paragraph" w:styleId="Heading5">
    <w:name w:val="heading 5"/>
    <w:basedOn w:val="Normal"/>
    <w:next w:val="TB-"/>
    <w:unhideWhenUsed/>
    <w:qFormat/>
    <w:pPr>
      <w:keepNext/>
      <w:keepLines/>
      <w:numPr>
        <w:ilvl w:val="4"/>
        <w:numId w:val="1"/>
      </w:numPr>
      <w:spacing w:before="120" w:after="120"/>
      <w:ind w:left="1008" w:hanging="1008"/>
      <w:outlineLvl w:val="4"/>
    </w:pPr>
    <w:rPr>
      <w:rFonts w:ascii="黑体" w:eastAsia="黑体" w:hAnsi="黑体"/>
      <w:b/>
    </w:rPr>
  </w:style>
  <w:style w:type="paragraph" w:styleId="Heading6">
    <w:name w:val="heading 6"/>
    <w:basedOn w:val="Normal"/>
    <w:next w:val="TB-"/>
    <w:unhideWhenUsed/>
    <w:qFormat/>
    <w:pPr>
      <w:keepNext/>
      <w:keepLines/>
      <w:numPr>
        <w:ilvl w:val="5"/>
        <w:numId w:val="1"/>
      </w:numPr>
      <w:spacing w:before="120" w:after="120"/>
      <w:outlineLvl w:val="5"/>
    </w:pPr>
    <w:rPr>
      <w:rFonts w:ascii="黑体" w:eastAsia="黑体" w:hAnsi="黑体"/>
      <w:b/>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customStyle="1" w:styleId="TB-">
    <w:name w:val="TB-正文缩进"/>
    <w:basedOn w:val="Normal"/>
    <w:qFormat/>
    <w:pPr>
      <w:ind w:firstLine="200" w:firstLineChars="200"/>
    </w:pPr>
    <w:rPr>
      <w:rFonts w:eastAsia="宋体"/>
      <w:bCs/>
      <w:color w:val="000000"/>
      <w:kern w:val="0"/>
      <w:szCs w:val="28"/>
    </w:rPr>
  </w:style>
  <w:style w:type="paragraph" w:styleId="BodyText">
    <w:name w:val="Body Text"/>
    <w:basedOn w:val="Normal"/>
    <w:qFormat/>
    <w:pPr>
      <w:tabs>
        <w:tab w:val="left" w:pos="720"/>
      </w:tabs>
      <w:spacing w:before="60" w:after="60"/>
    </w:pPr>
  </w:style>
  <w:style w:type="paragraph" w:styleId="Date">
    <w:name w:val="Date"/>
    <w:basedOn w:val="Normal"/>
    <w:next w:val="Normal"/>
    <w:qFormat/>
    <w:pPr>
      <w:ind w:left="100" w:leftChars="2500"/>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customStyle="1" w:styleId="TB-0">
    <w:name w:val="TB-表格"/>
    <w:basedOn w:val="Normal"/>
    <w:next w:val="TB-"/>
    <w:qFormat/>
    <w:pPr>
      <w:spacing w:line="240" w:lineRule="auto"/>
      <w:jc w:val="center"/>
    </w:pPr>
    <w:rPr>
      <w:rFonts w:eastAsia="宋体"/>
      <w:color w:val="000000"/>
      <w:sz w:val="21"/>
    </w:rPr>
  </w:style>
  <w:style w:type="paragraph" w:styleId="ListParagraph">
    <w:name w:val="List Paragraph"/>
    <w:basedOn w:val="Normal"/>
    <w:uiPriority w:val="34"/>
    <w:qFormat/>
    <w:pPr>
      <w:ind w:left="720"/>
      <w:jc w:val="left"/>
    </w:pPr>
    <w:rPr>
      <w:rFonts w:ascii="Arial" w:hAnsi="Arial"/>
      <w:spacing w:val="-5"/>
      <w:sz w:val="20"/>
      <w:lang w:eastAsia="en-US"/>
    </w:rPr>
  </w:style>
  <w:style w:type="paragraph" w:customStyle="1" w:styleId="TB-1">
    <w:name w:val="TB-圆点"/>
    <w:next w:val="TB-"/>
    <w:uiPriority w:val="1"/>
    <w:qFormat/>
    <w:pPr>
      <w:numPr>
        <w:ilvl w:val="0"/>
        <w:numId w:val="2"/>
      </w:numPr>
      <w:spacing w:line="360" w:lineRule="auto"/>
      <w:ind w:left="250" w:hanging="50" w:leftChars="200" w:hangingChars="50"/>
      <w:jc w:val="both"/>
    </w:pPr>
    <w:rPr>
      <w:rFonts w:ascii="Times New Roman" w:eastAsia="宋体" w:hAnsi="Times New Roman" w:cstheme="minorBidi"/>
      <w:bCs/>
      <w:color w:val="000000" w:themeColor="text1"/>
      <w:kern w:val="0"/>
      <w:sz w:val="24"/>
      <w:szCs w:val="28"/>
      <w:lang w:val="en-US" w:eastAsia="zh-CN" w:bidi="ar-SA"/>
      <w14:textFill>
        <w14:solidFill>
          <w14:schemeClr w14:val="tx1"/>
        </w14:solidFill>
      </w14:textFill>
    </w:rPr>
  </w:style>
  <w:style w:type="paragraph" w:customStyle="1" w:styleId="a">
    <w:name w:val="四级标题"/>
    <w:basedOn w:val="Date"/>
    <w:next w:val="Normal"/>
    <w:qFormat/>
    <w:pPr>
      <w:ind w:left="0" w:leftChars="0"/>
    </w:pPr>
  </w:style>
  <w:style w:type="paragraph" w:customStyle="1" w:styleId="WPSOffice1">
    <w:name w:val="WPSOffice手动目录 1"/>
    <w:pPr>
      <w:ind w:leftChars="0"/>
    </w:pPr>
    <w:rPr>
      <w:sz w:val="20"/>
      <w:szCs w:val="20"/>
    </w:rPr>
  </w:style>
  <w:style w:type="paragraph" w:customStyle="1" w:styleId="WPSOffice2">
    <w:name w:val="WPSOffice手动目录 2"/>
    <w:pPr>
      <w:ind w:leftChars="20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footer" Target="footer4.xml" /><Relationship Id="rId12" Type="http://schemas.openxmlformats.org/officeDocument/2006/relationships/image" Target="media/image4.png" /><Relationship Id="rId13" Type="http://schemas.openxmlformats.org/officeDocument/2006/relationships/footer" Target="footer5.xml" /><Relationship Id="rId14" Type="http://schemas.openxmlformats.org/officeDocument/2006/relationships/hyperlink" Target="https://d.book118.com/518043000013006026" TargetMode="External" /><Relationship Id="rId15" Type="http://schemas.openxmlformats.org/officeDocument/2006/relationships/footer" Target="foot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image" Target="media/image1.png" /><Relationship Id="rId8" Type="http://schemas.openxmlformats.org/officeDocument/2006/relationships/footer" Target="footer3.xml" /><Relationship Id="rId9" Type="http://schemas.openxmlformats.org/officeDocument/2006/relationships/image" Target="media/image2.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0</Words>
  <Characters>0</Characters>
  <Application>Microsoft Office Word</Application>
  <DocSecurity>0</DocSecurity>
  <Lines>0</Lines>
  <Paragraphs>0</Paragraphs>
  <ScaleCrop>false</ScaleCrop>
  <Company>大桥局</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2024-01-14T05:22:00Z</dcterms:created>
  <dcterms:modified xsi:type="dcterms:W3CDTF">2024-01-14T05:30:34Z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BA8C3BA3020C46BC966131AED9AF511E</vt:lpwstr>
  </property>
  <property fmtid="{D5CDD505-2E9C-101B-9397-08002B2CF9AE}" pid="3" name="KSOProductBuildVer">
    <vt:lpwstr>2052-11.8.2.11718</vt:lpwstr>
  </property>
</Properties>
</file>